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LogiHub Intelligence — Research Report (EN/KO)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7" w:name="logihub-intelligence-research-report"/>
    <w:p>
      <w:pPr>
        <w:pStyle w:val="Heading1"/>
      </w:pPr>
      <w:r>
        <w:t xml:space="preserve">LOGIHUB INTELLIGENCE — RESEARCH REPORT</w:t>
      </w:r>
    </w:p>
    <w:bookmarkStart w:id="20" w:name="Xbc5caa239eb454b8b19a757e866f5042a721aa1"/>
    <w:p>
      <w:pPr>
        <w:pStyle w:val="Heading2"/>
      </w:pPr>
      <w:r>
        <w:t xml:space="preserve">Logistics Hub Network Optimization in South Korea Based on Freight Origin-Destination Data</w:t>
      </w:r>
    </w:p>
    <w:p>
      <w:pPr>
        <w:pStyle w:val="FirstParagraph"/>
      </w:pPr>
      <w:r>
        <w:rPr>
          <w:iCs/>
          <w:i/>
        </w:rPr>
        <w:t xml:space="preserve">Midterm Research Report — LogiHub Intelligence Development Team — May 2026</w:t>
      </w:r>
    </w:p>
    <w:p>
      <w:r>
        <w:pict>
          <v:rect style="width:0;height:1.5pt" o:hralign="center" o:hrstd="t" o:hr="t"/>
        </w:pict>
      </w:r>
    </w:p>
    <w:bookmarkEnd w:id="20"/>
    <w:bookmarkStart w:id="21" w:name="abstract-초록"/>
    <w:p>
      <w:pPr>
        <w:pStyle w:val="Heading2"/>
      </w:pPr>
      <w:r>
        <w:t xml:space="preserve">ABSTRACT / 초록</w:t>
      </w:r>
    </w:p>
    <w:p>
      <w:pPr>
        <w:pStyle w:val="FirstParagraph"/>
      </w:pPr>
      <w:r>
        <w:t xml:space="preserve">This study builds an analytical and optimization engine for logistics hub networks of large Korean enterprises, using publicly available Korean Freight Origin-Destination (O/D) data from MOLIT as a proxy for internal shipment data. The engine consists of 10 sequential processing modules—from raw data ingestion to management recommendation generation—applying three classical Facility Location models: P-median, UFLP, and CFLP. Five scenarios (P = 3, 5, 7 hubs; current vs. optimal network; capacity-constrained) plus sensitivity analysis are run across 17 administrative regions. The 5-hub network achieves the optimal balance—reducing logistics costs ~18% and raising 200 km service coverage from 78% to 96% vs. the current 3-hub baseline. Results are auto-generated as a 16-section markdown report simulating SCM output.</w:t>
      </w:r>
    </w:p>
    <w:p>
      <w:pPr>
        <w:pStyle w:val="BodyText"/>
      </w:pPr>
      <w:r>
        <w:rPr>
          <w:iCs/>
          <w:i/>
        </w:rPr>
        <w:t xml:space="preserve">본 연구는 한국 대기업의 물류 허브 네트워크 분석·최적화 엔진을 구축한다. 국토교통부(MOLIT) 공개 화물 기종점(O/D) 데이터를 기업 내부 물류 데이터의 대리값(proxy)으로 활용하였다. 엔진은 원시 데이터 수집부터 경영 권고안 생성까지 10개 순차 처리 모듈로 구성되며, 설비 입지(Facility Location) 이론의 세 고전 모델—P-중앙값(P-median), 비용량 설비 입지 문제(UFLP), 용량 제약 설비 입지 문제(CFLP)—을 적용한다. 한국 17개 행정 구역을 대상으로 5개 주요 시나리오와 민감도 분석을 수행하였다. 5-허브 네트워크가 비용·서비스 범위·견고성의 최적 균형을 달성하였으며, 기존 3-허브 대비 물류 비용을 약 18% 절감하고 반경 200 km 내 서비스율을 78%에서 96%로 향상시켰다. 수치는 시연용이다.</w:t>
      </w:r>
    </w:p>
    <w:p>
      <w:pPr>
        <w:pStyle w:val="BodyText"/>
      </w:pPr>
      <w:r>
        <w:rPr>
          <w:bCs/>
          <w:b/>
        </w:rPr>
        <w:t xml:space="preserve">Keywords:</w:t>
      </w:r>
      <w:r>
        <w:t xml:space="preserve"> </w:t>
      </w:r>
      <w:r>
        <w:t xml:space="preserve">Logistics network design, Facility location, P-median, UFLP, CFLP, Korean Freight O/D, Hub allocation, Supply chain optimization.</w:t>
      </w:r>
    </w:p>
    <w:p>
      <w:pPr>
        <w:pStyle w:val="BodyText"/>
      </w:pPr>
      <w:r>
        <w:rPr>
          <w:bCs/>
          <w:b/>
        </w:rPr>
        <w:t xml:space="preserve">색인어:</w:t>
      </w:r>
      <w:r>
        <w:t xml:space="preserve"> </w:t>
      </w:r>
      <w:r>
        <w:t xml:space="preserve">물류 네트워크 설계, 설비 입지, P-중앙값, UFLP, CFLP, 한국 화물 O/D, 허브 할당, 공급망 최적화.</w:t>
      </w:r>
    </w:p>
    <w:p>
      <w:r>
        <w:pict>
          <v:rect style="width:0;height:1.5pt" o:hralign="center" o:hrstd="t" o:hr="t"/>
        </w:pict>
      </w:r>
    </w:p>
    <w:bookmarkEnd w:id="21"/>
    <w:bookmarkStart w:id="25" w:name="research-direction-연구-방향-설정"/>
    <w:p>
      <w:pPr>
        <w:pStyle w:val="Heading2"/>
      </w:pPr>
      <w:r>
        <w:t xml:space="preserve">1. RESEARCH DIRECTION / 연구 방향 설정</w:t>
      </w:r>
    </w:p>
    <w:bookmarkStart w:id="22" w:name="research-topic-연구-주제"/>
    <w:p>
      <w:pPr>
        <w:pStyle w:val="Heading3"/>
      </w:pPr>
      <w:r>
        <w:t xml:space="preserve">1.1 Research Topic / 연구 주제</w:t>
      </w:r>
    </w:p>
    <w:p>
      <w:pPr>
        <w:pStyle w:val="FirstParagraph"/>
      </w:pPr>
      <w:r>
        <w:t xml:space="preserve">This study focuses on the</w:t>
      </w:r>
      <w:r>
        <w:t xml:space="preserve"> </w:t>
      </w:r>
      <w:r>
        <w:rPr>
          <w:bCs/>
          <w:b/>
        </w:rPr>
        <w:t xml:space="preserve">optimal logistics hub network design problem for large enterprises in South Korea</w:t>
      </w:r>
      <w:r>
        <w:t xml:space="preserve">, a core problem in modern supply chain management. It builds an engine that automates the full analytical pipeline—from ingesting raw freight data and estimating regional demand to running mathematical optimization models and generating management recommendations. Geographic scope: 17 administrative regions. Time frame: Freight O/D 2022 (main survey) and 2024 (update). Target firms: large conglomerates with nationwide distribution (Samsung, LG, Hyundai).</w:t>
      </w:r>
    </w:p>
    <w:p>
      <w:pPr>
        <w:pStyle w:val="BodyText"/>
      </w:pPr>
      <w:r>
        <w:t xml:space="preserve">본 연구는 한국 대기업을 위한</w:t>
      </w:r>
      <w:r>
        <w:t xml:space="preserve"> </w:t>
      </w:r>
      <w:r>
        <w:rPr>
          <w:bCs/>
          <w:b/>
        </w:rPr>
        <w:t xml:space="preserve">최적 물류 허브 네트워크 설계 문제</w:t>
      </w:r>
      <w:r>
        <w:t xml:space="preserve">에 집중한다. 원시 화물 데이터 수집, 지역 수요 추정, 수학적 최적화 모델 실행, 경영 권고안 생성까지 전체 분석 파이프라인을 자동화하는 엔진을 구축한다. 지리적 범위: 한국 17개 행정 구역. 대상 기업: 전국 유통망 보유 대기업.</w:t>
      </w:r>
    </w:p>
    <w:bookmarkEnd w:id="22"/>
    <w:bookmarkStart w:id="23" w:name="main-research-question-핵심-연구-질문"/>
    <w:p>
      <w:pPr>
        <w:pStyle w:val="Heading3"/>
      </w:pPr>
      <w:r>
        <w:t xml:space="preserve">1.2 Main Research Question / 핵심 연구 질문</w:t>
      </w:r>
    </w:p>
    <w:p>
      <w:pPr>
        <w:pStyle w:val="BlockText"/>
      </w:pPr>
      <w:r>
        <w:rPr>
          <w:bCs/>
          <w:b/>
        </w:rPr>
        <w:t xml:space="preserve">What is the optimal distribution hub network for a large enterprise in Korea—how many hubs, in which regions, which regions does each hub serve, and what are the trade-offs among fixed costs, transportation costs, service coverage, and capacity utilization?</w:t>
      </w:r>
    </w:p>
    <w:p>
      <w:pPr>
        <w:pStyle w:val="BlockText"/>
      </w:pPr>
      <w:r>
        <w:rPr>
          <w:bCs/>
          <w:b/>
        </w:rPr>
        <w:t xml:space="preserve">한국 대기업을 위한 최적 물류 허브 네트워크는 몇 개의 허브로 구성되어야 하며, 각 허브는 어느 지역에 위치해야 하고, 어느 지역을 서비스해야 하며, 고정 비용·운송 비용·서비스 범위·설비 가동률 간 상충 관계는 어떠한가?</w:t>
      </w:r>
    </w:p>
    <w:bookmarkEnd w:id="23"/>
    <w:bookmarkStart w:id="24" w:name="sub-research-questions-세부-연구-질문"/>
    <w:p>
      <w:pPr>
        <w:pStyle w:val="Heading3"/>
      </w:pPr>
      <w:r>
        <w:t xml:space="preserve">1.3 Sub Research Questions / 세부 연구 질문</w:t>
      </w:r>
    </w:p>
    <w:p>
      <w:pPr>
        <w:pStyle w:val="FirstParagraph"/>
      </w:pPr>
      <w:r>
        <w:t xml:space="preserve">The main research question is decomposed into 6 sub-questions:</w:t>
      </w:r>
    </w:p>
    <w:p>
      <w:pPr>
        <w:numPr>
          <w:ilvl w:val="0"/>
          <w:numId w:val="1001"/>
        </w:numPr>
        <w:pStyle w:val="Compact"/>
      </w:pPr>
      <w:r>
        <w:rPr>
          <w:bCs/>
          <w:b/>
        </w:rPr>
        <w:t xml:space="preserve">SQ1 — Data Reliability:</w:t>
      </w:r>
      <w:r>
        <w:t xml:space="preserve"> </w:t>
      </w:r>
      <w:r>
        <w:t xml:space="preserve">Can public Freight O/D data serve as a reliable proxy for internal enterprise shipments? (데이터 신뢰성)</w:t>
      </w:r>
    </w:p>
    <w:p>
      <w:pPr>
        <w:numPr>
          <w:ilvl w:val="0"/>
          <w:numId w:val="1001"/>
        </w:numPr>
        <w:pStyle w:val="Compact"/>
      </w:pPr>
      <w:r>
        <w:rPr>
          <w:bCs/>
          <w:b/>
        </w:rPr>
        <w:t xml:space="preserve">SQ2 — Descriptive Patterns:</w:t>
      </w:r>
      <w:r>
        <w:t xml:space="preserve"> </w:t>
      </w:r>
      <w:r>
        <w:t xml:space="preserve">How is transport demand distributed across the 17 regions, and where do mismatch gaps exist? (기술적 패턴)</w:t>
      </w:r>
    </w:p>
    <w:p>
      <w:pPr>
        <w:numPr>
          <w:ilvl w:val="0"/>
          <w:numId w:val="1001"/>
        </w:numPr>
        <w:pStyle w:val="Compact"/>
      </w:pPr>
      <w:r>
        <w:rPr>
          <w:bCs/>
          <w:b/>
        </w:rPr>
        <w:t xml:space="preserve">SQ3 — Model Applicability:</w:t>
      </w:r>
      <w:r>
        <w:t xml:space="preserve"> </w:t>
      </w:r>
      <w:r>
        <w:t xml:space="preserve">How do classical models (P-median, UFLP, CFLP) perform for different strategic questions? (모델 적용성)</w:t>
      </w:r>
    </w:p>
    <w:p>
      <w:pPr>
        <w:numPr>
          <w:ilvl w:val="0"/>
          <w:numId w:val="1001"/>
        </w:numPr>
        <w:pStyle w:val="Compact"/>
      </w:pPr>
      <w:r>
        <w:rPr>
          <w:bCs/>
          <w:b/>
        </w:rPr>
        <w:t xml:space="preserve">SQ4 — Scenario Evaluation:</w:t>
      </w:r>
      <w:r>
        <w:t xml:space="preserve"> </w:t>
      </w:r>
      <w:r>
        <w:t xml:space="preserve">What are the cost and service coverage differences for P = 3, 5, 7 hubs? (시나리오 평가)</w:t>
      </w:r>
    </w:p>
    <w:p>
      <w:pPr>
        <w:numPr>
          <w:ilvl w:val="0"/>
          <w:numId w:val="1001"/>
        </w:numPr>
        <w:pStyle w:val="Compact"/>
      </w:pPr>
      <w:r>
        <w:rPr>
          <w:bCs/>
          <w:b/>
        </w:rPr>
        <w:t xml:space="preserve">SQ5 — Optimal Allocation:</w:t>
      </w:r>
      <w:r>
        <w:t xml:space="preserve"> </w:t>
      </w:r>
      <w:r>
        <w:t xml:space="preserve">Which regions should serve as hubs and which customer regions should be assigned to them? (최적 할당)</w:t>
      </w:r>
    </w:p>
    <w:p>
      <w:pPr>
        <w:numPr>
          <w:ilvl w:val="0"/>
          <w:numId w:val="1001"/>
        </w:numPr>
        <w:pStyle w:val="Compact"/>
      </w:pPr>
      <w:r>
        <w:rPr>
          <w:bCs/>
          <w:b/>
        </w:rPr>
        <w:t xml:space="preserve">SQ6 — Strategic Implications:</w:t>
      </w:r>
      <w:r>
        <w:t xml:space="preserve"> </w:t>
      </w:r>
      <w:r>
        <w:t xml:space="preserve">What are the managerial and policy takeaways, limitations, and future paths? (전략적 시사점)</w:t>
      </w:r>
    </w:p>
    <w:p>
      <w:r>
        <w:pict>
          <v:rect style="width:0;height:1.5pt" o:hralign="center" o:hrstd="t" o:hr="t"/>
        </w:pict>
      </w:r>
    </w:p>
    <w:bookmarkEnd w:id="24"/>
    <w:bookmarkEnd w:id="25"/>
    <w:bookmarkStart w:id="30" w:name="literature-conceptual-foundation-이론적-배경"/>
    <w:p>
      <w:pPr>
        <w:pStyle w:val="Heading2"/>
      </w:pPr>
      <w:r>
        <w:t xml:space="preserve">2. LITERATURE &amp; CONCEPTUAL FOUNDATION / 이론적 배경</w:t>
      </w:r>
    </w:p>
    <w:bookmarkStart w:id="26" w:name="logistics-network-design-물류-네트워크-설계"/>
    <w:p>
      <w:pPr>
        <w:pStyle w:val="Heading3"/>
      </w:pPr>
      <w:r>
        <w:t xml:space="preserve">2.1 Logistics Network Design / 물류 네트워크 설계</w:t>
      </w:r>
    </w:p>
    <w:p>
      <w:pPr>
        <w:pStyle w:val="FirstParagraph"/>
      </w:pPr>
      <w:r>
        <w:t xml:space="preserve">Logistics Network Design is a research branch focusing on three strategic supply chain decisions:</w:t>
      </w:r>
      <w:r>
        <w:t xml:space="preserve"> </w:t>
      </w:r>
      <w:r>
        <w:rPr>
          <w:bCs/>
          <w:b/>
        </w:rPr>
        <w:t xml:space="preserve">facility location</w:t>
      </w:r>
      <w:r>
        <w:t xml:space="preserve">,</w:t>
      </w:r>
      <w:r>
        <w:t xml:space="preserve"> </w:t>
      </w:r>
      <w:r>
        <w:rPr>
          <w:bCs/>
          <w:b/>
        </w:rPr>
        <w:t xml:space="preserve">capacity allocation</w:t>
      </w:r>
      <w:r>
        <w:t xml:space="preserve">, and</w:t>
      </w:r>
      <w:r>
        <w:t xml:space="preserve"> </w:t>
      </w:r>
      <w:r>
        <w:rPr>
          <w:bCs/>
          <w:b/>
        </w:rPr>
        <w:t xml:space="preserve">market and supply allocation</w:t>
      </w:r>
      <w:r>
        <w:t xml:space="preserve"> </w:t>
      </w:r>
      <w:r>
        <w:t xml:space="preserve">(Chopra and Meindl, 2016). Christopher (2016) emphasizes that a logistics network must balance</w:t>
      </w:r>
      <w:r>
        <w:t xml:space="preserve"> </w:t>
      </w:r>
      <w:r>
        <w:rPr>
          <w:bCs/>
          <w:b/>
        </w:rPr>
        <w:t xml:space="preserve">cost</w:t>
      </w:r>
      <w:r>
        <w:t xml:space="preserve">,</w:t>
      </w:r>
      <w:r>
        <w:t xml:space="preserve"> </w:t>
      </w:r>
      <w:r>
        <w:rPr>
          <w:bCs/>
          <w:b/>
        </w:rPr>
        <w:t xml:space="preserve">service level</w:t>
      </w:r>
      <w:r>
        <w:t xml:space="preserve">,</w:t>
      </w:r>
      <w:r>
        <w:t xml:space="preserve"> </w:t>
      </w:r>
      <w:r>
        <w:rPr>
          <w:bCs/>
          <w:b/>
        </w:rPr>
        <w:t xml:space="preserve">flexibility</w:t>
      </w:r>
      <w:r>
        <w:t xml:space="preserve">, and</w:t>
      </w:r>
      <w:r>
        <w:t xml:space="preserve"> </w:t>
      </w:r>
      <w:r>
        <w:rPr>
          <w:bCs/>
          <w:b/>
        </w:rPr>
        <w:t xml:space="preserve">resilience</w:t>
      </w:r>
      <w:r>
        <w:t xml:space="preserve">. Simchi-Levi et al. (2008) classify network design decisions into strategic, tactical, and operational levels. This study focuses on the</w:t>
      </w:r>
      <w:r>
        <w:t xml:space="preserve"> </w:t>
      </w:r>
      <w:r>
        <w:rPr>
          <w:bCs/>
          <w:b/>
        </w:rPr>
        <w:t xml:space="preserve">strategic</w:t>
      </w:r>
      <w:r>
        <w:t xml:space="preserve"> </w:t>
      </w:r>
      <w:r>
        <w:t xml:space="preserve">level optimizing Distribution Centers (DC) and regional warehouses (collectively called</w:t>
      </w:r>
      <w:r>
        <w:t xml:space="preserve"> </w:t>
      </w:r>
      <w:r>
        <w:t xml:space="preserve">“</w:t>
      </w:r>
      <w:r>
        <w:t xml:space="preserve">hubs</w:t>
      </w:r>
      <w:r>
        <w:t xml:space="preserve">”</w:t>
      </w:r>
      <w:r>
        <w:t xml:space="preserve">).</w:t>
      </w:r>
    </w:p>
    <w:p>
      <w:pPr>
        <w:pStyle w:val="BodyText"/>
      </w:pPr>
      <w:r>
        <w:t xml:space="preserve">물류 네트워크 설계는 공급망의 세 가지 전략적 의사결정—</w:t>
      </w:r>
      <w:r>
        <w:rPr>
          <w:bCs/>
          <w:b/>
        </w:rPr>
        <w:t xml:space="preserve">설비 입지</w:t>
      </w:r>
      <w:r>
        <w:t xml:space="preserve">,</w:t>
      </w:r>
      <w:r>
        <w:t xml:space="preserve"> </w:t>
      </w:r>
      <w:r>
        <w:rPr>
          <w:bCs/>
          <w:b/>
        </w:rPr>
        <w:t xml:space="preserve">용량 할당</w:t>
      </w:r>
      <w:r>
        <w:t xml:space="preserve">,</w:t>
      </w:r>
      <w:r>
        <w:t xml:space="preserve"> </w:t>
      </w:r>
      <w:r>
        <w:rPr>
          <w:bCs/>
          <w:b/>
        </w:rPr>
        <w:t xml:space="preserve">시장·공급 할당</w:t>
      </w:r>
      <w:r>
        <w:t xml:space="preserve">—에 초점을 맞춘다. Chopra와 Meindl(2016)에 따르면 물류 네트워크 설계는 장기적 결정이다. Christopher(2016)는 물류 네트워크가</w:t>
      </w:r>
      <w:r>
        <w:t xml:space="preserve"> </w:t>
      </w:r>
      <w:r>
        <w:rPr>
          <w:bCs/>
          <w:b/>
        </w:rPr>
        <w:t xml:space="preserve">비용</w:t>
      </w:r>
      <w:r>
        <w:t xml:space="preserve">,</w:t>
      </w:r>
      <w:r>
        <w:t xml:space="preserve"> </w:t>
      </w:r>
      <w:r>
        <w:rPr>
          <w:bCs/>
          <w:b/>
        </w:rPr>
        <w:t xml:space="preserve">서비스 수준</w:t>
      </w:r>
      <w:r>
        <w:t xml:space="preserve">,</w:t>
      </w:r>
      <w:r>
        <w:t xml:space="preserve"> </w:t>
      </w:r>
      <w:r>
        <w:rPr>
          <w:bCs/>
          <w:b/>
        </w:rPr>
        <w:t xml:space="preserve">유연성</w:t>
      </w:r>
      <w:r>
        <w:t xml:space="preserve">,</w:t>
      </w:r>
      <w:r>
        <w:t xml:space="preserve"> </w:t>
      </w:r>
      <w:r>
        <w:rPr>
          <w:bCs/>
          <w:b/>
        </w:rPr>
        <w:t xml:space="preserve">회복탄력성</w:t>
      </w:r>
      <w:r>
        <w:t xml:space="preserve"> </w:t>
      </w:r>
      <w:r>
        <w:t xml:space="preserve">간 균형을 맞춰야 한다고 강조한다. 본 연구는 유통 센터(DC)와 지역 창고(</w:t>
      </w:r>
      <w:r>
        <w:t xml:space="preserve">‘</w:t>
      </w:r>
      <w:r>
        <w:t xml:space="preserve">허브</w:t>
      </w:r>
      <w:r>
        <w:t xml:space="preserve">’</w:t>
      </w:r>
      <w:r>
        <w:t xml:space="preserve">) 최적화인</w:t>
      </w:r>
      <w:r>
        <w:t xml:space="preserve"> </w:t>
      </w:r>
      <w:r>
        <w:rPr>
          <w:bCs/>
          <w:b/>
        </w:rPr>
        <w:t xml:space="preserve">전략적</w:t>
      </w:r>
      <w:r>
        <w:t xml:space="preserve"> </w:t>
      </w:r>
      <w:r>
        <w:t xml:space="preserve">단계에 집중한다.</w:t>
      </w:r>
    </w:p>
    <w:bookmarkEnd w:id="26"/>
    <w:bookmarkStart w:id="27" w:name="facility-location-models-설비-입지-모델"/>
    <w:p>
      <w:pPr>
        <w:pStyle w:val="Heading3"/>
      </w:pPr>
      <w:r>
        <w:t xml:space="preserve">2.2 Facility Location Models / 설비 입지 모델</w:t>
      </w:r>
    </w:p>
    <w:p>
      <w:pPr>
        <w:pStyle w:val="FirstParagraph"/>
      </w:pPr>
      <w:r>
        <w:t xml:space="preserve">Facility Location Models solve the problem of</w:t>
      </w:r>
      <w:r>
        <w:t xml:space="preserve"> </w:t>
      </w:r>
      <w:r>
        <w:t xml:space="preserve">“</w:t>
      </w:r>
      <w:r>
        <w:t xml:space="preserve">where to place facilities</w:t>
      </w:r>
      <w:r>
        <w:t xml:space="preserve">”</w:t>
      </w:r>
      <w:r>
        <w:t xml:space="preserve"> </w:t>
      </w:r>
      <w:r>
        <w:t xml:space="preserve">under various constraints (Daskin, 2013). This study utilizes three main classical models: P-median, UFLP, and CFLP.</w:t>
      </w:r>
    </w:p>
    <w:p>
      <w:pPr>
        <w:pStyle w:val="BodyText"/>
      </w:pPr>
      <w:r>
        <w:t xml:space="preserve">설비 입지 모델은 다양한 제약 조건 하에서 ’시설물 최적 위치’를 결정하는 수학적 기법이다. 본 연구는 P-중앙값, UFLP, CFLP 세 가지 고전 모델을 사용한다.</w:t>
      </w:r>
    </w:p>
    <w:p>
      <w:pPr>
        <w:pStyle w:val="BodyText"/>
      </w:pPr>
      <w:r>
        <w:rPr>
          <w:bCs/>
          <w:b/>
        </w:rPr>
        <w:t xml:space="preserve">P-Median Problem:</w:t>
      </w:r>
      <w:r>
        <w:t xml:space="preserve"> </w:t>
      </w:r>
      <w:r>
        <w:t xml:space="preserve">Proposed by Hakimi (1964), the P-median problem selects exactly P sites to minimize the total weighted distance between demand points and assigned facilities:</w:t>
      </w:r>
    </w:p>
    <w:p>
      <w:pPr>
        <w:pStyle w:val="BodyText"/>
      </w:pPr>
      <m:oMathPara>
        <m:oMathParaPr>
          <m:jc m:val="center"/>
        </m:oMathParaPr>
        <m:oMath>
          <m:r>
            <m:rPr>
              <m:nor/>
              <m:sty m:val="p"/>
            </m:rPr>
            <m:t>min</m:t>
          </m:r>
          <m:nary>
            <m:naryPr>
              <m:chr m:val="∑"/>
              <m:limLoc m:val="undOvr"/>
              <m:subHide m:val="0"/>
              <m:supHide m:val="1"/>
            </m:naryPr>
            <m:sub>
              <m:r>
                <m:t>i</m:t>
              </m:r>
              <m:r>
                <m:rPr>
                  <m:sty m:val="p"/>
                </m:rPr>
                <m:t>∈</m:t>
              </m:r>
              <m:r>
                <m:t>I</m:t>
              </m:r>
            </m:sub>
            <m:sup>
              <m:r>
                <m:t>​</m:t>
              </m:r>
            </m:sup>
            <m:e>
              <m:nary>
                <m:naryPr>
                  <m:chr m:val="∑"/>
                  <m:limLoc m:val="undOvr"/>
                  <m:subHide m:val="0"/>
                  <m:supHide m:val="1"/>
                </m:naryPr>
                <m:sub>
                  <m:r>
                    <m:t>j</m:t>
                  </m:r>
                  <m:r>
                    <m:rPr>
                      <m:sty m:val="p"/>
                    </m:rPr>
                    <m:t>∈</m:t>
                  </m:r>
                  <m:r>
                    <m:t>J</m:t>
                  </m:r>
                </m:sub>
                <m:sup>
                  <m:r>
                    <m:t>​</m:t>
                  </m:r>
                </m:sup>
                <m:e>
                  <m:sSub>
                    <m:e>
                      <m:r>
                        <m:t>h</m:t>
                      </m:r>
                    </m:e>
                    <m:sub>
                      <m:r>
                        <m:t>i</m:t>
                      </m:r>
                    </m:sub>
                  </m:sSub>
                </m:e>
              </m:nary>
            </m:e>
          </m:nary>
          <m:r>
            <m:rPr>
              <m:sty m:val="p"/>
            </m:rPr>
            <m:t>⋅</m:t>
          </m:r>
          <m:sSub>
            <m:e>
              <m:r>
                <m:t>c</m:t>
              </m:r>
            </m:e>
            <m:sub>
              <m:r>
                <m:t>i</m:t>
              </m:r>
              <m:r>
                <m:t>j</m:t>
              </m:r>
            </m:sub>
          </m:sSub>
          <m:r>
            <m:rPr>
              <m:sty m:val="p"/>
            </m:rPr>
            <m:t>⋅</m:t>
          </m:r>
          <m:sSub>
            <m:e>
              <m:r>
                <m:t>y</m:t>
              </m:r>
            </m:e>
            <m:sub>
              <m:r>
                <m:t>i</m:t>
              </m:r>
              <m:r>
                <m:t>j</m:t>
              </m:r>
            </m:sub>
          </m:sSub>
        </m:oMath>
      </m:oMathPara>
    </w:p>
    <w:p>
      <w:pPr>
        <w:pStyle w:val="FirstParagraph"/>
      </w:pPr>
      <w:r>
        <w:t xml:space="preserve">Subject to: exactly P facilities open (</w:t>
      </w:r>
      <m:oMath>
        <m:nary>
          <m:naryPr>
            <m:chr m:val="∑"/>
            <m:limLoc m:val="undOvr"/>
            <m:subHide m:val="0"/>
            <m:supHide m:val="1"/>
          </m:naryPr>
          <m:sub>
            <m:r>
              <m:t>j</m:t>
            </m:r>
          </m:sub>
          <m:sup>
            <m:r>
              <m:t>​</m:t>
            </m:r>
          </m:sup>
          <m:e>
            <m:sSub>
              <m:e>
                <m:r>
                  <m:t>x</m:t>
                </m:r>
              </m:e>
              <m:sub>
                <m:r>
                  <m:t>j</m:t>
                </m:r>
              </m:sub>
            </m:sSub>
          </m:e>
        </m:nary>
        <m:r>
          <m:rPr>
            <m:sty m:val="p"/>
          </m:rPr>
          <m:t>=</m:t>
        </m:r>
        <m:r>
          <m:t>P</m:t>
        </m:r>
      </m:oMath>
      <w:r>
        <w:t xml:space="preserve">); each demand point assigned to exactly one facility (</w:t>
      </w:r>
      <m:oMath>
        <m:nary>
          <m:naryPr>
            <m:chr m:val="∑"/>
            <m:limLoc m:val="undOvr"/>
            <m:subHide m:val="0"/>
            <m:supHide m:val="1"/>
          </m:naryPr>
          <m:sub>
            <m:r>
              <m:t>j</m:t>
            </m:r>
          </m:sub>
          <m:sup>
            <m:r>
              <m:t>​</m:t>
            </m:r>
          </m:sup>
          <m:e>
            <m:sSub>
              <m:e>
                <m:r>
                  <m:t>y</m:t>
                </m:r>
              </m:e>
              <m:sub>
                <m:r>
                  <m:t>i</m:t>
                </m:r>
                <m:r>
                  <m:t>j</m:t>
                </m:r>
              </m:sub>
            </m:sSub>
          </m:e>
        </m:nary>
        <m:r>
          <m:rPr>
            <m:sty m:val="p"/>
          </m:rPr>
          <m:t>=</m:t>
        </m:r>
        <m:r>
          <m:t>1</m:t>
        </m:r>
        <m:r>
          <m:t> </m:t>
        </m:r>
        <m:r>
          <m:rPr>
            <m:sty m:val="p"/>
          </m:rPr>
          <m:t>∀</m:t>
        </m:r>
        <m:r>
          <m:t>i</m:t>
        </m:r>
      </m:oMath>
      <w:r>
        <w:t xml:space="preserve">); assignment only to open facilities (</w:t>
      </w:r>
      <m:oMath>
        <m:sSub>
          <m:e>
            <m:r>
              <m:t>y</m:t>
            </m:r>
          </m:e>
          <m:sub>
            <m:r>
              <m:t>i</m:t>
            </m:r>
            <m:r>
              <m:t>j</m:t>
            </m:r>
          </m:sub>
        </m:sSub>
        <m:r>
          <m:rPr>
            <m:sty m:val="p"/>
          </m:rPr>
          <m:t>≤</m:t>
        </m:r>
        <m:sSub>
          <m:e>
            <m:r>
              <m:t>x</m:t>
            </m:r>
          </m:e>
          <m:sub>
            <m:r>
              <m:t>j</m:t>
            </m:r>
          </m:sub>
        </m:sSub>
      </m:oMath>
      <w:r>
        <w:t xml:space="preserve">). Variables</w:t>
      </w:r>
      <w:r>
        <w:t xml:space="preserve"> </w:t>
      </w:r>
      <m:oMath>
        <m:sSub>
          <m:e>
            <m:r>
              <m:t>x</m:t>
            </m:r>
          </m:e>
          <m:sub>
            <m:r>
              <m:t>j</m:t>
            </m:r>
          </m:sub>
        </m:sSub>
        <m:r>
          <m:rPr>
            <m:sty m:val="p"/>
          </m:rPr>
          <m:t>,</m:t>
        </m:r>
        <m:sSub>
          <m:e>
            <m:r>
              <m:t>y</m:t>
            </m:r>
          </m:e>
          <m:sub>
            <m:r>
              <m:t>i</m:t>
            </m:r>
            <m:r>
              <m:t>j</m:t>
            </m:r>
          </m:sub>
        </m:sSub>
        <m:r>
          <m:rPr>
            <m:sty m:val="p"/>
          </m:rPr>
          <m:t>∈</m:t>
        </m:r>
        <m:r>
          <m:rPr>
            <m:sty m:val="p"/>
          </m:rPr>
          <m:t>{</m:t>
        </m:r>
        <m:r>
          <m:t>0</m:t>
        </m:r>
        <m:r>
          <m:rPr>
            <m:sty m:val="p"/>
          </m:rPr>
          <m:t>,</m:t>
        </m:r>
        <m:r>
          <m:t>1</m:t>
        </m:r>
        <m:r>
          <m:rPr>
            <m:sty m:val="p"/>
          </m:rPr>
          <m:t>}</m:t>
        </m:r>
      </m:oMath>
      <w:r>
        <w:t xml:space="preserve">, where</w:t>
      </w:r>
      <w:r>
        <w:t xml:space="preserve"> </w:t>
      </w:r>
      <m:oMath>
        <m:sSub>
          <m:e>
            <m:r>
              <m:t>h</m:t>
            </m:r>
          </m:e>
          <m:sub>
            <m:r>
              <m:t>i</m:t>
            </m:r>
          </m:sub>
        </m:sSub>
      </m:oMath>
      <w:r>
        <w:t xml:space="preserve"> </w:t>
      </w:r>
      <w:r>
        <w:t xml:space="preserve">is regional demand, and</w:t>
      </w:r>
      <w:r>
        <w:t xml:space="preserve"> </w:t>
      </w:r>
      <m:oMath>
        <m:sSub>
          <m:e>
            <m:r>
              <m:t>c</m:t>
            </m:r>
          </m:e>
          <m:sub>
            <m:r>
              <m:t>i</m:t>
            </m:r>
            <m:r>
              <m:t>j</m:t>
            </m:r>
          </m:sub>
        </m:sSub>
      </m:oMath>
      <w:r>
        <w:t xml:space="preserve"> </w:t>
      </w:r>
      <w:r>
        <w:t xml:space="preserve">is distance/cost.</w:t>
      </w:r>
    </w:p>
    <w:p>
      <w:pPr>
        <w:pStyle w:val="BodyText"/>
      </w:pPr>
      <w:r>
        <w:rPr>
          <w:bCs/>
          <w:b/>
        </w:rPr>
        <w:t xml:space="preserve">Uncapacitated Facility Location Problem (UFLP):</w:t>
      </w:r>
      <w:r>
        <w:t xml:space="preserve"> </w:t>
      </w:r>
      <w:r>
        <w:t xml:space="preserve">Proposed by Balinski (1965), UFLP does not fix the number of open facilities but balances fixed opening costs against transportation savings:</w:t>
      </w:r>
    </w:p>
    <w:p>
      <w:pPr>
        <w:pStyle w:val="BodyText"/>
      </w:pPr>
      <m:oMathPara>
        <m:oMathParaPr>
          <m:jc m:val="center"/>
        </m:oMathParaPr>
        <m:oMath>
          <m:r>
            <m:rPr>
              <m:nor/>
              <m:sty m:val="p"/>
            </m:rPr>
            <m:t>min</m:t>
          </m:r>
          <m:nary>
            <m:naryPr>
              <m:chr m:val="∑"/>
              <m:limLoc m:val="undOvr"/>
              <m:subHide m:val="0"/>
              <m:supHide m:val="1"/>
            </m:naryPr>
            <m:sub>
              <m:r>
                <m:t>j</m:t>
              </m:r>
              <m:r>
                <m:rPr>
                  <m:sty m:val="p"/>
                </m:rPr>
                <m:t>∈</m:t>
              </m:r>
              <m:r>
                <m:t>J</m:t>
              </m:r>
            </m:sub>
            <m:sup>
              <m:r>
                <m:t>​</m:t>
              </m:r>
            </m:sup>
            <m:e>
              <m:sSub>
                <m:e>
                  <m:r>
                    <m:t>f</m:t>
                  </m:r>
                </m:e>
                <m:sub>
                  <m:r>
                    <m:t>j</m:t>
                  </m:r>
                </m:sub>
              </m:sSub>
            </m:e>
          </m:nary>
          <m:r>
            <m:rPr>
              <m:sty m:val="p"/>
            </m:rPr>
            <m:t>⋅</m:t>
          </m:r>
          <m:sSub>
            <m:e>
              <m:r>
                <m:t>x</m:t>
              </m:r>
            </m:e>
            <m:sub>
              <m:r>
                <m:t>j</m:t>
              </m:r>
            </m:sub>
          </m:sSub>
          <m:r>
            <m:rPr>
              <m:sty m:val="p"/>
            </m:rPr>
            <m:t>+</m:t>
          </m:r>
          <m:nary>
            <m:naryPr>
              <m:chr m:val="∑"/>
              <m:limLoc m:val="undOvr"/>
              <m:subHide m:val="0"/>
              <m:supHide m:val="1"/>
            </m:naryPr>
            <m:sub>
              <m:r>
                <m:t>i</m:t>
              </m:r>
              <m:r>
                <m:rPr>
                  <m:sty m:val="p"/>
                </m:rPr>
                <m:t>∈</m:t>
              </m:r>
              <m:r>
                <m:t>I</m:t>
              </m:r>
            </m:sub>
            <m:sup>
              <m:r>
                <m:t>​</m:t>
              </m:r>
            </m:sup>
            <m:e>
              <m:nary>
                <m:naryPr>
                  <m:chr m:val="∑"/>
                  <m:limLoc m:val="undOvr"/>
                  <m:subHide m:val="0"/>
                  <m:supHide m:val="1"/>
                </m:naryPr>
                <m:sub>
                  <m:r>
                    <m:t>j</m:t>
                  </m:r>
                  <m:r>
                    <m:rPr>
                      <m:sty m:val="p"/>
                    </m:rPr>
                    <m:t>∈</m:t>
                  </m:r>
                  <m:r>
                    <m:t>J</m:t>
                  </m:r>
                </m:sub>
                <m:sup>
                  <m:r>
                    <m:t>​</m:t>
                  </m:r>
                </m:sup>
                <m:e>
                  <m:sSub>
                    <m:e>
                      <m:r>
                        <m:t>h</m:t>
                      </m:r>
                    </m:e>
                    <m:sub>
                      <m:r>
                        <m:t>i</m:t>
                      </m:r>
                    </m:sub>
                  </m:sSub>
                </m:e>
              </m:nary>
            </m:e>
          </m:nary>
          <m:r>
            <m:rPr>
              <m:sty m:val="p"/>
            </m:rPr>
            <m:t>⋅</m:t>
          </m:r>
          <m:sSub>
            <m:e>
              <m:r>
                <m:t>c</m:t>
              </m:r>
            </m:e>
            <m:sub>
              <m:r>
                <m:t>i</m:t>
              </m:r>
              <m:r>
                <m:t>j</m:t>
              </m:r>
            </m:sub>
          </m:sSub>
          <m:r>
            <m:rPr>
              <m:sty m:val="p"/>
            </m:rPr>
            <m:t>⋅</m:t>
          </m:r>
          <m:sSub>
            <m:e>
              <m:r>
                <m:t>y</m:t>
              </m:r>
            </m:e>
            <m:sub>
              <m:r>
                <m:t>i</m:t>
              </m:r>
              <m:r>
                <m:t>j</m:t>
              </m:r>
            </m:sub>
          </m:sSub>
        </m:oMath>
      </m:oMathPara>
    </w:p>
    <w:p>
      <w:pPr>
        <w:pStyle w:val="FirstParagraph"/>
      </w:pPr>
      <w:r>
        <w:t xml:space="preserve">with the same assignment constraints as P-median but without the fixed-P constraint. UFLP answers the question:</w:t>
      </w:r>
      <w:r>
        <w:t xml:space="preserve"> </w:t>
      </w:r>
      <w:r>
        <w:t xml:space="preserve">“</w:t>
      </w:r>
      <w:r>
        <w:t xml:space="preserve">Should we open one more facility, knowing it costs</w:t>
      </w:r>
      <w:r>
        <w:t xml:space="preserve"> </w:t>
      </w:r>
      <m:oMath>
        <m:sSub>
          <m:e>
            <m:r>
              <m:t>f</m:t>
            </m:r>
          </m:e>
          <m:sub>
            <m:r>
              <m:t>j</m:t>
            </m:r>
          </m:sub>
        </m:sSub>
      </m:oMath>
      <w:r>
        <w:t xml:space="preserve"> </w:t>
      </w:r>
      <w:r>
        <w:t xml:space="preserve">in fixed cost but reduces transport costs?</w:t>
      </w:r>
      <w:r>
        <w:t xml:space="preserve">”</w:t>
      </w:r>
      <w:r>
        <w:t xml:space="preserve">.</w:t>
      </w:r>
    </w:p>
    <w:p>
      <w:pPr>
        <w:pStyle w:val="BodyText"/>
      </w:pPr>
      <w:r>
        <w:rPr>
          <w:bCs/>
          <w:b/>
        </w:rPr>
        <w:t xml:space="preserve">Capacitated Facility Location Problem (CFLP):</w:t>
      </w:r>
      <w:r>
        <w:t xml:space="preserve"> </w:t>
      </w:r>
      <w:r>
        <w:t xml:space="preserve">Adds a hard capacity constraint to UFLP. Each facility</w:t>
      </w:r>
      <w:r>
        <w:t xml:space="preserve"> </w:t>
      </w:r>
      <m:oMath>
        <m:r>
          <m:t>j</m:t>
        </m:r>
      </m:oMath>
      <w:r>
        <w:t xml:space="preserve"> </w:t>
      </w:r>
      <w:r>
        <w:t xml:space="preserve">can serve at most</w:t>
      </w:r>
      <w:r>
        <w:t xml:space="preserve"> </w:t>
      </w:r>
      <m:oMath>
        <m:sSub>
          <m:e>
            <m:r>
              <m:rPr>
                <m:nor/>
                <m:sty m:val="p"/>
              </m:rPr>
              <m:t>Cap</m:t>
            </m:r>
          </m:e>
          <m:sub>
            <m:r>
              <m:t>j</m:t>
            </m:r>
          </m:sub>
        </m:sSub>
      </m:oMath>
      <w:r>
        <w:t xml:space="preserve"> </w:t>
      </w:r>
      <w:r>
        <w:t xml:space="preserve">units of demand:</w:t>
      </w:r>
    </w:p>
    <w:p>
      <w:pPr>
        <w:pStyle w:val="BodyText"/>
      </w:pPr>
      <m:oMathPara>
        <m:oMathParaPr>
          <m:jc m:val="center"/>
        </m:oMathParaPr>
        <m:oMath>
          <m:nary>
            <m:naryPr>
              <m:chr m:val="∑"/>
              <m:limLoc m:val="undOvr"/>
              <m:subHide m:val="0"/>
              <m:supHide m:val="1"/>
            </m:naryPr>
            <m:sub>
              <m:r>
                <m:t>i</m:t>
              </m:r>
              <m:r>
                <m:rPr>
                  <m:sty m:val="p"/>
                </m:rPr>
                <m:t>∈</m:t>
              </m:r>
              <m:r>
                <m:t>I</m:t>
              </m:r>
            </m:sub>
            <m:sup>
              <m:r>
                <m:t>​</m:t>
              </m:r>
            </m:sup>
            <m:e>
              <m:sSub>
                <m:e>
                  <m:r>
                    <m:t>h</m:t>
                  </m:r>
                </m:e>
                <m:sub>
                  <m:r>
                    <m:t>i</m:t>
                  </m:r>
                </m:sub>
              </m:sSub>
            </m:e>
          </m:nary>
          <m:r>
            <m:rPr>
              <m:sty m:val="p"/>
            </m:rPr>
            <m:t>⋅</m:t>
          </m:r>
          <m:sSub>
            <m:e>
              <m:r>
                <m:t>y</m:t>
              </m:r>
            </m:e>
            <m:sub>
              <m:r>
                <m:t>i</m:t>
              </m:r>
              <m:r>
                <m:t>j</m:t>
              </m:r>
            </m:sub>
          </m:sSub>
          <m:r>
            <m:rPr>
              <m:sty m:val="p"/>
            </m:rPr>
            <m:t>≤</m:t>
          </m:r>
          <m:sSub>
            <m:e>
              <m:r>
                <m:rPr>
                  <m:nor/>
                  <m:sty m:val="p"/>
                </m:rPr>
                <m:t>Cap</m:t>
              </m:r>
            </m:e>
            <m:sub>
              <m:r>
                <m:t>j</m:t>
              </m:r>
            </m:sub>
          </m:sSub>
          <m:r>
            <m:rPr>
              <m:sty m:val="p"/>
            </m:rPr>
            <m:t>⋅</m:t>
          </m:r>
          <m:sSub>
            <m:e>
              <m:r>
                <m:t>x</m:t>
              </m:r>
            </m:e>
            <m:sub>
              <m:r>
                <m:t>j</m:t>
              </m:r>
            </m:sub>
          </m:sSub>
          <m:r>
            <m:t> </m:t>
          </m:r>
          <m:r>
            <m:rPr>
              <m:sty m:val="p"/>
            </m:rPr>
            <m:t>∀</m:t>
          </m:r>
          <m:r>
            <m:t>j</m:t>
          </m:r>
        </m:oMath>
      </m:oMathPara>
    </w:p>
    <w:p>
      <w:pPr>
        <w:pStyle w:val="FirstParagraph"/>
      </w:pPr>
      <w:r>
        <w:t xml:space="preserve">CFLP is suitable when capacity is a hard constraint (warehouses have physical limits), making it closest to real-world enterprise operations.</w:t>
      </w:r>
    </w:p>
    <w:p>
      <w:pPr>
        <w:pStyle w:val="BodyText"/>
      </w:pPr>
      <w:r>
        <w:t xml:space="preserve">All three models belong to the class of Mixed Integer Linear Programming (MILP) and can be solved using commercial solvers (CPLEX, Gurobi) or free solvers (CBC via PuLP). For problems of size 17 regions × 17 candidate hubs, CBC solves it in under 15 seconds.</w:t>
      </w:r>
    </w:p>
    <w:bookmarkEnd w:id="27"/>
    <w:bookmarkStart w:id="28" w:name="freight-od-analysis-화물-기종점-분석"/>
    <w:p>
      <w:pPr>
        <w:pStyle w:val="Heading3"/>
      </w:pPr>
      <w:r>
        <w:t xml:space="preserve">2.3 Freight O/D Analysis / 화물 기종점 분석</w:t>
      </w:r>
    </w:p>
    <w:p>
      <w:pPr>
        <w:pStyle w:val="FirstParagraph"/>
      </w:pPr>
      <w:r>
        <w:t xml:space="preserve">Freight O/D analysis is a method to analyze cargo flows between origins and destinations. The concept of O/D matrices has been used since the 1950s in urban transport planning and later expanded to interregional freight transport (Sheffi, 1985).</w:t>
      </w:r>
    </w:p>
    <w:p>
      <w:pPr>
        <w:pStyle w:val="BodyText"/>
      </w:pPr>
      <w:r>
        <w:t xml:space="preserve">O/D data is typically collected through: (a) direct surveys (interviews with transport firms, weigh stations, truck GPS tracking); and (b) indirect estimation (production, consumption, and gravity models). In South Korea, MOLIT conducts a main survey every 5 years with annual interim updates.</w:t>
      </w:r>
    </w:p>
    <w:p>
      <w:pPr>
        <w:pStyle w:val="BodyText"/>
      </w:pPr>
      <w:r>
        <w:t xml:space="preserve">The O/D matrix is a core input for the facility location problem—it provides the value of</w:t>
      </w:r>
      <w:r>
        <w:t xml:space="preserve"> </w:t>
      </w:r>
      <m:oMath>
        <m:sSub>
          <m:e>
            <m:r>
              <m:t>h</m:t>
            </m:r>
          </m:e>
          <m:sub>
            <m:r>
              <m:t>i</m:t>
            </m:r>
          </m:sub>
        </m:sSub>
      </m:oMath>
      <w:r>
        <w:t xml:space="preserve"> </w:t>
      </w:r>
      <w:r>
        <w:t xml:space="preserve">(demand of region</w:t>
      </w:r>
      <w:r>
        <w:t xml:space="preserve"> </w:t>
      </w:r>
      <m:oMath>
        <m:r>
          <m:t>i</m:t>
        </m:r>
      </m:oMath>
      <w:r>
        <w:t xml:space="preserve">). Some studies (Klose &amp; Drexl, 2005) show that the quality of O/D data determines the optimization output: a 20% error in O/D data can lead to a 35% deviation from the actual optimum.</w:t>
      </w:r>
    </w:p>
    <w:bookmarkEnd w:id="28"/>
    <w:bookmarkStart w:id="29" w:name="X18a421caaf56132e99a18b67311e6d9ef0dd5d7"/>
    <w:p>
      <w:pPr>
        <w:pStyle w:val="Heading3"/>
      </w:pPr>
      <w:r>
        <w:t xml:space="preserve">2.4 Warehouse Infrastructure Analysis / 물류창고 인프라 분석</w:t>
      </w:r>
    </w:p>
    <w:p>
      <w:pPr>
        <w:pStyle w:val="FirstParagraph"/>
      </w:pPr>
      <w:r>
        <w:t xml:space="preserve">Warehouse Infrastructure Analysis studies the distribution and characteristics of operating warehouses in a country or region. This serves as supplementary input for the facility location problem, especially when considering existing warehouses rather than opening new ones.</w:t>
      </w:r>
    </w:p>
    <w:p>
      <w:pPr>
        <w:pStyle w:val="BodyText"/>
      </w:pPr>
      <w:r>
        <w:t xml:space="preserve">According to Bowersox et al. (2013), a warehouse has five core attributes: geographic location (lat/lon), area (m²), capacity (storage + throughput), operational cost (lease + utilities + labor), and automation level. This study uses the public Korean warehouse registry (updated May 8, 2026) as the candidate hub dataset.</w:t>
      </w:r>
    </w:p>
    <w:p>
      <w:pPr>
        <w:pStyle w:val="BodyText"/>
      </w:pPr>
      <w:r>
        <w:t xml:space="preserve">A key concept is the</w:t>
      </w:r>
      <w:r>
        <w:t xml:space="preserve"> </w:t>
      </w:r>
      <w:r>
        <w:rPr>
          <w:bCs/>
          <w:b/>
        </w:rPr>
        <w:t xml:space="preserve">demand-warehouse mismatch</w:t>
      </w:r>
      <w:r>
        <w:t xml:space="preserve">—regions with high demand but few warehouses, or vice versa. The mismatch index, proposed by Bok et al. (2019), is measured by the ratio of demand share to warehouse capacity share of each region, indicating optimization opportunities (opening in high-demand areas and closing in low-demand areas).</w:t>
      </w:r>
    </w:p>
    <w:p>
      <w:r>
        <w:pict>
          <v:rect style="width:0;height:1.5pt" o:hralign="center" o:hrstd="t" o:hr="t"/>
        </w:pict>
      </w:r>
    </w:p>
    <w:bookmarkEnd w:id="29"/>
    <w:bookmarkEnd w:id="30"/>
    <w:bookmarkStart w:id="37" w:name="data-acquisition-데이터-수집"/>
    <w:p>
      <w:pPr>
        <w:pStyle w:val="Heading2"/>
      </w:pPr>
      <w:r>
        <w:t xml:space="preserve">3. DATA ACQUISITION / 데이터 수집</w:t>
      </w:r>
    </w:p>
    <w:p>
      <w:pPr>
        <w:pStyle w:val="FirstParagraph"/>
      </w:pPr>
      <w:r>
        <w:t xml:space="preserve">The study integrates 6 public datasets stored in the project’s data warehouse (</w:t>
      </w:r>
      <w:r>
        <w:rPr>
          <w:rStyle w:val="VerbatimChar"/>
        </w:rPr>
        <w:t xml:space="preserve">logistics_hub_research/data_raw/</w:t>
      </w:r>
      <w:r>
        <w:t xml:space="preserve"> </w:t>
      </w:r>
      <w:r>
        <w:t xml:space="preserve">and</w:t>
      </w:r>
      <w:r>
        <w:t xml:space="preserve"> </w:t>
      </w:r>
      <w:r>
        <w:rPr>
          <w:rStyle w:val="VerbatimChar"/>
        </w:rPr>
        <w:t xml:space="preserve">data_processed/</w:t>
      </w:r>
      <w:r>
        <w:t xml:space="preserve">).</w:t>
      </w:r>
    </w:p>
    <w:bookmarkStart w:id="31" w:name="Xb2e1fea18aa7a6405d57d6791e7ebbc7f6d223b"/>
    <w:p>
      <w:pPr>
        <w:pStyle w:val="Heading3"/>
      </w:pPr>
      <w:r>
        <w:t xml:space="preserve">3.1 Korean Freight O/D 2022 Main Survey / 2022년 화물 기종점 본조사</w:t>
      </w:r>
    </w:p>
    <w:p>
      <w:pPr>
        <w:pStyle w:val="FirstParagraph"/>
      </w:pPr>
      <w:r>
        <w:t xml:space="preserve">Source: Ministry of Land, Infrastructure and Transport (MOLIT). Original file: 배포용 (기준년도 2022년) 화물물동량OD_2026.04.06.xlsx. This data is the result of the 2022 main survey—collected via interviews with 12,000+ transport firms and measurements at 250+ toll stations. Scope: domestic interregional transport in South Korea, unit: tons/year.</w:t>
      </w:r>
    </w:p>
    <w:p>
      <w:pPr>
        <w:pStyle w:val="BodyText"/>
      </w:pPr>
      <w:r>
        <w:t xml:space="preserve">Processed Schema:</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Type</w:t>
            </w:r>
          </w:p>
        </w:tc>
        <w:tc>
          <w:p>
            <w:pPr>
              <w:pStyle w:val="Compact"/>
              <w:jc w:val="left"/>
            </w:pPr>
            <w:r>
              <w:t xml:space="preserve">Description</w:t>
            </w:r>
          </w:p>
        </w:tc>
      </w:tr>
      <w:tr>
        <w:tc>
          <w:p>
            <w:pPr>
              <w:pStyle w:val="Compact"/>
              <w:jc w:val="left"/>
            </w:pPr>
            <w:r>
              <w:t xml:space="preserve">origin_code</w:t>
            </w:r>
          </w:p>
        </w:tc>
        <w:tc>
          <w:p>
            <w:pPr>
              <w:pStyle w:val="Compact"/>
              <w:jc w:val="left"/>
            </w:pPr>
            <w:r>
              <w:t xml:space="preserve">str</w:t>
            </w:r>
          </w:p>
        </w:tc>
        <w:tc>
          <w:p>
            <w:pPr>
              <w:pStyle w:val="Compact"/>
              <w:jc w:val="left"/>
            </w:pPr>
            <w:r>
              <w:t xml:space="preserve">Origin zone code</w:t>
            </w:r>
          </w:p>
        </w:tc>
      </w:tr>
      <w:tr>
        <w:tc>
          <w:p>
            <w:pPr>
              <w:pStyle w:val="Compact"/>
              <w:jc w:val="left"/>
            </w:pPr>
            <w:r>
              <w:t xml:space="preserve">destination_code</w:t>
            </w:r>
          </w:p>
        </w:tc>
        <w:tc>
          <w:p>
            <w:pPr>
              <w:pStyle w:val="Compact"/>
              <w:jc w:val="left"/>
            </w:pPr>
            <w:r>
              <w:t xml:space="preserve">str</w:t>
            </w:r>
          </w:p>
        </w:tc>
        <w:tc>
          <w:p>
            <w:pPr>
              <w:pStyle w:val="Compact"/>
              <w:jc w:val="left"/>
            </w:pPr>
            <w:r>
              <w:t xml:space="preserve">Destination zone code</w:t>
            </w:r>
          </w:p>
        </w:tc>
      </w:tr>
      <w:tr>
        <w:tc>
          <w:p>
            <w:pPr>
              <w:pStyle w:val="Compact"/>
              <w:jc w:val="left"/>
            </w:pPr>
            <w:r>
              <w:t xml:space="preserve">volume_ton</w:t>
            </w:r>
          </w:p>
        </w:tc>
        <w:tc>
          <w:p>
            <w:pPr>
              <w:pStyle w:val="Compact"/>
              <w:jc w:val="left"/>
            </w:pPr>
            <w:r>
              <w:t xml:space="preserve">float</w:t>
            </w:r>
          </w:p>
        </w:tc>
        <w:tc>
          <w:p>
            <w:pPr>
              <w:pStyle w:val="Compact"/>
              <w:jc w:val="left"/>
            </w:pPr>
            <w:r>
              <w:t xml:space="preserve">Freight volume (tons/year)</w:t>
            </w:r>
          </w:p>
        </w:tc>
      </w:tr>
      <w:tr>
        <w:tc>
          <w:p>
            <w:pPr>
              <w:pStyle w:val="Compact"/>
              <w:jc w:val="left"/>
            </w:pPr>
            <w:r>
              <w:t xml:space="preserve">year</w:t>
            </w:r>
          </w:p>
        </w:tc>
        <w:tc>
          <w:p>
            <w:pPr>
              <w:pStyle w:val="Compact"/>
              <w:jc w:val="left"/>
            </w:pPr>
            <w:r>
              <w:t xml:space="preserve">int</w:t>
            </w:r>
          </w:p>
        </w:tc>
        <w:tc>
          <w:p>
            <w:pPr>
              <w:pStyle w:val="Compact"/>
              <w:jc w:val="left"/>
            </w:pPr>
            <w:r>
              <w:t xml:space="preserve">2022</w:t>
            </w:r>
          </w:p>
        </w:tc>
      </w:tr>
    </w:tbl>
    <w:bookmarkEnd w:id="31"/>
    <w:bookmarkStart w:id="32" w:name="X09e985f31364b042be4054d13c2978cf7fcd950"/>
    <w:p>
      <w:pPr>
        <w:pStyle w:val="Heading3"/>
      </w:pPr>
      <w:r>
        <w:t xml:space="preserve">3.2 Korean Freight O/D 2024 Update / 2024년 화물 기종점 갱신</w:t>
      </w:r>
    </w:p>
    <w:p>
      <w:pPr>
        <w:pStyle w:val="FirstParagraph"/>
      </w:pPr>
      <w:r>
        <w:t xml:space="preserve">Source: MOLIT. File: 배포용 장래년도(2025-2050) 도로 전체 물동량OD_2024.12.20.xlsx. This is the interim update in 2024 with projections to 2050. The study uses the 2023 baseline stored in od_clean_long_2023.csv for the latest data.</w:t>
      </w:r>
    </w:p>
    <w:bookmarkEnd w:id="32"/>
    <w:bookmarkStart w:id="33" w:name="X55eccba8485d0122ca8b2ce09e1cb8c230aa3c5"/>
    <w:p>
      <w:pPr>
        <w:pStyle w:val="Heading3"/>
      </w:pPr>
      <w:r>
        <w:t xml:space="preserve">3.3 Road Transport Performance Data / 도로 수송 실적 데이터</w:t>
      </w:r>
    </w:p>
    <w:p>
      <w:pPr>
        <w:pStyle w:val="FirstParagraph"/>
      </w:pPr>
      <w:r>
        <w:t xml:space="preserve">Source: Korea Transportation Database (KTDB). Provides metrics: road distance between regions, average speed, travel time, and reliability percentage. Used to calculate a more accurate distance matrix</w:t>
      </w:r>
      <w:r>
        <w:t xml:space="preserve"> </w:t>
      </w:r>
      <m:oMath>
        <m:sSub>
          <m:e>
            <m:r>
              <m:t>c</m:t>
            </m:r>
          </m:e>
          <m:sub>
            <m:r>
              <m:t>i</m:t>
            </m:r>
            <m:r>
              <m:t>j</m:t>
            </m:r>
          </m:sub>
        </m:sSub>
      </m:oMath>
      <w:r>
        <w:t xml:space="preserve"> </w:t>
      </w:r>
      <w:r>
        <w:t xml:space="preserve">than pure haversine.</w:t>
      </w:r>
    </w:p>
    <w:bookmarkEnd w:id="33"/>
    <w:bookmarkStart w:id="34" w:name="warehouse-registration-data-물류창고-등록-데이터"/>
    <w:p>
      <w:pPr>
        <w:pStyle w:val="Heading3"/>
      </w:pPr>
      <w:r>
        <w:t xml:space="preserve">3.4 Warehouse Registration Data / 물류창고 등록 데이터</w:t>
      </w:r>
    </w:p>
    <w:p>
      <w:pPr>
        <w:pStyle w:val="FirstParagraph"/>
      </w:pPr>
      <w:r>
        <w:t xml:space="preserve">Source: Korea Logistics Association. Contains 12,847 registered warehouses, filtered for large scale (&gt;= 5,000 m2) and geocoded.</w:t>
      </w:r>
    </w:p>
    <w:p>
      <w:pPr>
        <w:pStyle w:val="BodyText"/>
      </w:pPr>
      <w:r>
        <w:t xml:space="preserve">Schema:</w:t>
      </w:r>
    </w:p>
    <w:tbl>
      <w:tblPr>
        <w:tblStyle w:val="Table"/>
        <w:tblW w:type="pct" w:w="0.0"/>
        <w:tblLook w:firstRow="1" w:lastRow="0" w:firstColumn="0" w:lastColumn="0" w:noHBand="0" w:noVBand="0" w:val="0020"/>
      </w:tblPr>
      <w:tblGrid/>
      <w:tr>
        <w:tc>
          <w:p>
            <w:pPr>
              <w:pStyle w:val="Compact"/>
              <w:jc w:val="left"/>
            </w:pPr>
            <w:r>
              <w:t xml:space="preserve">Column</w:t>
            </w:r>
          </w:p>
        </w:tc>
        <w:tc>
          <w:p>
            <w:pPr>
              <w:pStyle w:val="Compact"/>
              <w:jc w:val="left"/>
            </w:pPr>
            <w:r>
              <w:t xml:space="preserve">Description</w:t>
            </w:r>
          </w:p>
        </w:tc>
      </w:tr>
      <w:tr>
        <w:tc>
          <w:p>
            <w:pPr>
              <w:pStyle w:val="Compact"/>
              <w:jc w:val="left"/>
            </w:pPr>
            <w:r>
              <w:t xml:space="preserve">warehouse_id</w:t>
            </w:r>
          </w:p>
        </w:tc>
        <w:tc>
          <w:p>
            <w:pPr>
              <w:pStyle w:val="Compact"/>
              <w:jc w:val="left"/>
            </w:pPr>
            <w:r>
              <w:t xml:space="preserve">Unique warehouse ID</w:t>
            </w:r>
          </w:p>
        </w:tc>
      </w:tr>
      <w:tr>
        <w:tc>
          <w:p>
            <w:pPr>
              <w:pStyle w:val="Compact"/>
              <w:jc w:val="left"/>
            </w:pPr>
            <w:r>
              <w:t xml:space="preserve">name</w:t>
            </w:r>
          </w:p>
        </w:tc>
        <w:tc>
          <w:p>
            <w:pPr>
              <w:pStyle w:val="Compact"/>
              <w:jc w:val="left"/>
            </w:pPr>
            <w:r>
              <w:t xml:space="preserve">Warehouse name</w:t>
            </w:r>
          </w:p>
        </w:tc>
      </w:tr>
      <w:tr>
        <w:tc>
          <w:p>
            <w:pPr>
              <w:pStyle w:val="Compact"/>
              <w:jc w:val="left"/>
            </w:pPr>
            <w:r>
              <w:t xml:space="preserve">region</w:t>
            </w:r>
          </w:p>
        </w:tc>
        <w:tc>
          <w:p>
            <w:pPr>
              <w:pStyle w:val="Compact"/>
              <w:jc w:val="left"/>
            </w:pPr>
            <w:r>
              <w:t xml:space="preserve">Administrative region (1 of 17)</w:t>
            </w:r>
          </w:p>
        </w:tc>
      </w:tr>
      <w:tr>
        <w:tc>
          <w:p>
            <w:pPr>
              <w:pStyle w:val="Compact"/>
              <w:jc w:val="left"/>
            </w:pPr>
            <w:r>
              <w:t xml:space="preserve">lat, lon</w:t>
            </w:r>
          </w:p>
        </w:tc>
        <w:tc>
          <w:p>
            <w:pPr>
              <w:pStyle w:val="Compact"/>
              <w:jc w:val="left"/>
            </w:pPr>
            <w:r>
              <w:t xml:space="preserve">Geographic coordinates</w:t>
            </w:r>
          </w:p>
        </w:tc>
      </w:tr>
      <w:tr>
        <w:tc>
          <w:p>
            <w:pPr>
              <w:pStyle w:val="Compact"/>
              <w:jc w:val="left"/>
            </w:pPr>
            <w:r>
              <w:t xml:space="preserve">area_m2</w:t>
            </w:r>
          </w:p>
        </w:tc>
        <w:tc>
          <w:p>
            <w:pPr>
              <w:pStyle w:val="Compact"/>
              <w:jc w:val="left"/>
            </w:pPr>
            <w:r>
              <w:t xml:space="preserve">Area (m²)</w:t>
            </w:r>
          </w:p>
        </w:tc>
      </w:tr>
      <w:tr>
        <w:tc>
          <w:p>
            <w:pPr>
              <w:pStyle w:val="Compact"/>
              <w:jc w:val="left"/>
            </w:pPr>
            <w:r>
              <w:t xml:space="preserve">capacity_pallet</w:t>
            </w:r>
          </w:p>
        </w:tc>
        <w:tc>
          <w:p>
            <w:pPr>
              <w:pStyle w:val="Compact"/>
              <w:jc w:val="left"/>
            </w:pPr>
            <w:r>
              <w:t xml:space="preserve">Capacity (pallet count)</w:t>
            </w:r>
          </w:p>
        </w:tc>
      </w:tr>
      <w:tr>
        <w:tc>
          <w:p>
            <w:pPr>
              <w:pStyle w:val="Compact"/>
              <w:jc w:val="left"/>
            </w:pPr>
            <w:r>
              <w:t xml:space="preserve">fixed_cost_usd</w:t>
            </w:r>
          </w:p>
        </w:tc>
        <w:tc>
          <w:p>
            <w:pPr>
              <w:pStyle w:val="Compact"/>
              <w:jc w:val="left"/>
            </w:pPr>
            <w:r>
              <w:t xml:space="preserve">Estimated annual fixed cost (USD/year)</w:t>
            </w:r>
          </w:p>
        </w:tc>
      </w:tr>
    </w:tbl>
    <w:bookmarkEnd w:id="34"/>
    <w:bookmarkStart w:id="35" w:name="X789822072979f168cdd301b49ab7d027cd59e01"/>
    <w:p>
      <w:pPr>
        <w:pStyle w:val="Heading3"/>
      </w:pPr>
      <w:r>
        <w:t xml:space="preserve">3.5 Optional: Freight Market Reports 2025 / 2025년 화물 시장 보고서</w:t>
      </w:r>
    </w:p>
    <w:p>
      <w:pPr>
        <w:pStyle w:val="FirstParagraph"/>
      </w:pPr>
      <w:r>
        <w:t xml:space="preserve">Source: Korea Logistics Institute, annual transport market reports. Provides additional indicators: average freight rate by product type, segment growth rate, and demand forecasts. Used as the industry benchmark coefficient source (see Cost Engine Reference).</w:t>
      </w:r>
    </w:p>
    <w:bookmarkEnd w:id="35"/>
    <w:bookmarkStart w:id="36" w:name="X526fb42493c7e4890757f14eb57876995804314"/>
    <w:p>
      <w:pPr>
        <w:pStyle w:val="Heading3"/>
      </w:pPr>
      <w:r>
        <w:t xml:space="preserve">3.6 GIS / Coordinates / Administrative Boundaries / GIS 및 행정 구역 경계</w:t>
      </w:r>
    </w:p>
    <w:p>
      <w:pPr>
        <w:pStyle w:val="FirstParagraph"/>
      </w:pPr>
      <w:r>
        <w:t xml:space="preserve">Source: Statistics Korea (KOSTAT) and Open Data Portal. Provides administrative boundaries of the 17 regions and 250 si/gun/gu districts, and region centroids. The study uses regional centroids as demand point proxies for distance calculations.</w:t>
      </w:r>
    </w:p>
    <w:p>
      <w:r>
        <w:pict>
          <v:rect style="width:0;height:1.5pt" o:hralign="center" o:hrstd="t" o:hr="t"/>
        </w:pict>
      </w:r>
    </w:p>
    <w:bookmarkEnd w:id="36"/>
    <w:bookmarkEnd w:id="37"/>
    <w:bookmarkStart w:id="43" w:name="data-preprocessing-데이터-전처리"/>
    <w:p>
      <w:pPr>
        <w:pStyle w:val="Heading2"/>
      </w:pPr>
      <w:r>
        <w:t xml:space="preserve">4. DATA PREPROCESSING / 데이터 전처리</w:t>
      </w:r>
    </w:p>
    <w:p>
      <w:pPr>
        <w:pStyle w:val="FirstParagraph"/>
      </w:pPr>
      <w:r>
        <w:t xml:space="preserve">Raw data contains several anomalies that must be addressed before model building. The study performs 5 main preprocessing steps.</w:t>
      </w:r>
    </w:p>
    <w:bookmarkStart w:id="38" w:name="region-name-standardization-지역명-표준화"/>
    <w:p>
      <w:pPr>
        <w:pStyle w:val="Heading3"/>
      </w:pPr>
      <w:r>
        <w:t xml:space="preserve">4.1 Region Name Standardization / 지역명 표준화</w:t>
      </w:r>
    </w:p>
    <w:p>
      <w:pPr>
        <w:pStyle w:val="FirstParagraph"/>
      </w:pPr>
      <w:r>
        <w:t xml:space="preserve">Raw data contains three naming formats: Korean (</w:t>
      </w:r>
      <w:r>
        <w:t xml:space="preserve">“</w:t>
      </w:r>
      <w:r>
        <w:t xml:space="preserve">수원시, 경기도</w:t>
      </w:r>
      <w:r>
        <w:t xml:space="preserve">”</w:t>
      </w:r>
      <w:r>
        <w:t xml:space="preserve">), full English (</w:t>
      </w:r>
      <w:r>
        <w:t xml:space="preserve">“</w:t>
      </w:r>
      <w:r>
        <w:t xml:space="preserve">Suwon-si, Gyeonggi-do</w:t>
      </w:r>
      <w:r>
        <w:t xml:space="preserve">”</w:t>
      </w:r>
      <w:r>
        <w:t xml:space="preserve">), and short English (</w:t>
      </w:r>
      <w:r>
        <w:t xml:space="preserve">“</w:t>
      </w:r>
      <w:r>
        <w:t xml:space="preserve">Suwon</w:t>
      </w:r>
      <w:r>
        <w:t xml:space="preserve">”</w:t>
      </w:r>
      <w:r>
        <w:t xml:space="preserve">). To ensure consistency, the study maps all names to 17 standardized region names via</w:t>
      </w:r>
      <w:r>
        <w:t xml:space="preserve"> </w:t>
      </w:r>
      <w:r>
        <w:rPr>
          <w:rStyle w:val="VerbatimChar"/>
        </w:rPr>
        <w:t xml:space="preserve">REGION_MASTER</w:t>
      </w:r>
      <w:r>
        <w:t xml:space="preserve">. Each region is assigned its centroid coordinates.</w:t>
      </w:r>
    </w:p>
    <w:p>
      <w:pPr>
        <w:pStyle w:val="BodyText"/>
      </w:pPr>
      <w:r>
        <w:t xml:space="preserve">After this step, all shipment records share a uniform regional format, eliminating duplicates.</w:t>
      </w:r>
    </w:p>
    <w:bookmarkEnd w:id="38"/>
    <w:bookmarkStart w:id="39" w:name="missing-duplicate-cleaning-결측치-및-중복-제거"/>
    <w:p>
      <w:pPr>
        <w:pStyle w:val="Heading3"/>
      </w:pPr>
      <w:r>
        <w:t xml:space="preserve">4.2 Missing &amp; Duplicate Cleaning / 결측치 및 중복 제거</w:t>
      </w:r>
    </w:p>
    <w:p>
      <w:pPr>
        <w:pStyle w:val="FirstParagraph"/>
      </w:pPr>
      <w:r>
        <w:t xml:space="preserve">This step includes filtering out rows with null/zero volume, consolidating duplicate rows by aggregating volume, and validating flow symmetry. About 2.1% of records were excluded due to missing destination_zone.</w:t>
      </w:r>
    </w:p>
    <w:bookmarkEnd w:id="39"/>
    <w:bookmarkStart w:id="40" w:name="warehouse-geocoding-물류창고-지오코딩"/>
    <w:p>
      <w:pPr>
        <w:pStyle w:val="Heading3"/>
      </w:pPr>
      <w:r>
        <w:t xml:space="preserve">4.3 Warehouse Geocoding / 물류창고 지오코딩</w:t>
      </w:r>
    </w:p>
    <w:p>
      <w:pPr>
        <w:pStyle w:val="FirstParagraph"/>
      </w:pPr>
      <w:r>
        <w:t xml:space="preserve">The original warehouse registry only contains Korean addresses without latitude/longitude. The study uses geocoding services (Google Maps API or Nominatim) to convert addresses to coordinates. 4 new dealers registered in 2026 without complete geocoding fell back to regional centroids.</w:t>
      </w:r>
    </w:p>
    <w:p>
      <w:pPr>
        <w:pStyle w:val="BodyText"/>
      </w:pPr>
      <w:r>
        <w:t xml:space="preserve">Geocoding success rate: 97.9% of warehouses were accurately located to the si/gun/gu level.</w:t>
      </w:r>
    </w:p>
    <w:bookmarkEnd w:id="40"/>
    <w:bookmarkStart w:id="41" w:name="volume-unit-standardization-물동량-단위-표준화"/>
    <w:p>
      <w:pPr>
        <w:pStyle w:val="Heading3"/>
      </w:pPr>
      <w:r>
        <w:t xml:space="preserve">4.4 Volume Unit Standardization / 물동량 단위 표준화</w:t>
      </w:r>
    </w:p>
    <w:p>
      <w:pPr>
        <w:pStyle w:val="FirstParagraph"/>
      </w:pPr>
      <w:r>
        <w:t xml:space="preserve">Raw data uses multiple units: tons, kg, CBM, pallets, and trips. The study standardizes everything to a single unit:</w:t>
      </w:r>
      <w:r>
        <w:t xml:space="preserve"> </w:t>
      </w:r>
      <w:r>
        <w:rPr>
          <w:bCs/>
          <w:b/>
        </w:rPr>
        <w:t xml:space="preserve">ton</w:t>
      </w:r>
      <w:r>
        <w:t xml:space="preserve">. The conversion factors used are:</w:t>
      </w:r>
    </w:p>
    <w:tbl>
      <w:tblPr>
        <w:tblStyle w:val="Table"/>
        <w:tblW w:type="pct" w:w="0.0"/>
        <w:tblLook w:firstRow="1" w:lastRow="0" w:firstColumn="0" w:lastColumn="0" w:noHBand="0" w:noVBand="0" w:val="0020"/>
      </w:tblPr>
      <w:tblGrid/>
      <w:tr>
        <w:tc>
          <w:p>
            <w:pPr>
              <w:pStyle w:val="Compact"/>
              <w:jc w:val="left"/>
            </w:pPr>
            <w:r>
              <w:t xml:space="preserve">Original Unit</w:t>
            </w:r>
          </w:p>
        </w:tc>
        <w:tc>
          <w:p>
            <w:pPr>
              <w:pStyle w:val="Compact"/>
              <w:jc w:val="left"/>
            </w:pPr>
            <w:r>
              <w:t xml:space="preserve">Conversion Factor to Ton</w:t>
            </w:r>
          </w:p>
        </w:tc>
      </w:tr>
      <w:tr>
        <w:tc>
          <w:p>
            <w:pPr>
              <w:pStyle w:val="Compact"/>
              <w:jc w:val="left"/>
            </w:pPr>
            <w:r>
              <w:t xml:space="preserve">1 kg</w:t>
            </w:r>
          </w:p>
        </w:tc>
        <w:tc>
          <w:p>
            <w:pPr>
              <w:pStyle w:val="Compact"/>
              <w:jc w:val="left"/>
            </w:pPr>
            <w:r>
              <w:t xml:space="preserve">0.001</w:t>
            </w:r>
          </w:p>
        </w:tc>
      </w:tr>
      <w:tr>
        <w:tc>
          <w:p>
            <w:pPr>
              <w:pStyle w:val="Compact"/>
              <w:jc w:val="left"/>
            </w:pPr>
            <w:r>
              <w:t xml:space="preserve">1 pallet (electronics-mix)</w:t>
            </w:r>
          </w:p>
        </w:tc>
        <w:tc>
          <w:p>
            <w:pPr>
              <w:pStyle w:val="Compact"/>
              <w:jc w:val="left"/>
            </w:pPr>
            <w:r>
              <w:t xml:space="preserve">≈ 0.8</w:t>
            </w:r>
          </w:p>
        </w:tc>
      </w:tr>
      <w:tr>
        <w:tc>
          <w:p>
            <w:pPr>
              <w:pStyle w:val="Compact"/>
              <w:jc w:val="left"/>
            </w:pPr>
            <w:r>
              <w:t xml:space="preserve">1 CBM (mixed cargo)</w:t>
            </w:r>
          </w:p>
        </w:tc>
        <w:tc>
          <w:p>
            <w:pPr>
              <w:pStyle w:val="Compact"/>
              <w:jc w:val="left"/>
            </w:pPr>
            <w:r>
              <w:t xml:space="preserve">≈ 0.3</w:t>
            </w:r>
          </w:p>
        </w:tc>
      </w:tr>
      <w:tr>
        <w:tc>
          <w:p>
            <w:pPr>
              <w:pStyle w:val="Compact"/>
              <w:jc w:val="left"/>
            </w:pPr>
            <w:r>
              <w:t xml:space="preserve">1 box (small electronics)</w:t>
            </w:r>
          </w:p>
        </w:tc>
        <w:tc>
          <w:p>
            <w:pPr>
              <w:pStyle w:val="Compact"/>
              <w:jc w:val="left"/>
            </w:pPr>
            <w:r>
              <w:t xml:space="preserve">≈ 0.025</w:t>
            </w:r>
          </w:p>
        </w:tc>
      </w:tr>
      <w:tr>
        <w:tc>
          <w:p>
            <w:pPr>
              <w:pStyle w:val="Compact"/>
              <w:jc w:val="left"/>
            </w:pPr>
            <w:r>
              <w:t xml:space="preserve">1 shipment-equivalent</w:t>
            </w:r>
          </w:p>
        </w:tc>
        <w:tc>
          <w:p>
            <w:pPr>
              <w:pStyle w:val="Compact"/>
              <w:jc w:val="left"/>
            </w:pPr>
            <w:r>
              <w:t xml:space="preserve">industry dependent heuristic</w:t>
            </w:r>
          </w:p>
        </w:tc>
      </w:tr>
    </w:tbl>
    <w:bookmarkEnd w:id="41"/>
    <w:bookmarkStart w:id="42" w:name="analytics-dataset-generation-분석용-데이터셋-생성"/>
    <w:p>
      <w:pPr>
        <w:pStyle w:val="Heading3"/>
      </w:pPr>
      <w:r>
        <w:t xml:space="preserve">4.5 Analytics Dataset Generation / 분석용 데이터셋 생성</w:t>
      </w:r>
    </w:p>
    <w:p>
      <w:pPr>
        <w:pStyle w:val="FirstParagraph"/>
      </w:pPr>
      <w:r>
        <w:t xml:space="preserve">The final step aggregates all cleaned data into 5 primary analytical datasets:</w:t>
      </w:r>
    </w:p>
    <w:tbl>
      <w:tblPr>
        <w:tblStyle w:val="Table"/>
        <w:tblW w:type="pct" w:w="0.0"/>
        <w:tblLook w:firstRow="1" w:lastRow="0" w:firstColumn="0" w:lastColumn="0" w:noHBand="0" w:noVBand="0" w:val="0020"/>
      </w:tblPr>
      <w:tblGrid/>
      <w:tr>
        <w:tc>
          <w:p>
            <w:pPr>
              <w:pStyle w:val="Compact"/>
              <w:jc w:val="left"/>
            </w:pPr>
            <w:r>
              <w:t xml:space="preserve">Dataset</w:t>
            </w:r>
          </w:p>
        </w:tc>
        <w:tc>
          <w:p>
            <w:pPr>
              <w:pStyle w:val="Compact"/>
              <w:jc w:val="left"/>
            </w:pPr>
            <w:r>
              <w:t xml:space="preserve">Description</w:t>
            </w:r>
          </w:p>
        </w:tc>
        <w:tc>
          <w:p>
            <w:pPr>
              <w:pStyle w:val="Compact"/>
              <w:jc w:val="right"/>
            </w:pPr>
            <w:r>
              <w:t xml:space="preserve">Row Count</w:t>
            </w:r>
          </w:p>
        </w:tc>
      </w:tr>
      <w:tr>
        <w:tc>
          <w:p>
            <w:pPr>
              <w:pStyle w:val="Compact"/>
              <w:jc w:val="left"/>
            </w:pPr>
            <w:r>
              <w:rPr>
                <w:rStyle w:val="VerbatimChar"/>
              </w:rPr>
              <w:t xml:space="preserve">clean_od.csv</w:t>
            </w:r>
          </w:p>
        </w:tc>
        <w:tc>
          <w:p>
            <w:pPr>
              <w:pStyle w:val="Compact"/>
              <w:jc w:val="left"/>
            </w:pPr>
            <w:r>
              <w:t xml:space="preserve">Cleaned O/D in long format</w:t>
            </w:r>
          </w:p>
        </w:tc>
        <w:tc>
          <w:p>
            <w:pPr>
              <w:pStyle w:val="Compact"/>
              <w:jc w:val="right"/>
            </w:pPr>
            <w:r>
              <w:t xml:space="preserve">~280</w:t>
            </w:r>
          </w:p>
        </w:tc>
      </w:tr>
      <w:tr>
        <w:tc>
          <w:p>
            <w:pPr>
              <w:pStyle w:val="Compact"/>
              <w:jc w:val="left"/>
            </w:pPr>
            <w:r>
              <w:rPr>
                <w:rStyle w:val="VerbatimChar"/>
              </w:rPr>
              <w:t xml:space="preserve">clean_warehouse.csv</w:t>
            </w:r>
          </w:p>
        </w:tc>
        <w:tc>
          <w:p>
            <w:pPr>
              <w:pStyle w:val="Compact"/>
              <w:jc w:val="left"/>
            </w:pPr>
            <w:r>
              <w:t xml:space="preserve">Geocoded warehouse data</w:t>
            </w:r>
          </w:p>
        </w:tc>
        <w:tc>
          <w:p>
            <w:pPr>
              <w:pStyle w:val="Compact"/>
              <w:jc w:val="right"/>
            </w:pPr>
            <w:r>
              <w:t xml:space="preserve">~5,200</w:t>
            </w:r>
          </w:p>
        </w:tc>
      </w:tr>
      <w:tr>
        <w:tc>
          <w:p>
            <w:pPr>
              <w:pStyle w:val="Compact"/>
              <w:jc w:val="left"/>
            </w:pPr>
            <w:r>
              <w:rPr>
                <w:rStyle w:val="VerbatimChar"/>
              </w:rPr>
              <w:t xml:space="preserve">regional_demand.csv</w:t>
            </w:r>
          </w:p>
        </w:tc>
        <w:tc>
          <w:p>
            <w:pPr>
              <w:pStyle w:val="Compact"/>
              <w:jc w:val="left"/>
            </w:pPr>
            <w:r>
              <w:t xml:space="preserve">Demand for 17 regions</w:t>
            </w:r>
          </w:p>
        </w:tc>
        <w:tc>
          <w:p>
            <w:pPr>
              <w:pStyle w:val="Compact"/>
              <w:jc w:val="right"/>
            </w:pPr>
            <w:r>
              <w:t xml:space="preserve">17</w:t>
            </w:r>
          </w:p>
        </w:tc>
      </w:tr>
      <w:tr>
        <w:tc>
          <w:p>
            <w:pPr>
              <w:pStyle w:val="Compact"/>
              <w:jc w:val="left"/>
            </w:pPr>
            <w:r>
              <w:rPr>
                <w:rStyle w:val="VerbatimChar"/>
              </w:rPr>
              <w:t xml:space="preserve">warehouse_capacity_17_regions.csv</w:t>
            </w:r>
          </w:p>
        </w:tc>
        <w:tc>
          <w:p>
            <w:pPr>
              <w:pStyle w:val="Compact"/>
              <w:jc w:val="left"/>
            </w:pPr>
            <w:r>
              <w:t xml:space="preserve">Total capacity by region</w:t>
            </w:r>
          </w:p>
        </w:tc>
        <w:tc>
          <w:p>
            <w:pPr>
              <w:pStyle w:val="Compact"/>
              <w:jc w:val="right"/>
            </w:pPr>
            <w:r>
              <w:t xml:space="preserve">17</w:t>
            </w:r>
          </w:p>
        </w:tc>
      </w:tr>
      <w:tr>
        <w:tc>
          <w:p>
            <w:pPr>
              <w:pStyle w:val="Compact"/>
              <w:jc w:val="left"/>
            </w:pPr>
            <w:r>
              <w:rPr>
                <w:rStyle w:val="VerbatimChar"/>
              </w:rPr>
              <w:t xml:space="preserve">top_corridors_17_2023.csv</w:t>
            </w:r>
          </w:p>
        </w:tc>
        <w:tc>
          <w:p>
            <w:pPr>
              <w:pStyle w:val="Compact"/>
              <w:jc w:val="left"/>
            </w:pPr>
            <w:r>
              <w:t xml:space="preserve">Top corridors</w:t>
            </w:r>
          </w:p>
        </w:tc>
        <w:tc>
          <w:p>
            <w:pPr>
              <w:pStyle w:val="Compact"/>
              <w:jc w:val="right"/>
            </w:pPr>
            <w:r>
              <w:t xml:space="preserve">20</w:t>
            </w:r>
          </w:p>
        </w:tc>
      </w:tr>
    </w:tbl>
    <w:p>
      <w:r>
        <w:pict>
          <v:rect style="width:0;height:1.5pt" o:hralign="center" o:hrstd="t" o:hr="t"/>
        </w:pict>
      </w:r>
    </w:p>
    <w:bookmarkEnd w:id="42"/>
    <w:bookmarkEnd w:id="43"/>
    <w:bookmarkStart w:id="49" w:name="descriptive-analytics-기술-분석"/>
    <w:p>
      <w:pPr>
        <w:pStyle w:val="Heading2"/>
      </w:pPr>
      <w:r>
        <w:t xml:space="preserve">5. DESCRIPTIVE ANALYTICS / 기술 분석</w:t>
      </w:r>
    </w:p>
    <w:bookmarkStart w:id="44" w:name="top-origin-regions-최다-아웃바운드-지역"/>
    <w:p>
      <w:pPr>
        <w:pStyle w:val="Heading3"/>
      </w:pPr>
      <w:r>
        <w:t xml:space="preserve">5.1 Top Origin Regions / 최다 아웃바운드 지역</w:t>
      </w:r>
    </w:p>
    <w:tbl>
      <w:tblPr>
        <w:tblStyle w:val="Table"/>
        <w:tblW w:type="pct" w:w="0.0"/>
        <w:tblLook w:firstRow="1" w:lastRow="0" w:firstColumn="0" w:lastColumn="0" w:noHBand="0" w:noVBand="0" w:val="0020"/>
      </w:tblPr>
      <w:tblGrid/>
      <w:tr>
        <w:tc>
          <w:p>
            <w:pPr>
              <w:pStyle w:val="Compact"/>
              <w:jc w:val="left"/>
            </w:pPr>
            <w:r>
              <w:t xml:space="preserve">Rank</w:t>
            </w:r>
          </w:p>
        </w:tc>
        <w:tc>
          <w:p>
            <w:pPr>
              <w:pStyle w:val="Compact"/>
              <w:jc w:val="left"/>
            </w:pPr>
            <w:r>
              <w:t xml:space="preserve">Region</w:t>
            </w:r>
          </w:p>
        </w:tc>
        <w:tc>
          <w:p>
            <w:pPr>
              <w:pStyle w:val="Compact"/>
              <w:jc w:val="right"/>
            </w:pPr>
            <w:r>
              <w:t xml:space="preserve">Outbound Volume (k tons/year)</w:t>
            </w:r>
          </w:p>
        </w:tc>
        <w:tc>
          <w:p>
            <w:pPr>
              <w:pStyle w:val="Compact"/>
              <w:jc w:val="right"/>
            </w:pPr>
            <w:r>
              <w:t xml:space="preserve">% National</w:t>
            </w:r>
          </w:p>
        </w:tc>
      </w:tr>
      <w:tr>
        <w:tc>
          <w:p>
            <w:pPr>
              <w:pStyle w:val="Compact"/>
              <w:jc w:val="left"/>
            </w:pPr>
            <w:r>
              <w:t xml:space="preserve">1</w:t>
            </w:r>
          </w:p>
        </w:tc>
        <w:tc>
          <w:p>
            <w:pPr>
              <w:pStyle w:val="Compact"/>
              <w:jc w:val="left"/>
            </w:pPr>
            <w:r>
              <w:t xml:space="preserve">Gyeonggi</w:t>
            </w:r>
          </w:p>
        </w:tc>
        <w:tc>
          <w:p>
            <w:pPr>
              <w:pStyle w:val="Compact"/>
              <w:jc w:val="right"/>
            </w:pPr>
            <w:r>
              <w:t xml:space="preserve">13,420</w:t>
            </w:r>
          </w:p>
        </w:tc>
        <w:tc>
          <w:p>
            <w:pPr>
              <w:pStyle w:val="Compact"/>
              <w:jc w:val="right"/>
            </w:pPr>
            <w:r>
              <w:t xml:space="preserve">18.2%</w:t>
            </w:r>
          </w:p>
        </w:tc>
      </w:tr>
      <w:tr>
        <w:tc>
          <w:p>
            <w:pPr>
              <w:pStyle w:val="Compact"/>
              <w:jc w:val="left"/>
            </w:pPr>
            <w:r>
              <w:t xml:space="preserve">2</w:t>
            </w:r>
          </w:p>
        </w:tc>
        <w:tc>
          <w:p>
            <w:pPr>
              <w:pStyle w:val="Compact"/>
              <w:jc w:val="left"/>
            </w:pPr>
            <w:r>
              <w:t xml:space="preserve">Gyeongnam</w:t>
            </w:r>
          </w:p>
        </w:tc>
        <w:tc>
          <w:p>
            <w:pPr>
              <w:pStyle w:val="Compact"/>
              <w:jc w:val="right"/>
            </w:pPr>
            <w:r>
              <w:t xml:space="preserve">9,180</w:t>
            </w:r>
          </w:p>
        </w:tc>
        <w:tc>
          <w:p>
            <w:pPr>
              <w:pStyle w:val="Compact"/>
              <w:jc w:val="right"/>
            </w:pPr>
            <w:r>
              <w:t xml:space="preserve">12.4%</w:t>
            </w:r>
          </w:p>
        </w:tc>
      </w:tr>
      <w:tr>
        <w:tc>
          <w:p>
            <w:pPr>
              <w:pStyle w:val="Compact"/>
              <w:jc w:val="left"/>
            </w:pPr>
            <w:r>
              <w:t xml:space="preserve">3</w:t>
            </w:r>
          </w:p>
        </w:tc>
        <w:tc>
          <w:p>
            <w:pPr>
              <w:pStyle w:val="Compact"/>
              <w:jc w:val="left"/>
            </w:pPr>
            <w:r>
              <w:t xml:space="preserve">Chungnam</w:t>
            </w:r>
          </w:p>
        </w:tc>
        <w:tc>
          <w:p>
            <w:pPr>
              <w:pStyle w:val="Compact"/>
              <w:jc w:val="right"/>
            </w:pPr>
            <w:r>
              <w:t xml:space="preserve">7,650</w:t>
            </w:r>
          </w:p>
        </w:tc>
        <w:tc>
          <w:p>
            <w:pPr>
              <w:pStyle w:val="Compact"/>
              <w:jc w:val="right"/>
            </w:pPr>
            <w:r>
              <w:t xml:space="preserve">10.4%</w:t>
            </w:r>
          </w:p>
        </w:tc>
      </w:tr>
      <w:tr>
        <w:tc>
          <w:p>
            <w:pPr>
              <w:pStyle w:val="Compact"/>
              <w:jc w:val="left"/>
            </w:pPr>
            <w:r>
              <w:t xml:space="preserve">4</w:t>
            </w:r>
          </w:p>
        </w:tc>
        <w:tc>
          <w:p>
            <w:pPr>
              <w:pStyle w:val="Compact"/>
              <w:jc w:val="left"/>
            </w:pPr>
            <w:r>
              <w:t xml:space="preserve">Gyeongbuk</w:t>
            </w:r>
          </w:p>
        </w:tc>
        <w:tc>
          <w:p>
            <w:pPr>
              <w:pStyle w:val="Compact"/>
              <w:jc w:val="right"/>
            </w:pPr>
            <w:r>
              <w:t xml:space="preserve">6,820</w:t>
            </w:r>
          </w:p>
        </w:tc>
        <w:tc>
          <w:p>
            <w:pPr>
              <w:pStyle w:val="Compact"/>
              <w:jc w:val="right"/>
            </w:pPr>
            <w:r>
              <w:t xml:space="preserve">9.2%</w:t>
            </w:r>
          </w:p>
        </w:tc>
      </w:tr>
      <w:tr>
        <w:tc>
          <w:p>
            <w:pPr>
              <w:pStyle w:val="Compact"/>
              <w:jc w:val="left"/>
            </w:pPr>
            <w:r>
              <w:t xml:space="preserve">5</w:t>
            </w:r>
          </w:p>
        </w:tc>
        <w:tc>
          <w:p>
            <w:pPr>
              <w:pStyle w:val="Compact"/>
              <w:jc w:val="left"/>
            </w:pPr>
            <w:r>
              <w:t xml:space="preserve">Jeonnam</w:t>
            </w:r>
          </w:p>
        </w:tc>
        <w:tc>
          <w:p>
            <w:pPr>
              <w:pStyle w:val="Compact"/>
              <w:jc w:val="right"/>
            </w:pPr>
            <w:r>
              <w:t xml:space="preserve">6,540</w:t>
            </w:r>
          </w:p>
        </w:tc>
        <w:tc>
          <w:p>
            <w:pPr>
              <w:pStyle w:val="Compact"/>
              <w:jc w:val="right"/>
            </w:pPr>
            <w:r>
              <w:t xml:space="preserve">8.9%</w:t>
            </w:r>
          </w:p>
        </w:tc>
      </w:tr>
    </w:tbl>
    <w:p>
      <w:pPr>
        <w:pStyle w:val="BodyText"/>
      </w:pPr>
      <w:r>
        <w:rPr>
          <w:bCs/>
          <w:b/>
        </w:rPr>
        <w:t xml:space="preserve">Interpretation:</w:t>
      </w:r>
      <w:r>
        <w:t xml:space="preserve"> </w:t>
      </w:r>
      <w:r>
        <w:t xml:space="preserve">Gyeonggi ranks first due to industrial manufacturing clusters and Incheon Port. Gyeongnam and Chungnam follow, driven by automotive and petrochemical bases. The Southeast and Southwest zones act as the main production sectors of South Korea.</w:t>
      </w:r>
    </w:p>
    <w:bookmarkEnd w:id="44"/>
    <w:bookmarkStart w:id="45" w:name="top-destination-regions-최다-인바운드-지역"/>
    <w:p>
      <w:pPr>
        <w:pStyle w:val="Heading3"/>
      </w:pPr>
      <w:r>
        <w:t xml:space="preserve">5.2 Top Destination Regions / 최다 인바운드 지역</w:t>
      </w:r>
    </w:p>
    <w:tbl>
      <w:tblPr>
        <w:tblStyle w:val="Table"/>
        <w:tblW w:type="pct" w:w="0.0"/>
        <w:tblLook w:firstRow="1" w:lastRow="0" w:firstColumn="0" w:lastColumn="0" w:noHBand="0" w:noVBand="0" w:val="0020"/>
      </w:tblPr>
      <w:tblGrid/>
      <w:tr>
        <w:tc>
          <w:p>
            <w:pPr>
              <w:pStyle w:val="Compact"/>
              <w:jc w:val="left"/>
            </w:pPr>
            <w:r>
              <w:t xml:space="preserve">Rank</w:t>
            </w:r>
          </w:p>
        </w:tc>
        <w:tc>
          <w:p>
            <w:pPr>
              <w:pStyle w:val="Compact"/>
              <w:jc w:val="left"/>
            </w:pPr>
            <w:r>
              <w:t xml:space="preserve">Region</w:t>
            </w:r>
          </w:p>
        </w:tc>
        <w:tc>
          <w:p>
            <w:pPr>
              <w:pStyle w:val="Compact"/>
              <w:jc w:val="right"/>
            </w:pPr>
            <w:r>
              <w:t xml:space="preserve">Inbound Volume (k tons/year)</w:t>
            </w:r>
          </w:p>
        </w:tc>
        <w:tc>
          <w:p>
            <w:pPr>
              <w:pStyle w:val="Compact"/>
              <w:jc w:val="right"/>
            </w:pPr>
            <w:r>
              <w:t xml:space="preserve">% National</w:t>
            </w:r>
          </w:p>
        </w:tc>
      </w:tr>
      <w:tr>
        <w:tc>
          <w:p>
            <w:pPr>
              <w:pStyle w:val="Compact"/>
              <w:jc w:val="left"/>
            </w:pPr>
            <w:r>
              <w:t xml:space="preserve">1</w:t>
            </w:r>
          </w:p>
        </w:tc>
        <w:tc>
          <w:p>
            <w:pPr>
              <w:pStyle w:val="Compact"/>
              <w:jc w:val="left"/>
            </w:pPr>
            <w:r>
              <w:t xml:space="preserve">Gyeonggi</w:t>
            </w:r>
          </w:p>
        </w:tc>
        <w:tc>
          <w:p>
            <w:pPr>
              <w:pStyle w:val="Compact"/>
              <w:jc w:val="right"/>
            </w:pPr>
            <w:r>
              <w:t xml:space="preserve">14,890</w:t>
            </w:r>
          </w:p>
        </w:tc>
        <w:tc>
          <w:p>
            <w:pPr>
              <w:pStyle w:val="Compact"/>
              <w:jc w:val="right"/>
            </w:pPr>
            <w:r>
              <w:t xml:space="preserve">20.1%</w:t>
            </w:r>
          </w:p>
        </w:tc>
      </w:tr>
      <w:tr>
        <w:tc>
          <w:p>
            <w:pPr>
              <w:pStyle w:val="Compact"/>
              <w:jc w:val="left"/>
            </w:pPr>
            <w:r>
              <w:t xml:space="preserve">2</w:t>
            </w:r>
          </w:p>
        </w:tc>
        <w:tc>
          <w:p>
            <w:pPr>
              <w:pStyle w:val="Compact"/>
              <w:jc w:val="left"/>
            </w:pPr>
            <w:r>
              <w:t xml:space="preserve">Seoul</w:t>
            </w:r>
          </w:p>
        </w:tc>
        <w:tc>
          <w:p>
            <w:pPr>
              <w:pStyle w:val="Compact"/>
              <w:jc w:val="right"/>
            </w:pPr>
            <w:r>
              <w:t xml:space="preserve">8,420</w:t>
            </w:r>
          </w:p>
        </w:tc>
        <w:tc>
          <w:p>
            <w:pPr>
              <w:pStyle w:val="Compact"/>
              <w:jc w:val="right"/>
            </w:pPr>
            <w:r>
              <w:t xml:space="preserve">11.4%</w:t>
            </w:r>
          </w:p>
        </w:tc>
      </w:tr>
      <w:tr>
        <w:tc>
          <w:p>
            <w:pPr>
              <w:pStyle w:val="Compact"/>
              <w:jc w:val="left"/>
            </w:pPr>
            <w:r>
              <w:t xml:space="preserve">3</w:t>
            </w:r>
          </w:p>
        </w:tc>
        <w:tc>
          <w:p>
            <w:pPr>
              <w:pStyle w:val="Compact"/>
              <w:jc w:val="left"/>
            </w:pPr>
            <w:r>
              <w:t xml:space="preserve">Busan</w:t>
            </w:r>
          </w:p>
        </w:tc>
        <w:tc>
          <w:p>
            <w:pPr>
              <w:pStyle w:val="Compact"/>
              <w:jc w:val="right"/>
            </w:pPr>
            <w:r>
              <w:t xml:space="preserve">6,750</w:t>
            </w:r>
          </w:p>
        </w:tc>
        <w:tc>
          <w:p>
            <w:pPr>
              <w:pStyle w:val="Compact"/>
              <w:jc w:val="right"/>
            </w:pPr>
            <w:r>
              <w:t xml:space="preserve">9.1%</w:t>
            </w:r>
          </w:p>
        </w:tc>
      </w:tr>
      <w:tr>
        <w:tc>
          <w:p>
            <w:pPr>
              <w:pStyle w:val="Compact"/>
              <w:jc w:val="left"/>
            </w:pPr>
            <w:r>
              <w:t xml:space="preserve">4</w:t>
            </w:r>
          </w:p>
        </w:tc>
        <w:tc>
          <w:p>
            <w:pPr>
              <w:pStyle w:val="Compact"/>
              <w:jc w:val="left"/>
            </w:pPr>
            <w:r>
              <w:t xml:space="preserve">Gyeongnam</w:t>
            </w:r>
          </w:p>
        </w:tc>
        <w:tc>
          <w:p>
            <w:pPr>
              <w:pStyle w:val="Compact"/>
              <w:jc w:val="right"/>
            </w:pPr>
            <w:r>
              <w:t xml:space="preserve">5,820</w:t>
            </w:r>
          </w:p>
        </w:tc>
        <w:tc>
          <w:p>
            <w:pPr>
              <w:pStyle w:val="Compact"/>
              <w:jc w:val="right"/>
            </w:pPr>
            <w:r>
              <w:t xml:space="preserve">7.9%</w:t>
            </w:r>
          </w:p>
        </w:tc>
      </w:tr>
      <w:tr>
        <w:tc>
          <w:p>
            <w:pPr>
              <w:pStyle w:val="Compact"/>
              <w:jc w:val="left"/>
            </w:pPr>
            <w:r>
              <w:t xml:space="preserve">5</w:t>
            </w:r>
          </w:p>
        </w:tc>
        <w:tc>
          <w:p>
            <w:pPr>
              <w:pStyle w:val="Compact"/>
              <w:jc w:val="left"/>
            </w:pPr>
            <w:r>
              <w:t xml:space="preserve">Daegu</w:t>
            </w:r>
          </w:p>
        </w:tc>
        <w:tc>
          <w:p>
            <w:pPr>
              <w:pStyle w:val="Compact"/>
              <w:jc w:val="right"/>
            </w:pPr>
            <w:r>
              <w:t xml:space="preserve">4,650</w:t>
            </w:r>
          </w:p>
        </w:tc>
        <w:tc>
          <w:p>
            <w:pPr>
              <w:pStyle w:val="Compact"/>
              <w:jc w:val="right"/>
            </w:pPr>
            <w:r>
              <w:t xml:space="preserve">6.3%</w:t>
            </w:r>
          </w:p>
        </w:tc>
      </w:tr>
    </w:tbl>
    <w:p>
      <w:pPr>
        <w:pStyle w:val="BodyText"/>
      </w:pPr>
      <w:r>
        <w:rPr>
          <w:bCs/>
          <w:b/>
        </w:rPr>
        <w:t xml:space="preserve">Interpretation:</w:t>
      </w:r>
      <w:r>
        <w:t xml:space="preserve"> </w:t>
      </w:r>
      <w:r>
        <w:t xml:space="preserve">Inbound volume peaks in major metropolitan clusters (Seoul, Gyeonggi, Busan) which serve as the primary consumption zones.</w:t>
      </w:r>
    </w:p>
    <w:bookmarkEnd w:id="45"/>
    <w:bookmarkStart w:id="46" w:name="top-od-corridors-주요-od-수송-경로"/>
    <w:p>
      <w:pPr>
        <w:pStyle w:val="Heading3"/>
      </w:pPr>
      <w:r>
        <w:t xml:space="preserve">5.3 Top O/D Corridors / 주요 O/D 수송 경로</w:t>
      </w:r>
    </w:p>
    <w:tbl>
      <w:tblPr>
        <w:tblStyle w:val="Table"/>
        <w:tblW w:type="pct" w:w="0.0"/>
        <w:tblLook w:firstRow="1" w:lastRow="0" w:firstColumn="0" w:lastColumn="0" w:noHBand="0" w:noVBand="0" w:val="0020"/>
      </w:tblPr>
      <w:tblGrid/>
      <w:tr>
        <w:tc>
          <w:p>
            <w:pPr>
              <w:pStyle w:val="Compact"/>
              <w:jc w:val="left"/>
            </w:pPr>
            <w:r>
              <w:t xml:space="preserve">Rank</w:t>
            </w:r>
          </w:p>
        </w:tc>
        <w:tc>
          <w:p>
            <w:pPr>
              <w:pStyle w:val="Compact"/>
              <w:jc w:val="left"/>
            </w:pPr>
            <w:r>
              <w:t xml:space="preserve">Origin → Destination</w:t>
            </w:r>
          </w:p>
        </w:tc>
        <w:tc>
          <w:p>
            <w:pPr>
              <w:pStyle w:val="Compact"/>
              <w:jc w:val="right"/>
            </w:pPr>
            <w:r>
              <w:t xml:space="preserve">Volume (k tons/year)</w:t>
            </w:r>
          </w:p>
        </w:tc>
        <w:tc>
          <w:p>
            <w:pPr>
              <w:pStyle w:val="Compact"/>
              <w:jc w:val="right"/>
            </w:pPr>
            <w:r>
              <w:t xml:space="preserve">% Total</w:t>
            </w:r>
          </w:p>
        </w:tc>
      </w:tr>
      <w:tr>
        <w:tc>
          <w:p>
            <w:pPr>
              <w:pStyle w:val="Compact"/>
              <w:jc w:val="left"/>
            </w:pPr>
            <w:r>
              <w:t xml:space="preserve">1</w:t>
            </w:r>
          </w:p>
        </w:tc>
        <w:tc>
          <w:p>
            <w:pPr>
              <w:pStyle w:val="Compact"/>
              <w:jc w:val="left"/>
            </w:pPr>
            <w:r>
              <w:t xml:space="preserve">Gyeonggi → Seoul</w:t>
            </w:r>
          </w:p>
        </w:tc>
        <w:tc>
          <w:p>
            <w:pPr>
              <w:pStyle w:val="Compact"/>
              <w:jc w:val="right"/>
            </w:pPr>
            <w:r>
              <w:t xml:space="preserve">4,820</w:t>
            </w:r>
          </w:p>
        </w:tc>
        <w:tc>
          <w:p>
            <w:pPr>
              <w:pStyle w:val="Compact"/>
              <w:jc w:val="right"/>
            </w:pPr>
            <w:r>
              <w:t xml:space="preserve">6.5%</w:t>
            </w:r>
          </w:p>
        </w:tc>
      </w:tr>
      <w:tr>
        <w:tc>
          <w:p>
            <w:pPr>
              <w:pStyle w:val="Compact"/>
              <w:jc w:val="left"/>
            </w:pPr>
            <w:r>
              <w:t xml:space="preserve">2</w:t>
            </w:r>
          </w:p>
        </w:tc>
        <w:tc>
          <w:p>
            <w:pPr>
              <w:pStyle w:val="Compact"/>
              <w:jc w:val="left"/>
            </w:pPr>
            <w:r>
              <w:t xml:space="preserve">Chungnam → Gyeonggi</w:t>
            </w:r>
          </w:p>
        </w:tc>
        <w:tc>
          <w:p>
            <w:pPr>
              <w:pStyle w:val="Compact"/>
              <w:jc w:val="right"/>
            </w:pPr>
            <w:r>
              <w:t xml:space="preserve">3,640</w:t>
            </w:r>
          </w:p>
        </w:tc>
        <w:tc>
          <w:p>
            <w:pPr>
              <w:pStyle w:val="Compact"/>
              <w:jc w:val="right"/>
            </w:pPr>
            <w:r>
              <w:t xml:space="preserve">4.9%</w:t>
            </w:r>
          </w:p>
        </w:tc>
      </w:tr>
      <w:tr>
        <w:tc>
          <w:p>
            <w:pPr>
              <w:pStyle w:val="Compact"/>
              <w:jc w:val="left"/>
            </w:pPr>
            <w:r>
              <w:t xml:space="preserve">3</w:t>
            </w:r>
          </w:p>
        </w:tc>
        <w:tc>
          <w:p>
            <w:pPr>
              <w:pStyle w:val="Compact"/>
              <w:jc w:val="left"/>
            </w:pPr>
            <w:r>
              <w:t xml:space="preserve">Gyeongnam → Busan</w:t>
            </w:r>
          </w:p>
        </w:tc>
        <w:tc>
          <w:p>
            <w:pPr>
              <w:pStyle w:val="Compact"/>
              <w:jc w:val="right"/>
            </w:pPr>
            <w:r>
              <w:t xml:space="preserve">3,420</w:t>
            </w:r>
          </w:p>
        </w:tc>
        <w:tc>
          <w:p>
            <w:pPr>
              <w:pStyle w:val="Compact"/>
              <w:jc w:val="right"/>
            </w:pPr>
            <w:r>
              <w:t xml:space="preserve">4.6%</w:t>
            </w:r>
          </w:p>
        </w:tc>
      </w:tr>
      <w:tr>
        <w:tc>
          <w:p>
            <w:pPr>
              <w:pStyle w:val="Compact"/>
              <w:jc w:val="left"/>
            </w:pPr>
            <w:r>
              <w:t xml:space="preserve">4</w:t>
            </w:r>
          </w:p>
        </w:tc>
        <w:tc>
          <w:p>
            <w:pPr>
              <w:pStyle w:val="Compact"/>
              <w:jc w:val="left"/>
            </w:pPr>
            <w:r>
              <w:t xml:space="preserve">Gyeonggi → Incheon</w:t>
            </w:r>
          </w:p>
        </w:tc>
        <w:tc>
          <w:p>
            <w:pPr>
              <w:pStyle w:val="Compact"/>
              <w:jc w:val="right"/>
            </w:pPr>
            <w:r>
              <w:t xml:space="preserve">3,180</w:t>
            </w:r>
          </w:p>
        </w:tc>
        <w:tc>
          <w:p>
            <w:pPr>
              <w:pStyle w:val="Compact"/>
              <w:jc w:val="right"/>
            </w:pPr>
            <w:r>
              <w:t xml:space="preserve">4.3%</w:t>
            </w:r>
          </w:p>
        </w:tc>
      </w:tr>
      <w:tr>
        <w:tc>
          <w:p>
            <w:pPr>
              <w:pStyle w:val="Compact"/>
              <w:jc w:val="left"/>
            </w:pPr>
            <w:r>
              <w:t xml:space="preserve">5</w:t>
            </w:r>
          </w:p>
        </w:tc>
        <w:tc>
          <w:p>
            <w:pPr>
              <w:pStyle w:val="Compact"/>
              <w:jc w:val="left"/>
            </w:pPr>
            <w:r>
              <w:t xml:space="preserve">Gyeongbuk → Daegu</w:t>
            </w:r>
          </w:p>
        </w:tc>
        <w:tc>
          <w:p>
            <w:pPr>
              <w:pStyle w:val="Compact"/>
              <w:jc w:val="right"/>
            </w:pPr>
            <w:r>
              <w:t xml:space="preserve">2,850</w:t>
            </w:r>
          </w:p>
        </w:tc>
        <w:tc>
          <w:p>
            <w:pPr>
              <w:pStyle w:val="Compact"/>
              <w:jc w:val="right"/>
            </w:pPr>
            <w:r>
              <w:t xml:space="preserve">3.9%</w:t>
            </w:r>
          </w:p>
        </w:tc>
      </w:tr>
      <w:tr>
        <w:tc>
          <w:p>
            <w:pPr>
              <w:pStyle w:val="Compact"/>
              <w:jc w:val="left"/>
            </w:pPr>
            <w:r>
              <w:t xml:space="preserve">6</w:t>
            </w:r>
          </w:p>
        </w:tc>
        <w:tc>
          <w:p>
            <w:pPr>
              <w:pStyle w:val="Compact"/>
              <w:jc w:val="left"/>
            </w:pPr>
            <w:r>
              <w:t xml:space="preserve">Jeonnam → Gwangju</w:t>
            </w:r>
          </w:p>
        </w:tc>
        <w:tc>
          <w:p>
            <w:pPr>
              <w:pStyle w:val="Compact"/>
              <w:jc w:val="right"/>
            </w:pPr>
            <w:r>
              <w:t xml:space="preserve">2,540</w:t>
            </w:r>
          </w:p>
        </w:tc>
        <w:tc>
          <w:p>
            <w:pPr>
              <w:pStyle w:val="Compact"/>
              <w:jc w:val="right"/>
            </w:pPr>
            <w:r>
              <w:t xml:space="preserve">3.4%</w:t>
            </w:r>
          </w:p>
        </w:tc>
      </w:tr>
      <w:tr>
        <w:tc>
          <w:p>
            <w:pPr>
              <w:pStyle w:val="Compact"/>
              <w:jc w:val="left"/>
            </w:pPr>
            <w:r>
              <w:t xml:space="preserve">7</w:t>
            </w:r>
          </w:p>
        </w:tc>
        <w:tc>
          <w:p>
            <w:pPr>
              <w:pStyle w:val="Compact"/>
              <w:jc w:val="left"/>
            </w:pPr>
            <w:r>
              <w:t xml:space="preserve">Gyeonggi → Busan</w:t>
            </w:r>
          </w:p>
        </w:tc>
        <w:tc>
          <w:p>
            <w:pPr>
              <w:pStyle w:val="Compact"/>
              <w:jc w:val="right"/>
            </w:pPr>
            <w:r>
              <w:t xml:space="preserve">2,310</w:t>
            </w:r>
          </w:p>
        </w:tc>
        <w:tc>
          <w:p>
            <w:pPr>
              <w:pStyle w:val="Compact"/>
              <w:jc w:val="right"/>
            </w:pPr>
            <w:r>
              <w:t xml:space="preserve">3.1%</w:t>
            </w:r>
          </w:p>
        </w:tc>
      </w:tr>
      <w:tr>
        <w:tc>
          <w:p>
            <w:pPr>
              <w:pStyle w:val="Compact"/>
              <w:jc w:val="left"/>
            </w:pPr>
            <w:r>
              <w:t xml:space="preserve">8</w:t>
            </w:r>
          </w:p>
        </w:tc>
        <w:tc>
          <w:p>
            <w:pPr>
              <w:pStyle w:val="Compact"/>
              <w:jc w:val="left"/>
            </w:pPr>
            <w:r>
              <w:t xml:space="preserve">Chungnam → Seoul</w:t>
            </w:r>
          </w:p>
        </w:tc>
        <w:tc>
          <w:p>
            <w:pPr>
              <w:pStyle w:val="Compact"/>
              <w:jc w:val="right"/>
            </w:pPr>
            <w:r>
              <w:t xml:space="preserve">1,980</w:t>
            </w:r>
          </w:p>
        </w:tc>
        <w:tc>
          <w:p>
            <w:pPr>
              <w:pStyle w:val="Compact"/>
              <w:jc w:val="right"/>
            </w:pPr>
            <w:r>
              <w:t xml:space="preserve">2.7%</w:t>
            </w:r>
          </w:p>
        </w:tc>
      </w:tr>
      <w:tr>
        <w:tc>
          <w:p>
            <w:pPr>
              <w:pStyle w:val="Compact"/>
              <w:jc w:val="left"/>
            </w:pPr>
            <w:r>
              <w:t xml:space="preserve">9</w:t>
            </w:r>
          </w:p>
        </w:tc>
        <w:tc>
          <w:p>
            <w:pPr>
              <w:pStyle w:val="Compact"/>
              <w:jc w:val="left"/>
            </w:pPr>
            <w:r>
              <w:t xml:space="preserve">Gyeongnam → Gyeonggi</w:t>
            </w:r>
          </w:p>
        </w:tc>
        <w:tc>
          <w:p>
            <w:pPr>
              <w:pStyle w:val="Compact"/>
              <w:jc w:val="right"/>
            </w:pPr>
            <w:r>
              <w:t xml:space="preserve">1,820</w:t>
            </w:r>
          </w:p>
        </w:tc>
        <w:tc>
          <w:p>
            <w:pPr>
              <w:pStyle w:val="Compact"/>
              <w:jc w:val="right"/>
            </w:pPr>
            <w:r>
              <w:t xml:space="preserve">2.5%</w:t>
            </w:r>
          </w:p>
        </w:tc>
      </w:tr>
      <w:tr>
        <w:tc>
          <w:p>
            <w:pPr>
              <w:pStyle w:val="Compact"/>
              <w:jc w:val="left"/>
            </w:pPr>
            <w:r>
              <w:t xml:space="preserve">10</w:t>
            </w:r>
          </w:p>
        </w:tc>
        <w:tc>
          <w:p>
            <w:pPr>
              <w:pStyle w:val="Compact"/>
              <w:jc w:val="left"/>
            </w:pPr>
            <w:r>
              <w:t xml:space="preserve">Ulsan → Busan</w:t>
            </w:r>
          </w:p>
        </w:tc>
        <w:tc>
          <w:p>
            <w:pPr>
              <w:pStyle w:val="Compact"/>
              <w:jc w:val="right"/>
            </w:pPr>
            <w:r>
              <w:t xml:space="preserve">1,640</w:t>
            </w:r>
          </w:p>
        </w:tc>
        <w:tc>
          <w:p>
            <w:pPr>
              <w:pStyle w:val="Compact"/>
              <w:jc w:val="right"/>
            </w:pPr>
            <w:r>
              <w:t xml:space="preserve">2.2%</w:t>
            </w:r>
          </w:p>
        </w:tc>
      </w:tr>
    </w:tbl>
    <w:p>
      <w:pPr>
        <w:pStyle w:val="BodyText"/>
      </w:pPr>
      <w:r>
        <w:rPr>
          <w:bCs/>
          <w:b/>
        </w:rPr>
        <w:t xml:space="preserve">Interpretation:</w:t>
      </w:r>
      <w:r>
        <w:t xml:space="preserve"> </w:t>
      </w:r>
      <w:r>
        <w:t xml:space="preserve">The top 10 corridors account for ~38% of nationwide volume, led by the Gyeonggi-Seoul metropolitan freight lane.</w:t>
      </w:r>
    </w:p>
    <w:bookmarkEnd w:id="46"/>
    <w:bookmarkStart w:id="47" w:name="warehouse-density-by-region-지역별-물류창고-밀도"/>
    <w:p>
      <w:pPr>
        <w:pStyle w:val="Heading3"/>
      </w:pPr>
      <w:r>
        <w:t xml:space="preserve">5.4 Warehouse Density by Region / 지역별 물류창고 밀도</w:t>
      </w:r>
    </w:p>
    <w:tbl>
      <w:tblPr>
        <w:tblStyle w:val="Table"/>
        <w:tblW w:type="pct" w:w="0.0"/>
        <w:tblLook w:firstRow="1" w:lastRow="0" w:firstColumn="0" w:lastColumn="0" w:noHBand="0" w:noVBand="0" w:val="0020"/>
      </w:tblPr>
      <w:tblGrid/>
      <w:tr>
        <w:tc>
          <w:p>
            <w:pPr>
              <w:pStyle w:val="Compact"/>
              <w:jc w:val="left"/>
            </w:pPr>
            <w:r>
              <w:t xml:space="preserve">Region</w:t>
            </w:r>
          </w:p>
        </w:tc>
        <w:tc>
          <w:p>
            <w:pPr>
              <w:pStyle w:val="Compact"/>
              <w:jc w:val="right"/>
            </w:pPr>
            <w:r>
              <w:t xml:space="preserve">Warehouses ≥ 5,000 m²</w:t>
            </w:r>
          </w:p>
        </w:tc>
        <w:tc>
          <w:p>
            <w:pPr>
              <w:pStyle w:val="Compact"/>
              <w:jc w:val="right"/>
            </w:pPr>
            <w:r>
              <w:t xml:space="preserve">Total Area (km²)</w:t>
            </w:r>
          </w:p>
        </w:tc>
        <w:tc>
          <w:p>
            <w:pPr>
              <w:pStyle w:val="Compact"/>
              <w:jc w:val="right"/>
            </w:pPr>
            <w:r>
              <w:t xml:space="preserve">Capacity (k pallets)</w:t>
            </w:r>
          </w:p>
        </w:tc>
      </w:tr>
      <w:tr>
        <w:tc>
          <w:p>
            <w:pPr>
              <w:pStyle w:val="Compact"/>
              <w:jc w:val="left"/>
            </w:pPr>
            <w:r>
              <w:t xml:space="preserve">Gyeonggi</w:t>
            </w:r>
          </w:p>
        </w:tc>
        <w:tc>
          <w:p>
            <w:pPr>
              <w:pStyle w:val="Compact"/>
              <w:jc w:val="right"/>
            </w:pPr>
            <w:r>
              <w:t xml:space="preserve">1,820</w:t>
            </w:r>
          </w:p>
        </w:tc>
        <w:tc>
          <w:p>
            <w:pPr>
              <w:pStyle w:val="Compact"/>
              <w:jc w:val="right"/>
            </w:pPr>
            <w:r>
              <w:t xml:space="preserve">18.4</w:t>
            </w:r>
          </w:p>
        </w:tc>
        <w:tc>
          <w:p>
            <w:pPr>
              <w:pStyle w:val="Compact"/>
              <w:jc w:val="right"/>
            </w:pPr>
            <w:r>
              <w:t xml:space="preserve">8,200</w:t>
            </w:r>
          </w:p>
        </w:tc>
      </w:tr>
      <w:tr>
        <w:tc>
          <w:p>
            <w:pPr>
              <w:pStyle w:val="Compact"/>
              <w:jc w:val="left"/>
            </w:pPr>
            <w:r>
              <w:t xml:space="preserve">Gyeongnam</w:t>
            </w:r>
          </w:p>
        </w:tc>
        <w:tc>
          <w:p>
            <w:pPr>
              <w:pStyle w:val="Compact"/>
              <w:jc w:val="right"/>
            </w:pPr>
            <w:r>
              <w:t xml:space="preserve">720</w:t>
            </w:r>
          </w:p>
        </w:tc>
        <w:tc>
          <w:p>
            <w:pPr>
              <w:pStyle w:val="Compact"/>
              <w:jc w:val="right"/>
            </w:pPr>
            <w:r>
              <w:t xml:space="preserve">7.6</w:t>
            </w:r>
          </w:p>
        </w:tc>
        <w:tc>
          <w:p>
            <w:pPr>
              <w:pStyle w:val="Compact"/>
              <w:jc w:val="right"/>
            </w:pPr>
            <w:r>
              <w:t xml:space="preserve">3,400</w:t>
            </w:r>
          </w:p>
        </w:tc>
      </w:tr>
      <w:tr>
        <w:tc>
          <w:p>
            <w:pPr>
              <w:pStyle w:val="Compact"/>
              <w:jc w:val="left"/>
            </w:pPr>
            <w:r>
              <w:t xml:space="preserve">Chungnam</w:t>
            </w:r>
          </w:p>
        </w:tc>
        <w:tc>
          <w:p>
            <w:pPr>
              <w:pStyle w:val="Compact"/>
              <w:jc w:val="right"/>
            </w:pPr>
            <w:r>
              <w:t xml:space="preserve">540</w:t>
            </w:r>
          </w:p>
        </w:tc>
        <w:tc>
          <w:p>
            <w:pPr>
              <w:pStyle w:val="Compact"/>
              <w:jc w:val="right"/>
            </w:pPr>
            <w:r>
              <w:t xml:space="preserve">5.8</w:t>
            </w:r>
          </w:p>
        </w:tc>
        <w:tc>
          <w:p>
            <w:pPr>
              <w:pStyle w:val="Compact"/>
              <w:jc w:val="right"/>
            </w:pPr>
            <w:r>
              <w:t xml:space="preserve">2,600</w:t>
            </w:r>
          </w:p>
        </w:tc>
      </w:tr>
      <w:tr>
        <w:tc>
          <w:p>
            <w:pPr>
              <w:pStyle w:val="Compact"/>
              <w:jc w:val="left"/>
            </w:pPr>
            <w:r>
              <w:t xml:space="preserve">Busan</w:t>
            </w:r>
          </w:p>
        </w:tc>
        <w:tc>
          <w:p>
            <w:pPr>
              <w:pStyle w:val="Compact"/>
              <w:jc w:val="right"/>
            </w:pPr>
            <w:r>
              <w:t xml:space="preserve">480</w:t>
            </w:r>
          </w:p>
        </w:tc>
        <w:tc>
          <w:p>
            <w:pPr>
              <w:pStyle w:val="Compact"/>
              <w:jc w:val="right"/>
            </w:pPr>
            <w:r>
              <w:t xml:space="preserve">4.9</w:t>
            </w:r>
          </w:p>
        </w:tc>
        <w:tc>
          <w:p>
            <w:pPr>
              <w:pStyle w:val="Compact"/>
              <w:jc w:val="right"/>
            </w:pPr>
            <w:r>
              <w:t xml:space="preserve">2,200</w:t>
            </w:r>
          </w:p>
        </w:tc>
      </w:tr>
      <w:tr>
        <w:tc>
          <w:p>
            <w:pPr>
              <w:pStyle w:val="Compact"/>
              <w:jc w:val="left"/>
            </w:pPr>
            <w:r>
              <w:t xml:space="preserve">Incheon</w:t>
            </w:r>
          </w:p>
        </w:tc>
        <w:tc>
          <w:p>
            <w:pPr>
              <w:pStyle w:val="Compact"/>
              <w:jc w:val="right"/>
            </w:pPr>
            <w:r>
              <w:t xml:space="preserve">420</w:t>
            </w:r>
          </w:p>
        </w:tc>
        <w:tc>
          <w:p>
            <w:pPr>
              <w:pStyle w:val="Compact"/>
              <w:jc w:val="right"/>
            </w:pPr>
            <w:r>
              <w:t xml:space="preserve">4.5</w:t>
            </w:r>
          </w:p>
        </w:tc>
        <w:tc>
          <w:p>
            <w:pPr>
              <w:pStyle w:val="Compact"/>
              <w:jc w:val="right"/>
            </w:pPr>
            <w:r>
              <w:t xml:space="preserve">2,000</w:t>
            </w:r>
          </w:p>
        </w:tc>
      </w:tr>
      <w:tr>
        <w:tc>
          <w:p>
            <w:pPr>
              <w:pStyle w:val="Compact"/>
              <w:jc w:val="left"/>
            </w:pPr>
            <w:r>
              <w:t xml:space="preserve">Seoul</w:t>
            </w:r>
          </w:p>
        </w:tc>
        <w:tc>
          <w:p>
            <w:pPr>
              <w:pStyle w:val="Compact"/>
              <w:jc w:val="right"/>
            </w:pPr>
            <w:r>
              <w:t xml:space="preserve">380</w:t>
            </w:r>
          </w:p>
        </w:tc>
        <w:tc>
          <w:p>
            <w:pPr>
              <w:pStyle w:val="Compact"/>
              <w:jc w:val="right"/>
            </w:pPr>
            <w:r>
              <w:t xml:space="preserve">2.8</w:t>
            </w:r>
          </w:p>
        </w:tc>
        <w:tc>
          <w:p>
            <w:pPr>
              <w:pStyle w:val="Compact"/>
              <w:jc w:val="right"/>
            </w:pPr>
            <w:r>
              <w:t xml:space="preserve">1,500</w:t>
            </w:r>
          </w:p>
        </w:tc>
      </w:tr>
      <w:tr>
        <w:tc>
          <w:p>
            <w:pPr>
              <w:pStyle w:val="Compact"/>
              <w:jc w:val="left"/>
            </w:pPr>
            <w:r>
              <w:t xml:space="preserve">Gyeongbuk</w:t>
            </w:r>
          </w:p>
        </w:tc>
        <w:tc>
          <w:p>
            <w:pPr>
              <w:pStyle w:val="Compact"/>
              <w:jc w:val="right"/>
            </w:pPr>
            <w:r>
              <w:t xml:space="preserve">360</w:t>
            </w:r>
          </w:p>
        </w:tc>
        <w:tc>
          <w:p>
            <w:pPr>
              <w:pStyle w:val="Compact"/>
              <w:jc w:val="right"/>
            </w:pPr>
            <w:r>
              <w:t xml:space="preserve">4.1</w:t>
            </w:r>
          </w:p>
        </w:tc>
        <w:tc>
          <w:p>
            <w:pPr>
              <w:pStyle w:val="Compact"/>
              <w:jc w:val="right"/>
            </w:pPr>
            <w:r>
              <w:t xml:space="preserve">1,800</w:t>
            </w:r>
          </w:p>
        </w:tc>
      </w:tr>
      <w:tr>
        <w:tc>
          <w:p>
            <w:pPr>
              <w:pStyle w:val="Compact"/>
              <w:jc w:val="left"/>
            </w:pPr>
            <w:r>
              <w:t xml:space="preserve">Daegu</w:t>
            </w:r>
          </w:p>
        </w:tc>
        <w:tc>
          <w:p>
            <w:pPr>
              <w:pStyle w:val="Compact"/>
              <w:jc w:val="right"/>
            </w:pPr>
            <w:r>
              <w:t xml:space="preserve">280</w:t>
            </w:r>
          </w:p>
        </w:tc>
        <w:tc>
          <w:p>
            <w:pPr>
              <w:pStyle w:val="Compact"/>
              <w:jc w:val="right"/>
            </w:pPr>
            <w:r>
              <w:t xml:space="preserve">2.9</w:t>
            </w:r>
          </w:p>
        </w:tc>
        <w:tc>
          <w:p>
            <w:pPr>
              <w:pStyle w:val="Compact"/>
              <w:jc w:val="right"/>
            </w:pPr>
            <w:r>
              <w:t xml:space="preserve">1,300</w:t>
            </w:r>
          </w:p>
        </w:tc>
      </w:tr>
      <w:tr>
        <w:tc>
          <w:p>
            <w:pPr>
              <w:pStyle w:val="Compact"/>
              <w:jc w:val="left"/>
            </w:pPr>
            <w:r>
              <w:t xml:space="preserve">Daejeon</w:t>
            </w:r>
          </w:p>
        </w:tc>
        <w:tc>
          <w:p>
            <w:pPr>
              <w:pStyle w:val="Compact"/>
              <w:jc w:val="right"/>
            </w:pPr>
            <w:r>
              <w:t xml:space="preserve">220</w:t>
            </w:r>
          </w:p>
        </w:tc>
        <w:tc>
          <w:p>
            <w:pPr>
              <w:pStyle w:val="Compact"/>
              <w:jc w:val="right"/>
            </w:pPr>
            <w:r>
              <w:t xml:space="preserve">2.4</w:t>
            </w:r>
          </w:p>
        </w:tc>
        <w:tc>
          <w:p>
            <w:pPr>
              <w:pStyle w:val="Compact"/>
              <w:jc w:val="right"/>
            </w:pPr>
            <w:r>
              <w:t xml:space="preserve">1,100</w:t>
            </w:r>
          </w:p>
        </w:tc>
      </w:tr>
      <w:tr>
        <w:tc>
          <w:p>
            <w:pPr>
              <w:pStyle w:val="Compact"/>
              <w:jc w:val="left"/>
            </w:pPr>
            <w:r>
              <w:t xml:space="preserve">Jeonnam</w:t>
            </w:r>
          </w:p>
        </w:tc>
        <w:tc>
          <w:p>
            <w:pPr>
              <w:pStyle w:val="Compact"/>
              <w:jc w:val="right"/>
            </w:pPr>
            <w:r>
              <w:t xml:space="preserve">210</w:t>
            </w:r>
          </w:p>
        </w:tc>
        <w:tc>
          <w:p>
            <w:pPr>
              <w:pStyle w:val="Compact"/>
              <w:jc w:val="right"/>
            </w:pPr>
            <w:r>
              <w:t xml:space="preserve">2.5</w:t>
            </w:r>
          </w:p>
        </w:tc>
        <w:tc>
          <w:p>
            <w:pPr>
              <w:pStyle w:val="Compact"/>
              <w:jc w:val="right"/>
            </w:pPr>
            <w:r>
              <w:t xml:space="preserve">1,150</w:t>
            </w:r>
          </w:p>
        </w:tc>
      </w:tr>
      <w:tr>
        <w:tc>
          <w:p>
            <w:pPr>
              <w:pStyle w:val="Compact"/>
              <w:jc w:val="left"/>
            </w:pPr>
            <w:r>
              <w:t xml:space="preserve">Chungbuk</w:t>
            </w:r>
          </w:p>
        </w:tc>
        <w:tc>
          <w:p>
            <w:pPr>
              <w:pStyle w:val="Compact"/>
              <w:jc w:val="right"/>
            </w:pPr>
            <w:r>
              <w:t xml:space="preserve">180</w:t>
            </w:r>
          </w:p>
        </w:tc>
        <w:tc>
          <w:p>
            <w:pPr>
              <w:pStyle w:val="Compact"/>
              <w:jc w:val="right"/>
            </w:pPr>
            <w:r>
              <w:t xml:space="preserve">2.1</w:t>
            </w:r>
          </w:p>
        </w:tc>
        <w:tc>
          <w:p>
            <w:pPr>
              <w:pStyle w:val="Compact"/>
              <w:jc w:val="right"/>
            </w:pPr>
            <w:r>
              <w:t xml:space="preserve">950</w:t>
            </w:r>
          </w:p>
        </w:tc>
      </w:tr>
      <w:tr>
        <w:tc>
          <w:p>
            <w:pPr>
              <w:pStyle w:val="Compact"/>
              <w:jc w:val="left"/>
            </w:pPr>
            <w:r>
              <w:t xml:space="preserve">Jeonbuk</w:t>
            </w:r>
          </w:p>
        </w:tc>
        <w:tc>
          <w:p>
            <w:pPr>
              <w:pStyle w:val="Compact"/>
              <w:jc w:val="right"/>
            </w:pPr>
            <w:r>
              <w:t xml:space="preserve">160</w:t>
            </w:r>
          </w:p>
        </w:tc>
        <w:tc>
          <w:p>
            <w:pPr>
              <w:pStyle w:val="Compact"/>
              <w:jc w:val="right"/>
            </w:pPr>
            <w:r>
              <w:t xml:space="preserve">1.8</w:t>
            </w:r>
          </w:p>
        </w:tc>
        <w:tc>
          <w:p>
            <w:pPr>
              <w:pStyle w:val="Compact"/>
              <w:jc w:val="right"/>
            </w:pPr>
            <w:r>
              <w:t xml:space="preserve">820</w:t>
            </w:r>
          </w:p>
        </w:tc>
      </w:tr>
      <w:tr>
        <w:tc>
          <w:p>
            <w:pPr>
              <w:pStyle w:val="Compact"/>
              <w:jc w:val="left"/>
            </w:pPr>
            <w:r>
              <w:t xml:space="preserve">Gwangju</w:t>
            </w:r>
          </w:p>
        </w:tc>
        <w:tc>
          <w:p>
            <w:pPr>
              <w:pStyle w:val="Compact"/>
              <w:jc w:val="right"/>
            </w:pPr>
            <w:r>
              <w:t xml:space="preserve">150</w:t>
            </w:r>
          </w:p>
        </w:tc>
        <w:tc>
          <w:p>
            <w:pPr>
              <w:pStyle w:val="Compact"/>
              <w:jc w:val="right"/>
            </w:pPr>
            <w:r>
              <w:t xml:space="preserve">1.6</w:t>
            </w:r>
          </w:p>
        </w:tc>
        <w:tc>
          <w:p>
            <w:pPr>
              <w:pStyle w:val="Compact"/>
              <w:jc w:val="right"/>
            </w:pPr>
            <w:r>
              <w:t xml:space="preserve">720</w:t>
            </w:r>
          </w:p>
        </w:tc>
      </w:tr>
      <w:tr>
        <w:tc>
          <w:p>
            <w:pPr>
              <w:pStyle w:val="Compact"/>
              <w:jc w:val="left"/>
            </w:pPr>
            <w:r>
              <w:t xml:space="preserve">Ulsan</w:t>
            </w:r>
          </w:p>
        </w:tc>
        <w:tc>
          <w:p>
            <w:pPr>
              <w:pStyle w:val="Compact"/>
              <w:jc w:val="right"/>
            </w:pPr>
            <w:r>
              <w:t xml:space="preserve">140</w:t>
            </w:r>
          </w:p>
        </w:tc>
        <w:tc>
          <w:p>
            <w:pPr>
              <w:pStyle w:val="Compact"/>
              <w:jc w:val="right"/>
            </w:pPr>
            <w:r>
              <w:t xml:space="preserve">1.5</w:t>
            </w:r>
          </w:p>
        </w:tc>
        <w:tc>
          <w:p>
            <w:pPr>
              <w:pStyle w:val="Compact"/>
              <w:jc w:val="right"/>
            </w:pPr>
            <w:r>
              <w:t xml:space="preserve">670</w:t>
            </w:r>
          </w:p>
        </w:tc>
      </w:tr>
      <w:tr>
        <w:tc>
          <w:p>
            <w:pPr>
              <w:pStyle w:val="Compact"/>
              <w:jc w:val="left"/>
            </w:pPr>
            <w:r>
              <w:t xml:space="preserve">Gangwon</w:t>
            </w:r>
          </w:p>
        </w:tc>
        <w:tc>
          <w:p>
            <w:pPr>
              <w:pStyle w:val="Compact"/>
              <w:jc w:val="right"/>
            </w:pPr>
            <w:r>
              <w:t xml:space="preserve">80</w:t>
            </w:r>
          </w:p>
        </w:tc>
        <w:tc>
          <w:p>
            <w:pPr>
              <w:pStyle w:val="Compact"/>
              <w:jc w:val="right"/>
            </w:pPr>
            <w:r>
              <w:t xml:space="preserve">0.9</w:t>
            </w:r>
          </w:p>
        </w:tc>
        <w:tc>
          <w:p>
            <w:pPr>
              <w:pStyle w:val="Compact"/>
              <w:jc w:val="right"/>
            </w:pPr>
            <w:r>
              <w:t xml:space="preserve">410</w:t>
            </w:r>
          </w:p>
        </w:tc>
      </w:tr>
      <w:tr>
        <w:tc>
          <w:p>
            <w:pPr>
              <w:pStyle w:val="Compact"/>
              <w:jc w:val="left"/>
            </w:pPr>
            <w:r>
              <w:t xml:space="preserve">Sejong</w:t>
            </w:r>
          </w:p>
        </w:tc>
        <w:tc>
          <w:p>
            <w:pPr>
              <w:pStyle w:val="Compact"/>
              <w:jc w:val="right"/>
            </w:pPr>
            <w:r>
              <w:t xml:space="preserve">50</w:t>
            </w:r>
          </w:p>
        </w:tc>
        <w:tc>
          <w:p>
            <w:pPr>
              <w:pStyle w:val="Compact"/>
              <w:jc w:val="right"/>
            </w:pPr>
            <w:r>
              <w:t xml:space="preserve">0.5</w:t>
            </w:r>
          </w:p>
        </w:tc>
        <w:tc>
          <w:p>
            <w:pPr>
              <w:pStyle w:val="Compact"/>
              <w:jc w:val="right"/>
            </w:pPr>
            <w:r>
              <w:t xml:space="preserve">230</w:t>
            </w:r>
          </w:p>
        </w:tc>
      </w:tr>
      <w:tr>
        <w:tc>
          <w:p>
            <w:pPr>
              <w:pStyle w:val="Compact"/>
              <w:jc w:val="left"/>
            </w:pPr>
            <w:r>
              <w:t xml:space="preserve">Jeju</w:t>
            </w:r>
          </w:p>
        </w:tc>
        <w:tc>
          <w:p>
            <w:pPr>
              <w:pStyle w:val="Compact"/>
              <w:jc w:val="right"/>
            </w:pPr>
            <w:r>
              <w:t xml:space="preserve">30</w:t>
            </w:r>
          </w:p>
        </w:tc>
        <w:tc>
          <w:p>
            <w:pPr>
              <w:pStyle w:val="Compact"/>
              <w:jc w:val="right"/>
            </w:pPr>
            <w:r>
              <w:t xml:space="preserve">0.3</w:t>
            </w:r>
          </w:p>
        </w:tc>
        <w:tc>
          <w:p>
            <w:pPr>
              <w:pStyle w:val="Compact"/>
              <w:jc w:val="right"/>
            </w:pPr>
            <w:r>
              <w:t xml:space="preserve">140</w:t>
            </w:r>
          </w:p>
        </w:tc>
      </w:tr>
    </w:tbl>
    <w:bookmarkEnd w:id="47"/>
    <w:bookmarkStart w:id="48" w:name="demand-warehouse-mismatch-수요-창고-인프라-불일치"/>
    <w:p>
      <w:pPr>
        <w:pStyle w:val="Heading3"/>
      </w:pPr>
      <w:r>
        <w:t xml:space="preserve">5.5 Demand-Warehouse Mismatch / 수요-창고 인프라 불일치</w:t>
      </w:r>
    </w:p>
    <w:p>
      <w:pPr>
        <w:pStyle w:val="FirstParagraph"/>
      </w:pPr>
      <w:r>
        <w:t xml:space="preserve">Calculate Mismatch Index = (% Inbound Demand) / (% Warehouse Capacity). Index &gt; 1 indicates a shortage of warehouse space; Index &lt; 1 indicates excess capacity.</w:t>
      </w:r>
    </w:p>
    <w:tbl>
      <w:tblPr>
        <w:tblStyle w:val="Table"/>
        <w:tblW w:type="pct" w:w="0.0"/>
        <w:tblLook w:firstRow="1" w:lastRow="0" w:firstColumn="0" w:lastColumn="0" w:noHBand="0" w:noVBand="0" w:val="0020"/>
      </w:tblPr>
      <w:tblGrid/>
      <w:tr>
        <w:tc>
          <w:p>
            <w:pPr>
              <w:pStyle w:val="Compact"/>
              <w:jc w:val="left"/>
            </w:pPr>
            <w:r>
              <w:t xml:space="preserve">Region</w:t>
            </w:r>
          </w:p>
        </w:tc>
        <w:tc>
          <w:p>
            <w:pPr>
              <w:pStyle w:val="Compact"/>
              <w:jc w:val="right"/>
            </w:pPr>
            <w:r>
              <w:t xml:space="preserve">% Demand</w:t>
            </w:r>
          </w:p>
        </w:tc>
        <w:tc>
          <w:p>
            <w:pPr>
              <w:pStyle w:val="Compact"/>
              <w:jc w:val="right"/>
            </w:pPr>
            <w:r>
              <w:t xml:space="preserve">% Capacity</w:t>
            </w:r>
          </w:p>
        </w:tc>
        <w:tc>
          <w:p>
            <w:pPr>
              <w:pStyle w:val="Compact"/>
              <w:jc w:val="right"/>
            </w:pPr>
            <w:r>
              <w:t xml:space="preserve">Mismatch Index</w:t>
            </w:r>
          </w:p>
        </w:tc>
        <w:tc>
          <w:p>
            <w:pPr>
              <w:pStyle w:val="Compact"/>
              <w:jc w:val="left"/>
            </w:pPr>
            <w:r>
              <w:t xml:space="preserve">Interpretation</w:t>
            </w:r>
          </w:p>
        </w:tc>
      </w:tr>
      <w:tr>
        <w:tc>
          <w:p>
            <w:pPr>
              <w:pStyle w:val="Compact"/>
              <w:jc w:val="left"/>
            </w:pPr>
            <w:r>
              <w:t xml:space="preserve">Seoul</w:t>
            </w:r>
          </w:p>
        </w:tc>
        <w:tc>
          <w:p>
            <w:pPr>
              <w:pStyle w:val="Compact"/>
              <w:jc w:val="right"/>
            </w:pPr>
            <w:r>
              <w:t xml:space="preserve">11.4%</w:t>
            </w:r>
          </w:p>
        </w:tc>
        <w:tc>
          <w:p>
            <w:pPr>
              <w:pStyle w:val="Compact"/>
              <w:jc w:val="right"/>
            </w:pPr>
            <w:r>
              <w:t xml:space="preserve">5.4%</w:t>
            </w:r>
          </w:p>
        </w:tc>
        <w:tc>
          <w:p>
            <w:pPr>
              <w:pStyle w:val="Compact"/>
              <w:jc w:val="right"/>
            </w:pPr>
            <w:r>
              <w:rPr>
                <w:bCs/>
                <w:b/>
              </w:rPr>
              <w:t xml:space="preserve">2.11</w:t>
            </w:r>
          </w:p>
        </w:tc>
        <w:tc>
          <w:p>
            <w:pPr>
              <w:pStyle w:val="Compact"/>
              <w:jc w:val="left"/>
            </w:pPr>
            <w:r>
              <w:t xml:space="preserve">Severe Shortage</w:t>
            </w:r>
          </w:p>
        </w:tc>
      </w:tr>
      <w:tr>
        <w:tc>
          <w:p>
            <w:pPr>
              <w:pStyle w:val="Compact"/>
              <w:jc w:val="left"/>
            </w:pPr>
            <w:r>
              <w:t xml:space="preserve">Daegu</w:t>
            </w:r>
          </w:p>
        </w:tc>
        <w:tc>
          <w:p>
            <w:pPr>
              <w:pStyle w:val="Compact"/>
              <w:jc w:val="right"/>
            </w:pPr>
            <w:r>
              <w:t xml:space="preserve">6.3%</w:t>
            </w:r>
          </w:p>
        </w:tc>
        <w:tc>
          <w:p>
            <w:pPr>
              <w:pStyle w:val="Compact"/>
              <w:jc w:val="right"/>
            </w:pPr>
            <w:r>
              <w:t xml:space="preserve">4.7%</w:t>
            </w:r>
          </w:p>
        </w:tc>
        <w:tc>
          <w:p>
            <w:pPr>
              <w:pStyle w:val="Compact"/>
              <w:jc w:val="right"/>
            </w:pPr>
            <w:r>
              <w:t xml:space="preserve">1.34</w:t>
            </w:r>
          </w:p>
        </w:tc>
        <w:tc>
          <w:p>
            <w:pPr>
              <w:pStyle w:val="Compact"/>
              <w:jc w:val="left"/>
            </w:pPr>
            <w:r>
              <w:t xml:space="preserve">Mild Shortage</w:t>
            </w:r>
          </w:p>
        </w:tc>
      </w:tr>
      <w:tr>
        <w:tc>
          <w:p>
            <w:pPr>
              <w:pStyle w:val="Compact"/>
              <w:jc w:val="left"/>
            </w:pPr>
            <w:r>
              <w:t xml:space="preserve">Gangwon</w:t>
            </w:r>
          </w:p>
        </w:tc>
        <w:tc>
          <w:p>
            <w:pPr>
              <w:pStyle w:val="Compact"/>
              <w:jc w:val="right"/>
            </w:pPr>
            <w:r>
              <w:t xml:space="preserve">2.5%</w:t>
            </w:r>
          </w:p>
        </w:tc>
        <w:tc>
          <w:p>
            <w:pPr>
              <w:pStyle w:val="Compact"/>
              <w:jc w:val="right"/>
            </w:pPr>
            <w:r>
              <w:t xml:space="preserve">1.5%</w:t>
            </w:r>
          </w:p>
        </w:tc>
        <w:tc>
          <w:p>
            <w:pPr>
              <w:pStyle w:val="Compact"/>
              <w:jc w:val="right"/>
            </w:pPr>
            <w:r>
              <w:t xml:space="preserve">1.67</w:t>
            </w:r>
          </w:p>
        </w:tc>
        <w:tc>
          <w:p>
            <w:pPr>
              <w:pStyle w:val="Compact"/>
              <w:jc w:val="left"/>
            </w:pPr>
            <w:r>
              <w:t xml:space="preserve">Sparse, long distance</w:t>
            </w:r>
          </w:p>
        </w:tc>
      </w:tr>
      <w:tr>
        <w:tc>
          <w:p>
            <w:pPr>
              <w:pStyle w:val="Compact"/>
              <w:jc w:val="left"/>
            </w:pPr>
            <w:r>
              <w:t xml:space="preserve">Gyeonggi</w:t>
            </w:r>
          </w:p>
        </w:tc>
        <w:tc>
          <w:p>
            <w:pPr>
              <w:pStyle w:val="Compact"/>
              <w:jc w:val="right"/>
            </w:pPr>
            <w:r>
              <w:t xml:space="preserve">20.1%</w:t>
            </w:r>
          </w:p>
        </w:tc>
        <w:tc>
          <w:p>
            <w:pPr>
              <w:pStyle w:val="Compact"/>
              <w:jc w:val="right"/>
            </w:pPr>
            <w:r>
              <w:t xml:space="preserve">29.6%</w:t>
            </w:r>
          </w:p>
        </w:tc>
        <w:tc>
          <w:p>
            <w:pPr>
              <w:pStyle w:val="Compact"/>
              <w:jc w:val="right"/>
            </w:pPr>
            <w:r>
              <w:t xml:space="preserve">0.68</w:t>
            </w:r>
          </w:p>
        </w:tc>
        <w:tc>
          <w:p>
            <w:pPr>
              <w:pStyle w:val="Compact"/>
              <w:jc w:val="left"/>
            </w:pPr>
            <w:r>
              <w:t xml:space="preserve">Excess Capacity</w:t>
            </w:r>
          </w:p>
        </w:tc>
      </w:tr>
      <w:tr>
        <w:tc>
          <w:p>
            <w:pPr>
              <w:pStyle w:val="Compact"/>
              <w:jc w:val="left"/>
            </w:pPr>
            <w:r>
              <w:t xml:space="preserve">Chungnam</w:t>
            </w:r>
          </w:p>
        </w:tc>
        <w:tc>
          <w:p>
            <w:pPr>
              <w:pStyle w:val="Compact"/>
              <w:jc w:val="right"/>
            </w:pPr>
            <w:r>
              <w:t xml:space="preserve">5.8%</w:t>
            </w:r>
          </w:p>
        </w:tc>
        <w:tc>
          <w:p>
            <w:pPr>
              <w:pStyle w:val="Compact"/>
              <w:jc w:val="right"/>
            </w:pPr>
            <w:r>
              <w:t xml:space="preserve">9.4%</w:t>
            </w:r>
          </w:p>
        </w:tc>
        <w:tc>
          <w:p>
            <w:pPr>
              <w:pStyle w:val="Compact"/>
              <w:jc w:val="right"/>
            </w:pPr>
            <w:r>
              <w:t xml:space="preserve">0.62</w:t>
            </w:r>
          </w:p>
        </w:tc>
        <w:tc>
          <w:p>
            <w:pPr>
              <w:pStyle w:val="Compact"/>
              <w:jc w:val="left"/>
            </w:pPr>
            <w:r>
              <w:t xml:space="preserve">Excess Capacity</w:t>
            </w:r>
          </w:p>
        </w:tc>
      </w:tr>
      <w:tr>
        <w:tc>
          <w:p>
            <w:pPr>
              <w:pStyle w:val="Compact"/>
              <w:jc w:val="left"/>
            </w:pPr>
            <w:r>
              <w:t xml:space="preserve">Jeju</w:t>
            </w:r>
          </w:p>
        </w:tc>
        <w:tc>
          <w:p>
            <w:pPr>
              <w:pStyle w:val="Compact"/>
              <w:jc w:val="right"/>
            </w:pPr>
            <w:r>
              <w:t xml:space="preserve">1.4%</w:t>
            </w:r>
          </w:p>
        </w:tc>
        <w:tc>
          <w:p>
            <w:pPr>
              <w:pStyle w:val="Compact"/>
              <w:jc w:val="right"/>
            </w:pPr>
            <w:r>
              <w:t xml:space="preserve">0.5%</w:t>
            </w:r>
          </w:p>
        </w:tc>
        <w:tc>
          <w:p>
            <w:pPr>
              <w:pStyle w:val="Compact"/>
              <w:jc w:val="right"/>
            </w:pPr>
            <w:r>
              <w:rPr>
                <w:bCs/>
                <w:b/>
              </w:rPr>
              <w:t xml:space="preserve">2.80</w:t>
            </w:r>
          </w:p>
        </w:tc>
        <w:tc>
          <w:p>
            <w:pPr>
              <w:pStyle w:val="Compact"/>
              <w:jc w:val="left"/>
            </w:pPr>
            <w:r>
              <w:t xml:space="preserve">Severe Shortage (Island)</w:t>
            </w:r>
          </w:p>
        </w:tc>
      </w:tr>
    </w:tbl>
    <w:p>
      <w:pPr>
        <w:pStyle w:val="BodyText"/>
      </w:pPr>
      <w:r>
        <w:rPr>
          <w:bCs/>
          <w:b/>
        </w:rPr>
        <w:t xml:space="preserve">Interpretation:</w:t>
      </w:r>
      <w:r>
        <w:t xml:space="preserve"> </w:t>
      </w:r>
      <w:r>
        <w:t xml:space="preserve">Severe mismatches are observed in Seoul (2.11) and Jeju (2.80). Seoul land is extremely expensive, pushing facilities into Gyeonggi, while Jeju is limited by island sea freights.</w:t>
      </w:r>
    </w:p>
    <w:p>
      <w:r>
        <w:pict>
          <v:rect style="width:0;height:1.5pt" o:hralign="center" o:hrstd="t" o:hr="t"/>
        </w:pict>
      </w:r>
    </w:p>
    <w:bookmarkEnd w:id="48"/>
    <w:bookmarkEnd w:id="49"/>
    <w:bookmarkStart w:id="54" w:name="research-model-construction-연구-모델-구축"/>
    <w:p>
      <w:pPr>
        <w:pStyle w:val="Heading2"/>
      </w:pPr>
      <w:r>
        <w:t xml:space="preserve">6. RESEARCH MODEL CONSTRUCTION / 연구 모델 구축</w:t>
      </w:r>
    </w:p>
    <w:bookmarkStart w:id="50" w:name="demand-estimation-수요-추정"/>
    <w:p>
      <w:pPr>
        <w:pStyle w:val="Heading3"/>
      </w:pPr>
      <w:r>
        <w:t xml:space="preserve">6.1 Demand Estimation / 수요 추정</w:t>
      </w:r>
    </w:p>
    <w:p>
      <w:pPr>
        <w:pStyle w:val="FirstParagraph"/>
      </w:pPr>
      <w:r>
        <w:t xml:space="preserve">Defines</w:t>
      </w:r>
      <w:r>
        <w:t xml:space="preserve"> </w:t>
      </w:r>
      <m:oMath>
        <m:sSub>
          <m:e>
            <m:r>
              <m:t>h</m:t>
            </m:r>
          </m:e>
          <m:sub>
            <m:r>
              <m:t>i</m:t>
            </m:r>
          </m:sub>
        </m:sSub>
      </m:oMath>
      <w:r>
        <w:t xml:space="preserve"> </w:t>
      </w:r>
      <w:r>
        <w:t xml:space="preserve">as the total logistics demand of region</w:t>
      </w:r>
      <w:r>
        <w:t xml:space="preserve"> </w:t>
      </w:r>
      <m:oMath>
        <m:r>
          <m:t>i</m:t>
        </m:r>
      </m:oMath>
      <w:r>
        <w:t xml:space="preserve">, calculated as the sum of inbound and outbound flows:</w:t>
      </w:r>
    </w:p>
    <w:p>
      <w:pPr>
        <w:pStyle w:val="BodyText"/>
      </w:pPr>
      <m:oMathPara>
        <m:oMathParaPr>
          <m:jc m:val="center"/>
        </m:oMathParaPr>
        <m:oMath>
          <m:sSub>
            <m:e>
              <m:r>
                <m:t>h</m:t>
              </m:r>
            </m:e>
            <m:sub>
              <m:r>
                <m:t>i</m:t>
              </m:r>
            </m:sub>
          </m:sSub>
          <m:r>
            <m:rPr>
              <m:sty m:val="p"/>
            </m:rPr>
            <m:t>=</m:t>
          </m:r>
          <m:sSubSup>
            <m:e>
              <m:r>
                <m:t>D</m:t>
              </m:r>
            </m:e>
            <m:sub>
              <m:r>
                <m:t>i</m:t>
              </m:r>
            </m:sub>
            <m:sup>
              <m:r>
                <m:t>i</m:t>
              </m:r>
              <m:r>
                <m:t>n</m:t>
              </m:r>
            </m:sup>
          </m:sSubSup>
          <m:r>
            <m:rPr>
              <m:sty m:val="p"/>
            </m:rPr>
            <m:t>+</m:t>
          </m:r>
          <m:sSubSup>
            <m:e>
              <m:r>
                <m:t>D</m:t>
              </m:r>
            </m:e>
            <m:sub>
              <m:r>
                <m:t>i</m:t>
              </m:r>
            </m:sub>
            <m:sup>
              <m:r>
                <m:t>o</m:t>
              </m:r>
              <m:r>
                <m:t>u</m:t>
              </m:r>
              <m:r>
                <m:t>t</m:t>
              </m:r>
            </m:sup>
          </m:sSubSup>
          <m:r>
            <m:rPr>
              <m:sty m:val="p"/>
            </m:rPr>
            <m:t>=</m:t>
          </m:r>
          <m:nary>
            <m:naryPr>
              <m:chr m:val="∑"/>
              <m:limLoc m:val="undOvr"/>
              <m:subHide m:val="0"/>
              <m:supHide m:val="1"/>
            </m:naryPr>
            <m:sub>
              <m:r>
                <m:t>o</m:t>
              </m:r>
              <m:r>
                <m:rPr>
                  <m:sty m:val="p"/>
                </m:rPr>
                <m:t>∈</m:t>
              </m:r>
              <m:r>
                <m:t>I</m:t>
              </m:r>
            </m:sub>
            <m:sup>
              <m:r>
                <m:t>​</m:t>
              </m:r>
            </m:sup>
            <m:e>
              <m:sSub>
                <m:e>
                  <m:r>
                    <m:rPr>
                      <m:nor/>
                      <m:sty m:val="p"/>
                    </m:rPr>
                    <m:t>OD</m:t>
                  </m:r>
                </m:e>
                <m:sub>
                  <m:r>
                    <m:t>o</m:t>
                  </m:r>
                  <m:r>
                    <m:rPr>
                      <m:sty m:val="p"/>
                    </m:rPr>
                    <m:t>,</m:t>
                  </m:r>
                  <m:r>
                    <m:t>i</m:t>
                  </m:r>
                </m:sub>
              </m:sSub>
            </m:e>
          </m:nary>
          <m:r>
            <m:rPr>
              <m:sty m:val="p"/>
            </m:rPr>
            <m:t>+</m:t>
          </m:r>
          <m:nary>
            <m:naryPr>
              <m:chr m:val="∑"/>
              <m:limLoc m:val="undOvr"/>
              <m:subHide m:val="0"/>
              <m:supHide m:val="1"/>
            </m:naryPr>
            <m:sub>
              <m:r>
                <m:t>d</m:t>
              </m:r>
              <m:r>
                <m:rPr>
                  <m:sty m:val="p"/>
                </m:rPr>
                <m:t>∈</m:t>
              </m:r>
              <m:r>
                <m:t>I</m:t>
              </m:r>
            </m:sub>
            <m:sup>
              <m:r>
                <m:t>​</m:t>
              </m:r>
            </m:sup>
            <m:e>
              <m:sSub>
                <m:e>
                  <m:r>
                    <m:rPr>
                      <m:nor/>
                      <m:sty m:val="p"/>
                    </m:rPr>
                    <m:t>OD</m:t>
                  </m:r>
                </m:e>
                <m:sub>
                  <m:r>
                    <m:t>i</m:t>
                  </m:r>
                  <m:r>
                    <m:rPr>
                      <m:sty m:val="p"/>
                    </m:rPr>
                    <m:t>,</m:t>
                  </m:r>
                  <m:r>
                    <m:t>d</m:t>
                  </m:r>
                </m:sub>
              </m:sSub>
            </m:e>
          </m:nary>
        </m:oMath>
      </m:oMathPara>
    </w:p>
    <w:p>
      <w:pPr>
        <w:pStyle w:val="FirstParagraph"/>
      </w:pPr>
      <w:r>
        <w:t xml:space="preserve">For outbound distribution (warehouse -&gt; customer), the study utilizes</w:t>
      </w:r>
      <w:r>
        <w:t xml:space="preserve"> </w:t>
      </w:r>
      <w:r>
        <w:rPr>
          <w:bCs/>
          <w:b/>
        </w:rPr>
        <w:t xml:space="preserve">inbound demand</w:t>
      </w:r>
      <w:r>
        <w:t xml:space="preserve"> </w:t>
      </w:r>
      <w:r>
        <w:t xml:space="preserve">to reflect regional consumption. Outbound demand is used for collection models.</w:t>
      </w:r>
    </w:p>
    <w:p>
      <w:pPr>
        <w:pStyle w:val="BodyText"/>
      </w:pPr>
      <w:r>
        <w:t xml:space="preserve">Demand table for 17 regions (unit: thousand tons/year, using inbound):</w:t>
      </w:r>
    </w:p>
    <w:tbl>
      <w:tblPr>
        <w:tblStyle w:val="Table"/>
        <w:tblW w:type="pct" w:w="0.0"/>
        <w:tblLook w:firstRow="1" w:lastRow="0" w:firstColumn="0" w:lastColumn="0" w:noHBand="0" w:noVBand="0" w:val="0020"/>
      </w:tblPr>
      <w:tblGrid/>
      <w:tr>
        <w:tc>
          <w:p>
            <w:pPr>
              <w:pStyle w:val="Compact"/>
              <w:jc w:val="left"/>
            </w:pPr>
            <w:r>
              <w:t xml:space="preserve">Region</w:t>
            </w:r>
          </w:p>
        </w:tc>
        <w:tc>
          <w:p>
            <w:pPr>
              <w:pStyle w:val="Compact"/>
              <w:jc w:val="right"/>
            </w:pPr>
            <m:oMath>
              <m:sSub>
                <m:e>
                  <m:r>
                    <m:t>h</m:t>
                  </m:r>
                </m:e>
                <m:sub>
                  <m:r>
                    <m:t>i</m:t>
                  </m:r>
                </m:sub>
              </m:sSub>
            </m:oMath>
            <w:r>
              <w:t xml:space="preserve"> </w:t>
            </w:r>
            <w:r>
              <w:t xml:space="preserve">(k tons/year)</w:t>
            </w:r>
          </w:p>
        </w:tc>
        <w:tc>
          <w:p>
            <w:pPr>
              <w:pStyle w:val="Compact"/>
              <w:jc w:val="right"/>
            </w:pPr>
            <w:r>
              <w:t xml:space="preserve">Index (National = 100)</w:t>
            </w:r>
          </w:p>
        </w:tc>
      </w:tr>
      <w:tr>
        <w:tc>
          <w:p>
            <w:pPr>
              <w:pStyle w:val="Compact"/>
              <w:jc w:val="left"/>
            </w:pPr>
            <w:r>
              <w:t xml:space="preserve">Gyeonggi</w:t>
            </w:r>
          </w:p>
        </w:tc>
        <w:tc>
          <w:p>
            <w:pPr>
              <w:pStyle w:val="Compact"/>
              <w:jc w:val="right"/>
            </w:pPr>
            <w:r>
              <w:t xml:space="preserve">14,890</w:t>
            </w:r>
          </w:p>
        </w:tc>
        <w:tc>
          <w:p>
            <w:pPr>
              <w:pStyle w:val="Compact"/>
              <w:jc w:val="right"/>
            </w:pPr>
            <w:r>
              <w:t xml:space="preserve">100 (ref)</w:t>
            </w:r>
          </w:p>
        </w:tc>
      </w:tr>
      <w:tr>
        <w:tc>
          <w:p>
            <w:pPr>
              <w:pStyle w:val="Compact"/>
              <w:jc w:val="left"/>
            </w:pPr>
            <w:r>
              <w:t xml:space="preserve">Seoul</w:t>
            </w:r>
          </w:p>
        </w:tc>
        <w:tc>
          <w:p>
            <w:pPr>
              <w:pStyle w:val="Compact"/>
              <w:jc w:val="right"/>
            </w:pPr>
            <w:r>
              <w:t xml:space="preserve">8,420</w:t>
            </w:r>
          </w:p>
        </w:tc>
        <w:tc>
          <w:p>
            <w:pPr>
              <w:pStyle w:val="Compact"/>
              <w:jc w:val="right"/>
            </w:pPr>
            <w:r>
              <w:t xml:space="preserve">57</w:t>
            </w:r>
          </w:p>
        </w:tc>
      </w:tr>
      <w:tr>
        <w:tc>
          <w:p>
            <w:pPr>
              <w:pStyle w:val="Compact"/>
              <w:jc w:val="left"/>
            </w:pPr>
            <w:r>
              <w:t xml:space="preserve">Busan</w:t>
            </w:r>
          </w:p>
        </w:tc>
        <w:tc>
          <w:p>
            <w:pPr>
              <w:pStyle w:val="Compact"/>
              <w:jc w:val="right"/>
            </w:pPr>
            <w:r>
              <w:t xml:space="preserve">6,750</w:t>
            </w:r>
          </w:p>
        </w:tc>
        <w:tc>
          <w:p>
            <w:pPr>
              <w:pStyle w:val="Compact"/>
              <w:jc w:val="right"/>
            </w:pPr>
            <w:r>
              <w:t xml:space="preserve">45</w:t>
            </w:r>
          </w:p>
        </w:tc>
      </w:tr>
      <w:tr>
        <w:tc>
          <w:p>
            <w:pPr>
              <w:pStyle w:val="Compact"/>
              <w:jc w:val="left"/>
            </w:pPr>
            <w:r>
              <w:t xml:space="preserve">Gyeongnam</w:t>
            </w:r>
          </w:p>
        </w:tc>
        <w:tc>
          <w:p>
            <w:pPr>
              <w:pStyle w:val="Compact"/>
              <w:jc w:val="right"/>
            </w:pPr>
            <w:r>
              <w:t xml:space="preserve">5,820</w:t>
            </w:r>
          </w:p>
        </w:tc>
        <w:tc>
          <w:p>
            <w:pPr>
              <w:pStyle w:val="Compact"/>
              <w:jc w:val="right"/>
            </w:pPr>
            <w:r>
              <w:t xml:space="preserve">39</w:t>
            </w:r>
          </w:p>
        </w:tc>
      </w:tr>
      <w:tr>
        <w:tc>
          <w:p>
            <w:pPr>
              <w:pStyle w:val="Compact"/>
              <w:jc w:val="left"/>
            </w:pPr>
            <w:r>
              <w:t xml:space="preserve">Daegu</w:t>
            </w:r>
          </w:p>
        </w:tc>
        <w:tc>
          <w:p>
            <w:pPr>
              <w:pStyle w:val="Compact"/>
              <w:jc w:val="right"/>
            </w:pPr>
            <w:r>
              <w:t xml:space="preserve">4,650</w:t>
            </w:r>
          </w:p>
        </w:tc>
        <w:tc>
          <w:p>
            <w:pPr>
              <w:pStyle w:val="Compact"/>
              <w:jc w:val="right"/>
            </w:pPr>
            <w:r>
              <w:t xml:space="preserve">31</w:t>
            </w:r>
          </w:p>
        </w:tc>
      </w:tr>
      <w:tr>
        <w:tc>
          <w:p>
            <w:pPr>
              <w:pStyle w:val="Compact"/>
              <w:jc w:val="left"/>
            </w:pPr>
            <w:r>
              <w:t xml:space="preserve">… (full 17 rows)</w:t>
            </w:r>
          </w:p>
        </w:tc>
        <w:tc>
          <w:p/>
        </w:tc>
        <w:tc>
          <w:p/>
        </w:tc>
      </w:tr>
    </w:tbl>
    <w:bookmarkEnd w:id="50"/>
    <w:bookmarkStart w:id="51" w:name="candidate-hub-generation-후보-허브-생성"/>
    <w:p>
      <w:pPr>
        <w:pStyle w:val="Heading3"/>
      </w:pPr>
      <w:r>
        <w:t xml:space="preserve">6.2 Candidate Hub Generation / 후보 허브 생성</w:t>
      </w:r>
    </w:p>
    <w:p>
      <w:pPr>
        <w:pStyle w:val="FirstParagraph"/>
      </w:pPr>
      <w:r>
        <w:t xml:space="preserve">The study evaluates candidate hubs at two granularity levels:</w:t>
      </w:r>
    </w:p>
    <w:p>
      <w:pPr>
        <w:pStyle w:val="BodyText"/>
      </w:pPr>
      <w:r>
        <w:rPr>
          <w:bCs/>
          <w:b/>
        </w:rPr>
        <w:t xml:space="preserve">Level 1 — Region-level candidates:</w:t>
      </w:r>
      <w:r>
        <w:t xml:space="preserve"> </w:t>
      </w:r>
      <w:r>
        <w:t xml:space="preserve">Each of the 17 regions serves as a hub candidate with its centroid coordinates and a capacity equal to the total warehouse capacity in that region. This is the</w:t>
      </w:r>
      <w:r>
        <w:t xml:space="preserve"> </w:t>
      </w:r>
      <w:r>
        <w:rPr>
          <w:bCs/>
          <w:b/>
        </w:rPr>
        <w:t xml:space="preserve">strategic</w:t>
      </w:r>
      <w:r>
        <w:t xml:space="preserve"> </w:t>
      </w:r>
      <w:r>
        <w:t xml:space="preserve">level.</w:t>
      </w:r>
    </w:p>
    <w:p>
      <w:pPr>
        <w:pStyle w:val="BodyText"/>
      </w:pPr>
      <w:r>
        <w:rPr>
          <w:bCs/>
          <w:b/>
        </w:rPr>
        <w:t xml:space="preserve">Level 2 — Warehouse-level candidates:</w:t>
      </w:r>
      <w:r>
        <w:t xml:space="preserve"> </w:t>
      </w:r>
      <w:r>
        <w:t xml:space="preserve">Each specific registered warehouse (&gt;= 5,000 m2) acts as a candidate with its own capacity, totaling ~5,200 candidates. This represents the</w:t>
      </w:r>
      <w:r>
        <w:t xml:space="preserve"> </w:t>
      </w:r>
      <w:r>
        <w:rPr>
          <w:bCs/>
          <w:b/>
        </w:rPr>
        <w:t xml:space="preserve">tactical</w:t>
      </w:r>
      <w:r>
        <w:t xml:space="preserve"> </w:t>
      </w:r>
      <w:r>
        <w:t xml:space="preserve">level.</w:t>
      </w:r>
    </w:p>
    <w:p>
      <w:pPr>
        <w:pStyle w:val="BodyText"/>
      </w:pPr>
      <w:r>
        <w:t xml:space="preserve">This study focuses on the</w:t>
      </w:r>
      <w:r>
        <w:t xml:space="preserve"> </w:t>
      </w:r>
      <w:r>
        <w:rPr>
          <w:bCs/>
          <w:b/>
        </w:rPr>
        <w:t xml:space="preserve">region-level candidates</w:t>
      </w:r>
      <w:r>
        <w:t xml:space="preserve"> </w:t>
      </w:r>
      <w:r>
        <w:t xml:space="preserve">(17 candidates) to align with the granularity of Freight O/D data.</w:t>
      </w:r>
    </w:p>
    <w:bookmarkEnd w:id="51"/>
    <w:bookmarkStart w:id="52" w:name="distance-cost-matrix-거리-및-비용-행렬"/>
    <w:p>
      <w:pPr>
        <w:pStyle w:val="Heading3"/>
      </w:pPr>
      <w:r>
        <w:t xml:space="preserve">6.3 Distance / Cost Matrix / 거리 및 비용 행렬</w:t>
      </w:r>
    </w:p>
    <w:p>
      <w:pPr>
        <w:pStyle w:val="FirstParagraph"/>
      </w:pPr>
      <w:r>
        <w:t xml:space="preserve">Defines</w:t>
      </w:r>
      <w:r>
        <w:t xml:space="preserve"> </w:t>
      </w:r>
      <m:oMath>
        <m:sSub>
          <m:e>
            <m:r>
              <m:t>c</m:t>
            </m:r>
          </m:e>
          <m:sub>
            <m:r>
              <m:t>i</m:t>
            </m:r>
            <m:r>
              <m:t>j</m:t>
            </m:r>
          </m:sub>
        </m:sSub>
      </m:oMath>
      <w:r>
        <w:t xml:space="preserve"> </w:t>
      </w:r>
      <w:r>
        <w:t xml:space="preserve">as the transportation cost per unit of demand between region</w:t>
      </w:r>
      <w:r>
        <w:t xml:space="preserve"> </w:t>
      </w:r>
      <m:oMath>
        <m:r>
          <m:t>i</m:t>
        </m:r>
      </m:oMath>
      <w:r>
        <w:t xml:space="preserve"> </w:t>
      </w:r>
      <w:r>
        <w:t xml:space="preserve">and hub</w:t>
      </w:r>
      <w:r>
        <w:t xml:space="preserve"> </w:t>
      </w:r>
      <m:oMath>
        <m:r>
          <m:t>j</m:t>
        </m:r>
      </m:oMath>
      <w:r>
        <w:t xml:space="preserve">. Two methods are used:</w:t>
      </w:r>
    </w:p>
    <w:p>
      <w:pPr>
        <w:pStyle w:val="BodyText"/>
      </w:pPr>
      <w:r>
        <w:rPr>
          <w:bCs/>
          <w:b/>
        </w:rPr>
        <w:t xml:space="preserve">Method 1 — Haversine Distance:</w:t>
      </w:r>
    </w:p>
    <w:p>
      <w:pPr>
        <w:pStyle w:val="BodyText"/>
      </w:pPr>
      <m:oMathPara>
        <m:oMathParaPr>
          <m:jc m:val="center"/>
        </m:oMathParaPr>
        <m:oMath>
          <m:sSub>
            <m:e>
              <m:r>
                <m:t>d</m:t>
              </m:r>
            </m:e>
            <m:sub>
              <m:r>
                <m:t>i</m:t>
              </m:r>
              <m:r>
                <m:t>j</m:t>
              </m:r>
            </m:sub>
          </m:sSub>
          <m:r>
            <m:rPr>
              <m:sty m:val="p"/>
            </m:rPr>
            <m:t>=</m:t>
          </m:r>
          <m:r>
            <m:t>R</m:t>
          </m:r>
          <m:r>
            <m:rPr>
              <m:sty m:val="p"/>
            </m:rPr>
            <m:t>⋅</m:t>
          </m:r>
          <m:r>
            <m:t>2</m:t>
          </m:r>
          <m:r>
            <m:rPr>
              <m:sty m:val="p"/>
            </m:rPr>
            <m:t>⋅</m:t>
          </m:r>
          <m:r>
            <m:rPr>
              <m:nor/>
              <m:sty m:val="p"/>
            </m:rPr>
            <m:t>arcsin</m:t>
          </m:r>
          <m:rad>
            <m:radPr>
              <m:degHide m:val="1"/>
            </m:radPr>
            <m:deg/>
            <m:e>
              <m:sSup>
                <m:e>
                  <m:r>
                    <m:rPr>
                      <m:nor/>
                      <m:sty m:val="p"/>
                    </m:rPr>
                    <m:t>sin</m:t>
                  </m:r>
                </m:e>
                <m:sup>
                  <m:r>
                    <m:t>2</m:t>
                  </m:r>
                </m:sup>
              </m:sSup>
              <m:d>
                <m:dPr>
                  <m:begChr m:val="("/>
                  <m:endChr m:val=")"/>
                  <m:grow/>
                </m:dPr>
                <m:e>
                  <m:f>
                    <m:fPr>
                      <m:type m:val="bar"/>
                    </m:fPr>
                    <m:num>
                      <m:r>
                        <m:t>Δ</m:t>
                      </m:r>
                      <m:r>
                        <m:t>ϕ</m:t>
                      </m:r>
                    </m:num>
                    <m:den>
                      <m:r>
                        <m:t>2</m:t>
                      </m:r>
                    </m:den>
                  </m:f>
                </m:e>
              </m:d>
              <m:r>
                <m:rPr>
                  <m:sty m:val="p"/>
                </m:rPr>
                <m:t>+</m:t>
              </m:r>
              <m:r>
                <m:rPr>
                  <m:nor/>
                  <m:sty m:val="p"/>
                </m:rPr>
                <m:t>cos</m:t>
              </m:r>
              <m:sSub>
                <m:e>
                  <m:r>
                    <m:t>ϕ</m:t>
                  </m:r>
                </m:e>
                <m:sub>
                  <m:r>
                    <m:t>i</m:t>
                  </m:r>
                </m:sub>
              </m:sSub>
              <m:r>
                <m:rPr>
                  <m:nor/>
                  <m:sty m:val="p"/>
                </m:rPr>
                <m:t>cos</m:t>
              </m:r>
              <m:sSub>
                <m:e>
                  <m:r>
                    <m:t>ϕ</m:t>
                  </m:r>
                </m:e>
                <m:sub>
                  <m:r>
                    <m:t>j</m:t>
                  </m:r>
                </m:sub>
              </m:sSub>
              <m:sSup>
                <m:e>
                  <m:r>
                    <m:rPr>
                      <m:nor/>
                      <m:sty m:val="p"/>
                    </m:rPr>
                    <m:t>sin</m:t>
                  </m:r>
                </m:e>
                <m:sup>
                  <m:r>
                    <m:t>2</m:t>
                  </m:r>
                </m:sup>
              </m:sSup>
              <m:d>
                <m:dPr>
                  <m:begChr m:val="("/>
                  <m:endChr m:val=")"/>
                  <m:grow/>
                </m:dPr>
                <m:e>
                  <m:f>
                    <m:fPr>
                      <m:type m:val="bar"/>
                    </m:fPr>
                    <m:num>
                      <m:r>
                        <m:t>Δ</m:t>
                      </m:r>
                      <m:r>
                        <m:t>λ</m:t>
                      </m:r>
                    </m:num>
                    <m:den>
                      <m:r>
                        <m:t>2</m:t>
                      </m:r>
                    </m:den>
                  </m:f>
                </m:e>
              </m:d>
            </m:e>
          </m:rad>
        </m:oMath>
      </m:oMathPara>
    </w:p>
    <w:p>
      <w:pPr>
        <w:pStyle w:val="FirstParagraph"/>
      </w:pPr>
      <w:r>
        <w:t xml:space="preserve">where</w:t>
      </w:r>
      <w:r>
        <w:t xml:space="preserve"> </w:t>
      </w:r>
      <m:oMath>
        <m:r>
          <m:t>R</m:t>
        </m:r>
        <m:r>
          <m:rPr>
            <m:sty m:val="p"/>
          </m:rPr>
          <m:t>=</m:t>
        </m:r>
        <m:r>
          <m:t>6371</m:t>
        </m:r>
      </m:oMath>
      <w:r>
        <w:t xml:space="preserve"> </w:t>
      </w:r>
      <w:r>
        <w:t xml:space="preserve">km (Earth’s radius),</w:t>
      </w:r>
      <w:r>
        <w:t xml:space="preserve"> </w:t>
      </w:r>
      <m:oMath>
        <m:r>
          <m:t>ϕ</m:t>
        </m:r>
      </m:oMath>
      <w:r>
        <w:t xml:space="preserve"> </w:t>
      </w:r>
      <w:r>
        <w:t xml:space="preserve">is latitude, and</w:t>
      </w:r>
      <w:r>
        <w:t xml:space="preserve"> </w:t>
      </w:r>
      <m:oMath>
        <m:r>
          <m:t>λ</m:t>
        </m:r>
      </m:oMath>
      <w:r>
        <w:t xml:space="preserve"> </w:t>
      </w:r>
      <w:r>
        <w:t xml:space="preserve">is longitude.</w:t>
      </w:r>
    </w:p>
    <w:p>
      <w:pPr>
        <w:pStyle w:val="BodyText"/>
      </w:pPr>
      <w:r>
        <w:rPr>
          <w:bCs/>
          <w:b/>
        </w:rPr>
        <w:t xml:space="preserve">Method 2 — Transportation Cost:</w:t>
      </w:r>
    </w:p>
    <w:p>
      <w:pPr>
        <w:pStyle w:val="BodyText"/>
      </w:pPr>
      <m:oMathPara>
        <m:oMathParaPr>
          <m:jc m:val="center"/>
        </m:oMathParaPr>
        <m:oMath>
          <m:sSub>
            <m:e>
              <m:r>
                <m:t>c</m:t>
              </m:r>
            </m:e>
            <m:sub>
              <m:r>
                <m:t>i</m:t>
              </m:r>
              <m:r>
                <m:t>j</m:t>
              </m:r>
            </m:sub>
          </m:sSub>
          <m:r>
            <m:rPr>
              <m:sty m:val="p"/>
            </m:rPr>
            <m:t>=</m:t>
          </m:r>
          <m:sSub>
            <m:e>
              <m:r>
                <m:t>d</m:t>
              </m:r>
            </m:e>
            <m:sub>
              <m:r>
                <m:t>i</m:t>
              </m:r>
              <m:r>
                <m:t>j</m:t>
              </m:r>
            </m:sub>
          </m:sSub>
          <m:r>
            <m:rPr>
              <m:sty m:val="p"/>
            </m:rPr>
            <m:t>⋅</m:t>
          </m:r>
          <m:sSub>
            <m:e>
              <m:r>
                <m:rPr>
                  <m:nor/>
                  <m:sty m:val="p"/>
                </m:rPr>
                <m:t>rate</m:t>
              </m:r>
            </m:e>
            <m:sub>
              <m:r>
                <m:rPr>
                  <m:nor/>
                  <m:sty m:val="p"/>
                </m:rPr>
                <m:t>transport</m:t>
              </m:r>
            </m:sub>
          </m:sSub>
          <m:r>
            <m:rPr>
              <m:sty m:val="p"/>
            </m:rPr>
            <m:t>⋅</m:t>
          </m:r>
          <m:r>
            <m:rPr>
              <m:sty m:val="p"/>
            </m:rPr>
            <m:t>(</m:t>
          </m:r>
          <m:r>
            <m:t>1</m:t>
          </m:r>
          <m:r>
            <m:rPr>
              <m:sty m:val="p"/>
            </m:rPr>
            <m:t>+</m:t>
          </m:r>
          <m:sSub>
            <m:e>
              <m:r>
                <m:rPr>
                  <m:nor/>
                  <m:sty m:val="p"/>
                </m:rPr>
                <m:t>surcharge</m:t>
              </m:r>
            </m:e>
            <m:sub>
              <m:r>
                <m:t>i</m:t>
              </m:r>
              <m:r>
                <m:t>j</m:t>
              </m:r>
            </m:sub>
          </m:sSub>
          <m:r>
            <m:rPr>
              <m:sty m:val="p"/>
            </m:rPr>
            <m:t>)</m:t>
          </m:r>
        </m:oMath>
      </m:oMathPara>
    </w:p>
    <w:p>
      <w:pPr>
        <w:pStyle w:val="FirstParagraph"/>
      </w:pPr>
      <w:r>
        <w:t xml:space="preserve">The study assumes an industry-average transport rate of 0.10 USD/ton-km for general cargo, with surcharges: long-haul (&gt;300km) +8%, and Jeju island +35%.</w:t>
      </w:r>
    </w:p>
    <w:p>
      <w:pPr>
        <w:pStyle w:val="BodyText"/>
      </w:pPr>
      <w:r>
        <w:t xml:space="preserve">Full 17x17 cost matrix (289 entries). Selected examples:</w:t>
      </w:r>
    </w:p>
    <w:tbl>
      <w:tblPr>
        <w:tblStyle w:val="Table"/>
        <w:tblW w:type="pct" w:w="0.0"/>
        <w:tblLook w:firstRow="1" w:lastRow="0" w:firstColumn="0" w:lastColumn="0" w:noHBand="0" w:noVBand="0" w:val="0020"/>
      </w:tblPr>
      <w:tblGrid/>
      <w:tr>
        <w:tc>
          <w:p>
            <w:pPr>
              <w:pStyle w:val="Compact"/>
              <w:jc w:val="left"/>
            </w:pPr>
            <w:r>
              <w:t xml:space="preserve">Origin → Destination</w:t>
            </w:r>
          </w:p>
        </w:tc>
        <w:tc>
          <w:p>
            <w:pPr>
              <w:pStyle w:val="Compact"/>
              <w:jc w:val="right"/>
            </w:pPr>
            <w:r>
              <w:t xml:space="preserve">Distance (km)</w:t>
            </w:r>
          </w:p>
        </w:tc>
        <w:tc>
          <w:p>
            <w:pPr>
              <w:pStyle w:val="Compact"/>
              <w:jc w:val="right"/>
            </w:pPr>
            <w:r>
              <w:t xml:space="preserve">Cost (USD/ton)</w:t>
            </w:r>
          </w:p>
        </w:tc>
      </w:tr>
      <w:tr>
        <w:tc>
          <w:p>
            <w:pPr>
              <w:pStyle w:val="Compact"/>
              <w:jc w:val="left"/>
            </w:pPr>
            <w:r>
              <w:t xml:space="preserve">Seoul → Busan</w:t>
            </w:r>
          </w:p>
        </w:tc>
        <w:tc>
          <w:p>
            <w:pPr>
              <w:pStyle w:val="Compact"/>
              <w:jc w:val="right"/>
            </w:pPr>
            <w:r>
              <w:t xml:space="preserve">325</w:t>
            </w:r>
          </w:p>
        </w:tc>
        <w:tc>
          <w:p>
            <w:pPr>
              <w:pStyle w:val="Compact"/>
              <w:jc w:val="right"/>
            </w:pPr>
            <w:r>
              <w:t xml:space="preserve">35.10</w:t>
            </w:r>
          </w:p>
        </w:tc>
      </w:tr>
      <w:tr>
        <w:tc>
          <w:p>
            <w:pPr>
              <w:pStyle w:val="Compact"/>
              <w:jc w:val="left"/>
            </w:pPr>
            <w:r>
              <w:t xml:space="preserve">Gyeonggi → Daejeon</w:t>
            </w:r>
          </w:p>
        </w:tc>
        <w:tc>
          <w:p>
            <w:pPr>
              <w:pStyle w:val="Compact"/>
              <w:jc w:val="right"/>
            </w:pPr>
            <w:r>
              <w:t xml:space="preserve">145</w:t>
            </w:r>
          </w:p>
        </w:tc>
        <w:tc>
          <w:p>
            <w:pPr>
              <w:pStyle w:val="Compact"/>
              <w:jc w:val="right"/>
            </w:pPr>
            <w:r>
              <w:t xml:space="preserve">14.50</w:t>
            </w:r>
          </w:p>
        </w:tc>
      </w:tr>
      <w:tr>
        <w:tc>
          <w:p>
            <w:pPr>
              <w:pStyle w:val="Compact"/>
              <w:jc w:val="left"/>
            </w:pPr>
            <w:r>
              <w:t xml:space="preserve">Gwangju → Jeju (ferry)</w:t>
            </w:r>
          </w:p>
        </w:tc>
        <w:tc>
          <w:p>
            <w:pPr>
              <w:pStyle w:val="Compact"/>
              <w:jc w:val="right"/>
            </w:pPr>
            <w:r>
              <w:t xml:space="preserve">320</w:t>
            </w:r>
          </w:p>
        </w:tc>
        <w:tc>
          <w:p>
            <w:pPr>
              <w:pStyle w:val="Compact"/>
              <w:jc w:val="right"/>
            </w:pPr>
            <w:r>
              <w:t xml:space="preserve">43.20</w:t>
            </w:r>
          </w:p>
        </w:tc>
      </w:tr>
      <w:tr>
        <w:tc>
          <w:p>
            <w:pPr>
              <w:pStyle w:val="Compact"/>
              <w:jc w:val="left"/>
            </w:pPr>
            <w:r>
              <w:t xml:space="preserve">Daegu → Gyeongbuk</w:t>
            </w:r>
          </w:p>
        </w:tc>
        <w:tc>
          <w:p>
            <w:pPr>
              <w:pStyle w:val="Compact"/>
              <w:jc w:val="right"/>
            </w:pPr>
            <w:r>
              <w:t xml:space="preserve">65</w:t>
            </w:r>
          </w:p>
        </w:tc>
        <w:tc>
          <w:p>
            <w:pPr>
              <w:pStyle w:val="Compact"/>
              <w:jc w:val="right"/>
            </w:pPr>
            <w:r>
              <w:t xml:space="preserve">6.50</w:t>
            </w:r>
          </w:p>
        </w:tc>
      </w:tr>
    </w:tbl>
    <w:bookmarkEnd w:id="52"/>
    <w:bookmarkStart w:id="53" w:name="fixed-cost-capacity-고정비-및-수용량"/>
    <w:p>
      <w:pPr>
        <w:pStyle w:val="Heading3"/>
      </w:pPr>
      <w:r>
        <w:t xml:space="preserve">6.4 Fixed Cost / Capacity / 고정비 및 수용량</w:t>
      </w:r>
    </w:p>
    <w:p>
      <w:pPr>
        <w:pStyle w:val="FirstParagraph"/>
      </w:pPr>
      <w:r>
        <w:rPr>
          <w:bCs/>
          <w:b/>
        </w:rPr>
        <w:t xml:space="preserve">Fixed Cost</w:t>
      </w:r>
      <w:r>
        <w:rPr>
          <w:bCs/>
          <w:b/>
        </w:rPr>
        <w:t xml:space="preserve"> </w:t>
      </w:r>
      <m:oMath>
        <m:sSub>
          <m:e>
            <m:r>
              <m:t>f</m:t>
            </m:r>
          </m:e>
          <m:sub>
            <m:r>
              <m:t>j</m:t>
            </m:r>
          </m:sub>
        </m:sSub>
      </m:oMath>
      <w:r>
        <w:t xml:space="preserve"> </w:t>
      </w:r>
      <w:r>
        <w:t xml:space="preserve">— the annual fixed cost of operating hub</w:t>
      </w:r>
      <w:r>
        <w:t xml:space="preserve"> </w:t>
      </w:r>
      <m:oMath>
        <m:r>
          <m:t>j</m:t>
        </m:r>
      </m:oMath>
      <w:r>
        <w:t xml:space="preserve">, estimated as:</w:t>
      </w:r>
    </w:p>
    <w:p>
      <w:pPr>
        <w:pStyle w:val="BodyText"/>
      </w:pPr>
      <m:oMathPara>
        <m:oMathParaPr>
          <m:jc m:val="center"/>
        </m:oMathParaPr>
        <m:oMath>
          <m:sSub>
            <m:e>
              <m:r>
                <m:t>f</m:t>
              </m:r>
            </m:e>
            <m:sub>
              <m:r>
                <m:t>j</m:t>
              </m:r>
            </m:sub>
          </m:sSub>
          <m:r>
            <m:rPr>
              <m:sty m:val="p"/>
            </m:rPr>
            <m:t>=</m:t>
          </m:r>
          <m:r>
            <m:rPr>
              <m:nor/>
              <m:sty m:val="p"/>
            </m:rPr>
            <m:t>base_rent</m:t>
          </m:r>
          <m:r>
            <m:rPr>
              <m:sty m:val="p"/>
            </m:rPr>
            <m:t>⋅</m:t>
          </m:r>
          <m:sSub>
            <m:e>
              <m:r>
                <m:rPr>
                  <m:nor/>
                  <m:sty m:val="p"/>
                </m:rPr>
                <m:t>area</m:t>
              </m:r>
            </m:e>
            <m:sub>
              <m:r>
                <m:t>j</m:t>
              </m:r>
            </m:sub>
          </m:sSub>
          <m:r>
            <m:rPr>
              <m:sty m:val="p"/>
            </m:rPr>
            <m:t>+</m:t>
          </m:r>
          <m:sSub>
            <m:e>
              <m:r>
                <m:rPr>
                  <m:nor/>
                  <m:sty m:val="p"/>
                </m:rPr>
                <m:t>operations</m:t>
              </m:r>
            </m:e>
            <m:sub>
              <m:r>
                <m:t>j</m:t>
              </m:r>
            </m:sub>
          </m:sSub>
          <m:r>
            <m:rPr>
              <m:sty m:val="p"/>
            </m:rPr>
            <m:t>+</m:t>
          </m:r>
          <m:sSub>
            <m:e>
              <m:r>
                <m:rPr>
                  <m:nor/>
                  <m:sty m:val="p"/>
                </m:rPr>
                <m:t>security</m:t>
              </m:r>
            </m:e>
            <m:sub>
              <m:r>
                <m:t>j</m:t>
              </m:r>
            </m:sub>
          </m:sSub>
          <m:r>
            <m:rPr>
              <m:sty m:val="p"/>
            </m:rPr>
            <m:t>+</m:t>
          </m:r>
          <m:sSub>
            <m:e>
              <m:r>
                <m:rPr>
                  <m:nor/>
                  <m:sty m:val="p"/>
                </m:rPr>
                <m:t>system</m:t>
              </m:r>
            </m:e>
            <m:sub>
              <m:r>
                <m:t>j</m:t>
              </m:r>
            </m:sub>
          </m:sSub>
        </m:oMath>
      </m:oMathPara>
    </w:p>
    <w:p>
      <w:pPr>
        <w:pStyle w:val="FirstParagraph"/>
      </w:pPr>
      <w:r>
        <w:t xml:space="preserve">Base rent ranges from 50 to 300 USD/m²/year depending on the region (Seoul is highest, Jeolla is lowest). Operations account for ~30% of base rent, security 10-15%, and SCM systems 10-20%.</w:t>
      </w:r>
    </w:p>
    <w:p>
      <w:pPr>
        <w:pStyle w:val="BodyText"/>
      </w:pPr>
      <w:r>
        <w:t xml:space="preserve">Benchmark</w:t>
      </w:r>
      <w:r>
        <w:t xml:space="preserve"> </w:t>
      </w:r>
      <m:oMath>
        <m:sSub>
          <m:e>
            <m:r>
              <m:t>f</m:t>
            </m:r>
          </m:e>
          <m:sub>
            <m:r>
              <m:t>j</m:t>
            </m:r>
          </m:sub>
        </m:sSub>
      </m:oMath>
      <w:r>
        <w:t xml:space="preserve"> </w:t>
      </w:r>
      <w:r>
        <w:t xml:space="preserve">table for a standard regional hub (~22,000 m²):</w:t>
      </w:r>
    </w:p>
    <w:tbl>
      <w:tblPr>
        <w:tblStyle w:val="Table"/>
        <w:tblW w:type="pct" w:w="0.0"/>
        <w:tblLook w:firstRow="1" w:lastRow="0" w:firstColumn="0" w:lastColumn="0" w:noHBand="0" w:noVBand="0" w:val="0020"/>
      </w:tblPr>
      <w:tblGrid/>
      <w:tr>
        <w:tc>
          <w:p>
            <w:pPr>
              <w:pStyle w:val="Compact"/>
              <w:jc w:val="left"/>
            </w:pPr>
            <w:r>
              <w:t xml:space="preserve">Region</w:t>
            </w:r>
          </w:p>
        </w:tc>
        <w:tc>
          <w:p>
            <w:pPr>
              <w:pStyle w:val="Compact"/>
              <w:jc w:val="right"/>
            </w:pPr>
            <w:r>
              <w:t xml:space="preserve">Base Rent ($/m²)</w:t>
            </w:r>
          </w:p>
        </w:tc>
        <w:tc>
          <w:p>
            <w:pPr>
              <w:pStyle w:val="Compact"/>
              <w:jc w:val="right"/>
            </w:pPr>
            <m:oMath>
              <m:sSub>
                <m:e>
                  <m:r>
                    <m:t>f</m:t>
                  </m:r>
                </m:e>
                <m:sub>
                  <m:r>
                    <m:t>j</m:t>
                  </m:r>
                </m:sub>
              </m:sSub>
            </m:oMath>
            <w:r>
              <w:t xml:space="preserve"> </w:t>
            </w:r>
            <w:r>
              <w:t xml:space="preserve">(USD/year)</w:t>
            </w:r>
          </w:p>
        </w:tc>
      </w:tr>
      <w:tr>
        <w:tc>
          <w:p>
            <w:pPr>
              <w:pStyle w:val="Compact"/>
              <w:jc w:val="left"/>
            </w:pPr>
            <w:r>
              <w:t xml:space="preserve">Seoul</w:t>
            </w:r>
          </w:p>
        </w:tc>
        <w:tc>
          <w:p>
            <w:pPr>
              <w:pStyle w:val="Compact"/>
              <w:jc w:val="right"/>
            </w:pPr>
            <w:r>
              <w:t xml:space="preserve">280</w:t>
            </w:r>
          </w:p>
        </w:tc>
        <w:tc>
          <w:p>
            <w:pPr>
              <w:pStyle w:val="Compact"/>
              <w:jc w:val="right"/>
            </w:pPr>
            <w:r>
              <w:t xml:space="preserve">8,500,000</w:t>
            </w:r>
          </w:p>
        </w:tc>
      </w:tr>
      <w:tr>
        <w:tc>
          <w:p>
            <w:pPr>
              <w:pStyle w:val="Compact"/>
              <w:jc w:val="left"/>
            </w:pPr>
            <w:r>
              <w:t xml:space="preserve">Gyeonggi</w:t>
            </w:r>
          </w:p>
        </w:tc>
        <w:tc>
          <w:p>
            <w:pPr>
              <w:pStyle w:val="Compact"/>
              <w:jc w:val="right"/>
            </w:pPr>
            <w:r>
              <w:t xml:space="preserve">180</w:t>
            </w:r>
          </w:p>
        </w:tc>
        <w:tc>
          <w:p>
            <w:pPr>
              <w:pStyle w:val="Compact"/>
              <w:jc w:val="right"/>
            </w:pPr>
            <w:r>
              <w:t xml:space="preserve">6,800,000</w:t>
            </w:r>
          </w:p>
        </w:tc>
      </w:tr>
      <w:tr>
        <w:tc>
          <w:p>
            <w:pPr>
              <w:pStyle w:val="Compact"/>
              <w:jc w:val="left"/>
            </w:pPr>
            <w:r>
              <w:t xml:space="preserve">Busan</w:t>
            </w:r>
          </w:p>
        </w:tc>
        <w:tc>
          <w:p>
            <w:pPr>
              <w:pStyle w:val="Compact"/>
              <w:jc w:val="right"/>
            </w:pPr>
            <w:r>
              <w:t xml:space="preserve">150</w:t>
            </w:r>
          </w:p>
        </w:tc>
        <w:tc>
          <w:p>
            <w:pPr>
              <w:pStyle w:val="Compact"/>
              <w:jc w:val="right"/>
            </w:pPr>
            <w:r>
              <w:t xml:space="preserve">5,800,000</w:t>
            </w:r>
          </w:p>
        </w:tc>
      </w:tr>
      <w:tr>
        <w:tc>
          <w:p>
            <w:pPr>
              <w:pStyle w:val="Compact"/>
              <w:jc w:val="left"/>
            </w:pPr>
            <w:r>
              <w:t xml:space="preserve">Daejeon</w:t>
            </w:r>
          </w:p>
        </w:tc>
        <w:tc>
          <w:p>
            <w:pPr>
              <w:pStyle w:val="Compact"/>
              <w:jc w:val="right"/>
            </w:pPr>
            <w:r>
              <w:t xml:space="preserve">130</w:t>
            </w:r>
          </w:p>
        </w:tc>
        <w:tc>
          <w:p>
            <w:pPr>
              <w:pStyle w:val="Compact"/>
              <w:jc w:val="right"/>
            </w:pPr>
            <w:r>
              <w:t xml:space="preserve">5,400,000</w:t>
            </w:r>
          </w:p>
        </w:tc>
      </w:tr>
      <w:tr>
        <w:tc>
          <w:p>
            <w:pPr>
              <w:pStyle w:val="Compact"/>
              <w:jc w:val="left"/>
            </w:pPr>
            <w:r>
              <w:t xml:space="preserve">Gwangju</w:t>
            </w:r>
          </w:p>
        </w:tc>
        <w:tc>
          <w:p>
            <w:pPr>
              <w:pStyle w:val="Compact"/>
              <w:jc w:val="right"/>
            </w:pPr>
            <w:r>
              <w:t xml:space="preserve">90</w:t>
            </w:r>
          </w:p>
        </w:tc>
        <w:tc>
          <w:p>
            <w:pPr>
              <w:pStyle w:val="Compact"/>
              <w:jc w:val="right"/>
            </w:pPr>
            <w:r>
              <w:t xml:space="preserve">4,200,000</w:t>
            </w:r>
          </w:p>
        </w:tc>
      </w:tr>
      <w:tr>
        <w:tc>
          <w:p>
            <w:pPr>
              <w:pStyle w:val="Compact"/>
              <w:jc w:val="left"/>
            </w:pPr>
            <w:r>
              <w:t xml:space="preserve">Jeonnam</w:t>
            </w:r>
          </w:p>
        </w:tc>
        <w:tc>
          <w:p>
            <w:pPr>
              <w:pStyle w:val="Compact"/>
              <w:jc w:val="right"/>
            </w:pPr>
            <w:r>
              <w:t xml:space="preserve">70</w:t>
            </w:r>
          </w:p>
        </w:tc>
        <w:tc>
          <w:p>
            <w:pPr>
              <w:pStyle w:val="Compact"/>
              <w:jc w:val="right"/>
            </w:pPr>
            <w:r>
              <w:t xml:space="preserve">3,600,000</w:t>
            </w:r>
          </w:p>
        </w:tc>
      </w:tr>
      <w:tr>
        <w:tc>
          <w:p>
            <w:pPr>
              <w:pStyle w:val="Compact"/>
              <w:jc w:val="left"/>
            </w:pPr>
            <w:r>
              <w:t xml:space="preserve">…</w:t>
            </w:r>
          </w:p>
        </w:tc>
        <w:tc>
          <w:p/>
        </w:tc>
        <w:tc>
          <w:p/>
        </w:tc>
      </w:tr>
    </w:tbl>
    <w:p>
      <w:pPr>
        <w:pStyle w:val="BodyText"/>
      </w:pPr>
      <w:r>
        <w:rPr>
          <w:bCs/>
          <w:b/>
        </w:rPr>
        <w:t xml:space="preserve">Capacity</w:t>
      </w:r>
      <w:r>
        <w:rPr>
          <w:bCs/>
          <w:b/>
        </w:rPr>
        <w:t xml:space="preserve"> </w:t>
      </w:r>
      <m:oMath>
        <m:r>
          <m:t>C</m:t>
        </m:r>
        <m:r>
          <m:t>a</m:t>
        </m:r>
        <m:sSub>
          <m:e>
            <m:r>
              <m:t>p</m:t>
            </m:r>
          </m:e>
          <m:sub>
            <m:r>
              <m:t>j</m:t>
            </m:r>
          </m:sub>
        </m:sSub>
      </m:oMath>
      <w:r>
        <w:t xml:space="preserve"> </w:t>
      </w:r>
      <w:r>
        <w:t xml:space="preserve">— the maximum annual throughput of hub</w:t>
      </w:r>
      <w:r>
        <w:t xml:space="preserve"> </w:t>
      </w:r>
      <m:oMath>
        <m:r>
          <m:t>j</m:t>
        </m:r>
      </m:oMath>
      <w:r>
        <w:t xml:space="preserve"> </w:t>
      </w:r>
      <w:r>
        <w:t xml:space="preserve">(tons/year), calculated as:</w:t>
      </w:r>
    </w:p>
    <w:p>
      <w:pPr>
        <w:pStyle w:val="BodyText"/>
      </w:pPr>
      <m:oMathPara>
        <m:oMathParaPr>
          <m:jc m:val="center"/>
        </m:oMathParaPr>
        <m:oMath>
          <m:sSub>
            <m:e>
              <m:r>
                <m:rPr>
                  <m:nor/>
                  <m:sty m:val="p"/>
                </m:rPr>
                <m:t>Cap</m:t>
              </m:r>
            </m:e>
            <m:sub>
              <m:r>
                <m:t>j</m:t>
              </m:r>
            </m:sub>
          </m:sSub>
          <m:r>
            <m:rPr>
              <m:sty m:val="p"/>
            </m:rPr>
            <m:t>=</m:t>
          </m:r>
          <m:sSub>
            <m:e>
              <m:r>
                <m:rPr>
                  <m:nor/>
                  <m:sty m:val="p"/>
                </m:rPr>
                <m:t>area</m:t>
              </m:r>
            </m:e>
            <m:sub>
              <m:r>
                <m:t>j</m:t>
              </m:r>
            </m:sub>
          </m:sSub>
          <m:r>
            <m:rPr>
              <m:sty m:val="p"/>
            </m:rPr>
            <m:t>⋅</m:t>
          </m:r>
          <m:r>
            <m:rPr>
              <m:nor/>
              <m:sty m:val="p"/>
            </m:rPr>
            <m:t>throughput_per_m2</m:t>
          </m:r>
        </m:oMath>
      </m:oMathPara>
    </w:p>
    <w:p>
      <w:pPr>
        <w:pStyle w:val="FirstParagraph"/>
      </w:pPr>
      <w:r>
        <w:t xml:space="preserve">with an industry average throughput of ~25 tons/m²/year for general cargo. A standard 22,000 m² hub yields a capacity of 550,000 tons/year.</w:t>
      </w:r>
    </w:p>
    <w:p>
      <w:r>
        <w:pict>
          <v:rect style="width:0;height:1.5pt" o:hralign="center" o:hrstd="t" o:hr="t"/>
        </w:pict>
      </w:r>
    </w:p>
    <w:bookmarkEnd w:id="53"/>
    <w:bookmarkEnd w:id="54"/>
    <w:bookmarkStart w:id="58" w:name="optimization-models-최적화-모델"/>
    <w:p>
      <w:pPr>
        <w:pStyle w:val="Heading2"/>
      </w:pPr>
      <w:r>
        <w:t xml:space="preserve">7. OPTIMIZATION MODELS / 최적화 모델</w:t>
      </w:r>
    </w:p>
    <w:bookmarkStart w:id="55" w:name="p-median-model-p-중앙값-모델"/>
    <w:p>
      <w:pPr>
        <w:pStyle w:val="Heading3"/>
      </w:pPr>
      <w:r>
        <w:t xml:space="preserve">7.1 P-Median Model / P-중앙값 모델</w:t>
      </w:r>
    </w:p>
    <w:p>
      <w:pPr>
        <w:pStyle w:val="FirstParagraph"/>
      </w:pPr>
      <w:r>
        <w:rPr>
          <w:bCs/>
          <w:b/>
        </w:rPr>
        <w:t xml:space="preserve">Mathematical Formulation:</w:t>
      </w:r>
    </w:p>
    <w:p>
      <w:pPr>
        <w:pStyle w:val="BodyText"/>
      </w:pPr>
      <m:oMathPara>
        <m:oMathParaPr>
          <m:jc m:val="center"/>
        </m:oMathParaPr>
        <m:oMath>
          <m:r>
            <m:rPr>
              <m:nor/>
              <m:sty m:val="p"/>
            </m:rPr>
            <m:t>min</m:t>
          </m:r>
          <m:nary>
            <m:naryPr>
              <m:chr m:val="∑"/>
              <m:limLoc m:val="undOvr"/>
              <m:subHide m:val="0"/>
              <m:supHide m:val="1"/>
            </m:naryPr>
            <m:sub>
              <m:r>
                <m:t>i</m:t>
              </m:r>
              <m:r>
                <m:rPr>
                  <m:sty m:val="p"/>
                </m:rPr>
                <m:t>∈</m:t>
              </m:r>
              <m:r>
                <m:t>I</m:t>
              </m:r>
            </m:sub>
            <m:sup>
              <m:r>
                <m:t>​</m:t>
              </m:r>
            </m:sup>
            <m:e>
              <m:nary>
                <m:naryPr>
                  <m:chr m:val="∑"/>
                  <m:limLoc m:val="undOvr"/>
                  <m:subHide m:val="0"/>
                  <m:supHide m:val="1"/>
                </m:naryPr>
                <m:sub>
                  <m:r>
                    <m:t>j</m:t>
                  </m:r>
                  <m:r>
                    <m:rPr>
                      <m:sty m:val="p"/>
                    </m:rPr>
                    <m:t>∈</m:t>
                  </m:r>
                  <m:r>
                    <m:t>J</m:t>
                  </m:r>
                </m:sub>
                <m:sup>
                  <m:r>
                    <m:t>​</m:t>
                  </m:r>
                </m:sup>
                <m:e>
                  <m:sSub>
                    <m:e>
                      <m:r>
                        <m:t>h</m:t>
                      </m:r>
                    </m:e>
                    <m:sub>
                      <m:r>
                        <m:t>i</m:t>
                      </m:r>
                    </m:sub>
                  </m:sSub>
                </m:e>
              </m:nary>
            </m:e>
          </m:nary>
          <m:r>
            <m:rPr>
              <m:sty m:val="p"/>
            </m:rPr>
            <m:t>⋅</m:t>
          </m:r>
          <m:sSub>
            <m:e>
              <m:r>
                <m:t>c</m:t>
              </m:r>
            </m:e>
            <m:sub>
              <m:r>
                <m:t>i</m:t>
              </m:r>
              <m:r>
                <m:t>j</m:t>
              </m:r>
            </m:sub>
          </m:sSub>
          <m:r>
            <m:rPr>
              <m:sty m:val="p"/>
            </m:rPr>
            <m:t>⋅</m:t>
          </m:r>
          <m:sSub>
            <m:e>
              <m:r>
                <m:t>y</m:t>
              </m:r>
            </m:e>
            <m:sub>
              <m:r>
                <m:t>i</m:t>
              </m:r>
              <m:r>
                <m:t>j</m:t>
              </m:r>
            </m:sub>
          </m:sSub>
        </m:oMath>
      </m:oMathPara>
    </w:p>
    <w:p>
      <w:pPr>
        <w:pStyle w:val="FirstParagraph"/>
      </w:pPr>
      <w:r>
        <w:t xml:space="preserve">s.t.</w:t>
      </w:r>
    </w:p>
    <w:p>
      <w:pPr>
        <w:pStyle w:val="BodyText"/>
      </w:pPr>
      <m:oMathPara>
        <m:oMathParaPr>
          <m:jc m:val="center"/>
        </m:oMathParaPr>
        <m:oMath>
          <m:nary>
            <m:naryPr>
              <m:chr m:val="∑"/>
              <m:limLoc m:val="undOvr"/>
              <m:subHide m:val="0"/>
              <m:supHide m:val="1"/>
            </m:naryPr>
            <m:sub>
              <m:r>
                <m:t>j</m:t>
              </m:r>
              <m:r>
                <m:rPr>
                  <m:sty m:val="p"/>
                </m:rPr>
                <m:t>∈</m:t>
              </m:r>
              <m:r>
                <m:t>J</m:t>
              </m:r>
            </m:sub>
            <m:sup>
              <m:r>
                <m:t>​</m:t>
              </m:r>
            </m:sup>
            <m:e>
              <m:sSub>
                <m:e>
                  <m:r>
                    <m:t>x</m:t>
                  </m:r>
                </m:e>
                <m:sub>
                  <m:r>
                    <m:t>j</m:t>
                  </m:r>
                </m:sub>
              </m:sSub>
            </m:e>
          </m:nary>
          <m:r>
            <m:rPr>
              <m:sty m:val="p"/>
            </m:rPr>
            <m:t>=</m:t>
          </m:r>
          <m:r>
            <m:t>P</m:t>
          </m:r>
        </m:oMath>
      </m:oMathPara>
    </w:p>
    <w:p>
      <w:pPr>
        <w:pStyle w:val="FirstParagraph"/>
      </w:pPr>
      <m:oMathPara>
        <m:oMathParaPr>
          <m:jc m:val="center"/>
        </m:oMathParaPr>
        <m:oMath>
          <m:nary>
            <m:naryPr>
              <m:chr m:val="∑"/>
              <m:limLoc m:val="undOvr"/>
              <m:subHide m:val="0"/>
              <m:supHide m:val="1"/>
            </m:naryPr>
            <m:sub>
              <m:r>
                <m:t>j</m:t>
              </m:r>
              <m:r>
                <m:rPr>
                  <m:sty m:val="p"/>
                </m:rPr>
                <m:t>∈</m:t>
              </m:r>
              <m:r>
                <m:t>J</m:t>
              </m:r>
            </m:sub>
            <m:sup>
              <m:r>
                <m:t>​</m:t>
              </m:r>
            </m:sup>
            <m:e>
              <m:sSub>
                <m:e>
                  <m:r>
                    <m:t>y</m:t>
                  </m:r>
                </m:e>
                <m:sub>
                  <m:r>
                    <m:t>i</m:t>
                  </m:r>
                  <m:r>
                    <m:t>j</m:t>
                  </m:r>
                </m:sub>
              </m:sSub>
            </m:e>
          </m:nary>
          <m:r>
            <m:rPr>
              <m:sty m:val="p"/>
            </m:rPr>
            <m:t>=</m:t>
          </m:r>
          <m:r>
            <m:t>1</m:t>
          </m:r>
          <m:r>
            <m:rPr>
              <m:sty m:val="p"/>
            </m:rPr>
            <m:t>,</m:t>
          </m:r>
          <m:r>
            <m:t> </m:t>
          </m:r>
          <m:r>
            <m:rPr>
              <m:sty m:val="p"/>
            </m:rPr>
            <m:t>∀</m:t>
          </m:r>
          <m:r>
            <m:t>i</m:t>
          </m:r>
          <m:r>
            <m:rPr>
              <m:sty m:val="p"/>
            </m:rPr>
            <m:t>∈</m:t>
          </m:r>
          <m:r>
            <m:t>I</m:t>
          </m:r>
        </m:oMath>
      </m:oMathPara>
    </w:p>
    <w:p>
      <w:pPr>
        <w:pStyle w:val="FirstParagraph"/>
      </w:pPr>
      <m:oMathPara>
        <m:oMathParaPr>
          <m:jc m:val="center"/>
        </m:oMathParaPr>
        <m:oMath>
          <m:sSub>
            <m:e>
              <m:r>
                <m:t>y</m:t>
              </m:r>
            </m:e>
            <m:sub>
              <m:r>
                <m:t>i</m:t>
              </m:r>
              <m:r>
                <m:t>j</m:t>
              </m:r>
            </m:sub>
          </m:sSub>
          <m:r>
            <m:rPr>
              <m:sty m:val="p"/>
            </m:rPr>
            <m:t>≤</m:t>
          </m:r>
          <m:sSub>
            <m:e>
              <m:r>
                <m:t>x</m:t>
              </m:r>
            </m:e>
            <m:sub>
              <m:r>
                <m:t>j</m:t>
              </m:r>
            </m:sub>
          </m:sSub>
          <m:r>
            <m:rPr>
              <m:sty m:val="p"/>
            </m:rPr>
            <m:t>,</m:t>
          </m:r>
          <m:r>
            <m:t> </m:t>
          </m:r>
          <m:r>
            <m:rPr>
              <m:sty m:val="p"/>
            </m:rPr>
            <m:t>∀</m:t>
          </m:r>
          <m:r>
            <m:t>i</m:t>
          </m:r>
          <m:r>
            <m:rPr>
              <m:sty m:val="p"/>
            </m:rPr>
            <m:t>∈</m:t>
          </m:r>
          <m:r>
            <m:t>I</m:t>
          </m:r>
          <m:r>
            <m:rPr>
              <m:sty m:val="p"/>
            </m:rPr>
            <m:t>,</m:t>
          </m:r>
          <m:r>
            <m:t>j</m:t>
          </m:r>
          <m:r>
            <m:rPr>
              <m:sty m:val="p"/>
            </m:rPr>
            <m:t>∈</m:t>
          </m:r>
          <m:r>
            <m:t>J</m:t>
          </m:r>
        </m:oMath>
      </m:oMathPara>
    </w:p>
    <w:p>
      <w:pPr>
        <w:pStyle w:val="FirstParagraph"/>
      </w:pPr>
      <m:oMathPara>
        <m:oMathParaPr>
          <m:jc m:val="center"/>
        </m:oMathParaPr>
        <m:oMath>
          <m:sSub>
            <m:e>
              <m:r>
                <m:t>x</m:t>
              </m:r>
            </m:e>
            <m:sub>
              <m:r>
                <m:t>j</m:t>
              </m:r>
            </m:sub>
          </m:sSub>
          <m:r>
            <m:rPr>
              <m:sty m:val="p"/>
            </m:rPr>
            <m:t>,</m:t>
          </m:r>
          <m:sSub>
            <m:e>
              <m:r>
                <m:t>y</m:t>
              </m:r>
            </m:e>
            <m:sub>
              <m:r>
                <m:t>i</m:t>
              </m:r>
              <m:r>
                <m:t>j</m:t>
              </m:r>
            </m:sub>
          </m:sSub>
          <m:r>
            <m:rPr>
              <m:sty m:val="p"/>
            </m:rPr>
            <m:t>∈</m:t>
          </m:r>
          <m:r>
            <m:rPr>
              <m:sty m:val="p"/>
            </m:rPr>
            <m:t>{</m:t>
          </m:r>
          <m:r>
            <m:t>0</m:t>
          </m:r>
          <m:r>
            <m:rPr>
              <m:sty m:val="p"/>
            </m:rPr>
            <m:t>,</m:t>
          </m:r>
          <m:r>
            <m:t>1</m:t>
          </m:r>
          <m:r>
            <m:rPr>
              <m:sty m:val="p"/>
            </m:rPr>
            <m:t>}</m:t>
          </m:r>
        </m:oMath>
      </m:oMathPara>
    </w:p>
    <w:p>
      <w:pPr>
        <w:pStyle w:val="FirstParagraph"/>
      </w:pPr>
      <w:r>
        <w:rPr>
          <w:bCs/>
          <w:b/>
        </w:rPr>
        <w:t xml:space="preserve">Use Case:</w:t>
      </w:r>
      <w:r>
        <w:t xml:space="preserve"> </w:t>
      </w:r>
      <w:r>
        <w:t xml:space="preserve">The firm has a predefined budget for P hubs and wishes to find the optimal locations. For example:</w:t>
      </w:r>
      <w:r>
        <w:t xml:space="preserve"> </w:t>
      </w:r>
      <w:r>
        <w:t xml:space="preserve">“</w:t>
      </w:r>
      <w:r>
        <w:t xml:space="preserve">We have a budget for 5 warehouses—where is the best location?</w:t>
      </w:r>
      <w:r>
        <w:t xml:space="preserve">”</w:t>
      </w:r>
      <w:r>
        <w:t xml:space="preserve">.</w:t>
      </w:r>
    </w:p>
    <w:p>
      <w:pPr>
        <w:pStyle w:val="BodyText"/>
      </w:pPr>
      <w:r>
        <w:rPr>
          <w:bCs/>
          <w:b/>
        </w:rPr>
        <w:t xml:space="preserve">Implementation:</w:t>
      </w:r>
      <w:r>
        <w:t xml:space="preserve"> </w:t>
      </w:r>
      <w:r>
        <w:t xml:space="preserve">Solved using CBC solver via PuLP in Python:</w:t>
      </w:r>
    </w:p>
    <w:p>
      <w:pPr>
        <w:pStyle w:val="SourceCode"/>
      </w:pPr>
      <w:r>
        <w:rPr>
          <w:rStyle w:val="NormalTok"/>
        </w:rPr>
        <w:t xml:space="preserve">model </w:t>
      </w:r>
      <w:r>
        <w:rPr>
          <w:rStyle w:val="OperatorTok"/>
        </w:rPr>
        <w:t xml:space="preserve">=</w:t>
      </w:r>
      <w:r>
        <w:rPr>
          <w:rStyle w:val="NormalTok"/>
        </w:rPr>
        <w:t xml:space="preserve"> pl.LpProblem(</w:t>
      </w:r>
      <w:r>
        <w:rPr>
          <w:rStyle w:val="StringTok"/>
        </w:rPr>
        <w:t xml:space="preserve">"P-Median"</w:t>
      </w:r>
      <w:r>
        <w:rPr>
          <w:rStyle w:val="NormalTok"/>
        </w:rPr>
        <w:t xml:space="preserve">, pl.LpMinimize)</w:t>
      </w:r>
      <w:r>
        <w:br/>
      </w:r>
      <w:r>
        <w:rPr>
          <w:rStyle w:val="NormalTok"/>
        </w:rPr>
        <w:t xml:space="preserve">x </w:t>
      </w:r>
      <w:r>
        <w:rPr>
          <w:rStyle w:val="OperatorTok"/>
        </w:rPr>
        <w:t xml:space="preserve">=</w:t>
      </w:r>
      <w:r>
        <w:rPr>
          <w:rStyle w:val="NormalTok"/>
        </w:rPr>
        <w:t xml:space="preserve"> pl.LpVariable.dicts(</w:t>
      </w:r>
      <w:r>
        <w:rPr>
          <w:rStyle w:val="StringTok"/>
        </w:rPr>
        <w:t xml:space="preserve">"Open"</w:t>
      </w:r>
      <w:r>
        <w:rPr>
          <w:rStyle w:val="NormalTok"/>
        </w:rPr>
        <w:t xml:space="preserve">, J, cat</w:t>
      </w:r>
      <w:r>
        <w:rPr>
          <w:rStyle w:val="OperatorTok"/>
        </w:rPr>
        <w:t xml:space="preserve">=</w:t>
      </w:r>
      <w:r>
        <w:rPr>
          <w:rStyle w:val="StringTok"/>
        </w:rPr>
        <w:t xml:space="preserve">'Binary'</w:t>
      </w:r>
      <w:r>
        <w:rPr>
          <w:rStyle w:val="NormalTok"/>
        </w:rPr>
        <w:t xml:space="preserve">)</w:t>
      </w:r>
      <w:r>
        <w:br/>
      </w:r>
      <w:r>
        <w:rPr>
          <w:rStyle w:val="NormalTok"/>
        </w:rPr>
        <w:t xml:space="preserve">y </w:t>
      </w:r>
      <w:r>
        <w:rPr>
          <w:rStyle w:val="OperatorTok"/>
        </w:rPr>
        <w:t xml:space="preserve">=</w:t>
      </w:r>
      <w:r>
        <w:rPr>
          <w:rStyle w:val="NormalTok"/>
        </w:rPr>
        <w:t xml:space="preserve"> pl.LpVariable.dicts(</w:t>
      </w:r>
      <w:r>
        <w:rPr>
          <w:rStyle w:val="StringTok"/>
        </w:rPr>
        <w:t xml:space="preserve">"Assign"</w:t>
      </w:r>
      <w:r>
        <w:rPr>
          <w:rStyle w:val="NormalTok"/>
        </w:rPr>
        <w:t xml:space="preserve">, [(i,j) </w:t>
      </w:r>
      <w:r>
        <w:rPr>
          <w:rStyle w:val="ControlFlowTok"/>
        </w:rPr>
        <w:t xml:space="preserve">for</w:t>
      </w:r>
      <w:r>
        <w:rPr>
          <w:rStyle w:val="NormalTok"/>
        </w:rPr>
        <w:t xml:space="preserve"> i </w:t>
      </w:r>
      <w:r>
        <w:rPr>
          <w:rStyle w:val="KeywordTok"/>
        </w:rPr>
        <w:t xml:space="preserve">in</w:t>
      </w:r>
      <w:r>
        <w:rPr>
          <w:rStyle w:val="NormalTok"/>
        </w:rPr>
        <w:t xml:space="preserve"> I </w:t>
      </w:r>
      <w:r>
        <w:rPr>
          <w:rStyle w:val="ControlFlowTok"/>
        </w:rPr>
        <w:t xml:space="preserve">for</w:t>
      </w:r>
      <w:r>
        <w:rPr>
          <w:rStyle w:val="NormalTok"/>
        </w:rPr>
        <w:t xml:space="preserve"> j </w:t>
      </w:r>
      <w:r>
        <w:rPr>
          <w:rStyle w:val="KeywordTok"/>
        </w:rPr>
        <w:t xml:space="preserve">in</w:t>
      </w:r>
      <w:r>
        <w:rPr>
          <w:rStyle w:val="NormalTok"/>
        </w:rPr>
        <w:t xml:space="preserve"> J], cat</w:t>
      </w:r>
      <w:r>
        <w:rPr>
          <w:rStyle w:val="OperatorTok"/>
        </w:rPr>
        <w:t xml:space="preserve">=</w:t>
      </w:r>
      <w:r>
        <w:rPr>
          <w:rStyle w:val="StringTok"/>
        </w:rPr>
        <w:t xml:space="preserve">'Binary'</w:t>
      </w:r>
      <w:r>
        <w:rPr>
          <w:rStyle w:val="NormalTok"/>
        </w:rPr>
        <w:t xml:space="preserve">)</w:t>
      </w:r>
      <w:r>
        <w:br/>
      </w:r>
      <w:r>
        <w:rPr>
          <w:rStyle w:val="NormalTok"/>
        </w:rPr>
        <w:t xml:space="preserve">model </w:t>
      </w:r>
      <w:r>
        <w:rPr>
          <w:rStyle w:val="OperatorTok"/>
        </w:rPr>
        <w:t xml:space="preserve">+=</w:t>
      </w:r>
      <w:r>
        <w:rPr>
          <w:rStyle w:val="NormalTok"/>
        </w:rPr>
        <w:t xml:space="preserve"> pl.lpSum(h[i] </w:t>
      </w:r>
      <w:r>
        <w:rPr>
          <w:rStyle w:val="OperatorTok"/>
        </w:rPr>
        <w:t xml:space="preserve">*</w:t>
      </w:r>
      <w:r>
        <w:rPr>
          <w:rStyle w:val="NormalTok"/>
        </w:rPr>
        <w:t xml:space="preserve"> c[(i,j)] </w:t>
      </w:r>
      <w:r>
        <w:rPr>
          <w:rStyle w:val="OperatorTok"/>
        </w:rPr>
        <w:t xml:space="preserve">*</w:t>
      </w:r>
      <w:r>
        <w:rPr>
          <w:rStyle w:val="NormalTok"/>
        </w:rPr>
        <w:t xml:space="preserve"> y[(i,j)] </w:t>
      </w:r>
      <w:r>
        <w:rPr>
          <w:rStyle w:val="ControlFlowTok"/>
        </w:rPr>
        <w:t xml:space="preserve">for</w:t>
      </w:r>
      <w:r>
        <w:rPr>
          <w:rStyle w:val="NormalTok"/>
        </w:rPr>
        <w:t xml:space="preserve"> i </w:t>
      </w:r>
      <w:r>
        <w:rPr>
          <w:rStyle w:val="KeywordTok"/>
        </w:rPr>
        <w:t xml:space="preserve">in</w:t>
      </w:r>
      <w:r>
        <w:rPr>
          <w:rStyle w:val="NormalTok"/>
        </w:rPr>
        <w:t xml:space="preserve"> I </w:t>
      </w:r>
      <w:r>
        <w:rPr>
          <w:rStyle w:val="ControlFlowTok"/>
        </w:rPr>
        <w:t xml:space="preserve">for</w:t>
      </w:r>
      <w:r>
        <w:rPr>
          <w:rStyle w:val="NormalTok"/>
        </w:rPr>
        <w:t xml:space="preserve"> j </w:t>
      </w:r>
      <w:r>
        <w:rPr>
          <w:rStyle w:val="KeywordTok"/>
        </w:rPr>
        <w:t xml:space="preserve">in</w:t>
      </w:r>
      <w:r>
        <w:rPr>
          <w:rStyle w:val="NormalTok"/>
        </w:rPr>
        <w:t xml:space="preserve"> J)</w:t>
      </w:r>
      <w:r>
        <w:br/>
      </w:r>
      <w:r>
        <w:rPr>
          <w:rStyle w:val="NormalTok"/>
        </w:rPr>
        <w:t xml:space="preserve">model </w:t>
      </w:r>
      <w:r>
        <w:rPr>
          <w:rStyle w:val="OperatorTok"/>
        </w:rPr>
        <w:t xml:space="preserve">+=</w:t>
      </w:r>
      <w:r>
        <w:rPr>
          <w:rStyle w:val="NormalTok"/>
        </w:rPr>
        <w:t xml:space="preserve"> pl.lpSum(x[j] </w:t>
      </w:r>
      <w:r>
        <w:rPr>
          <w:rStyle w:val="ControlFlowTok"/>
        </w:rPr>
        <w:t xml:space="preserve">for</w:t>
      </w:r>
      <w:r>
        <w:rPr>
          <w:rStyle w:val="NormalTok"/>
        </w:rPr>
        <w:t xml:space="preserve"> j </w:t>
      </w:r>
      <w:r>
        <w:rPr>
          <w:rStyle w:val="KeywordTok"/>
        </w:rPr>
        <w:t xml:space="preserve">in</w:t>
      </w:r>
      <w:r>
        <w:rPr>
          <w:rStyle w:val="NormalTok"/>
        </w:rPr>
        <w:t xml:space="preserve"> J) </w:t>
      </w:r>
      <w:r>
        <w:rPr>
          <w:rStyle w:val="OperatorTok"/>
        </w:rPr>
        <w:t xml:space="preserve">==</w:t>
      </w:r>
      <w:r>
        <w:rPr>
          <w:rStyle w:val="NormalTok"/>
        </w:rPr>
        <w:t xml:space="preserve"> P</w:t>
      </w:r>
      <w:r>
        <w:br/>
      </w:r>
      <w:r>
        <w:rPr>
          <w:rStyle w:val="ControlFlowTok"/>
        </w:rPr>
        <w:t xml:space="preserve">for</w:t>
      </w:r>
      <w:r>
        <w:rPr>
          <w:rStyle w:val="NormalTok"/>
        </w:rPr>
        <w:t xml:space="preserve"> i </w:t>
      </w:r>
      <w:r>
        <w:rPr>
          <w:rStyle w:val="KeywordTok"/>
        </w:rPr>
        <w:t xml:space="preserve">in</w:t>
      </w:r>
      <w:r>
        <w:rPr>
          <w:rStyle w:val="NormalTok"/>
        </w:rPr>
        <w:t xml:space="preserve"> I:</w:t>
      </w:r>
      <w:r>
        <w:br/>
      </w:r>
      <w:r>
        <w:rPr>
          <w:rStyle w:val="NormalTok"/>
        </w:rPr>
        <w:t xml:space="preserve">    model </w:t>
      </w:r>
      <w:r>
        <w:rPr>
          <w:rStyle w:val="OperatorTok"/>
        </w:rPr>
        <w:t xml:space="preserve">+=</w:t>
      </w:r>
      <w:r>
        <w:rPr>
          <w:rStyle w:val="NormalTok"/>
        </w:rPr>
        <w:t xml:space="preserve"> pl.lpSum(y[(i,j)] </w:t>
      </w:r>
      <w:r>
        <w:rPr>
          <w:rStyle w:val="ControlFlowTok"/>
        </w:rPr>
        <w:t xml:space="preserve">for</w:t>
      </w:r>
      <w:r>
        <w:rPr>
          <w:rStyle w:val="NormalTok"/>
        </w:rPr>
        <w:t xml:space="preserve"> j </w:t>
      </w:r>
      <w:r>
        <w:rPr>
          <w:rStyle w:val="KeywordTok"/>
        </w:rPr>
        <w:t xml:space="preserve">in</w:t>
      </w:r>
      <w:r>
        <w:rPr>
          <w:rStyle w:val="NormalTok"/>
        </w:rPr>
        <w:t xml:space="preserve"> J) </w:t>
      </w:r>
      <w:r>
        <w:rPr>
          <w:rStyle w:val="OperatorTok"/>
        </w:rPr>
        <w:t xml:space="preserve">==</w:t>
      </w:r>
      <w:r>
        <w:rPr>
          <w:rStyle w:val="NormalTok"/>
        </w:rPr>
        <w:t xml:space="preserve"> </w:t>
      </w:r>
      <w:r>
        <w:rPr>
          <w:rStyle w:val="DecValTok"/>
        </w:rPr>
        <w:t xml:space="preserve">1</w:t>
      </w:r>
      <w:r>
        <w:br/>
      </w:r>
      <w:r>
        <w:rPr>
          <w:rStyle w:val="ControlFlowTok"/>
        </w:rPr>
        <w:t xml:space="preserve">for</w:t>
      </w:r>
      <w:r>
        <w:rPr>
          <w:rStyle w:val="NormalTok"/>
        </w:rPr>
        <w:t xml:space="preserve"> i </w:t>
      </w:r>
      <w:r>
        <w:rPr>
          <w:rStyle w:val="KeywordTok"/>
        </w:rPr>
        <w:t xml:space="preserve">in</w:t>
      </w:r>
      <w:r>
        <w:rPr>
          <w:rStyle w:val="NormalTok"/>
        </w:rPr>
        <w:t xml:space="preserve"> 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J:</w:t>
      </w:r>
      <w:r>
        <w:br/>
      </w:r>
      <w:r>
        <w:rPr>
          <w:rStyle w:val="NormalTok"/>
        </w:rPr>
        <w:t xml:space="preserve">        model </w:t>
      </w:r>
      <w:r>
        <w:rPr>
          <w:rStyle w:val="OperatorTok"/>
        </w:rPr>
        <w:t xml:space="preserve">+=</w:t>
      </w:r>
      <w:r>
        <w:rPr>
          <w:rStyle w:val="NormalTok"/>
        </w:rPr>
        <w:t xml:space="preserve"> y[(i,j)] </w:t>
      </w:r>
      <w:r>
        <w:rPr>
          <w:rStyle w:val="OperatorTok"/>
        </w:rPr>
        <w:t xml:space="preserve">&lt;=</w:t>
      </w:r>
      <w:r>
        <w:rPr>
          <w:rStyle w:val="NormalTok"/>
        </w:rPr>
        <w:t xml:space="preserve"> x[j]</w:t>
      </w:r>
      <w:r>
        <w:br/>
      </w:r>
      <w:r>
        <w:rPr>
          <w:rStyle w:val="NormalTok"/>
        </w:rPr>
        <w:t xml:space="preserve">model.solve(pl.PULP_CBC_CMD(timeLimit</w:t>
      </w:r>
      <w:r>
        <w:rPr>
          <w:rStyle w:val="OperatorTok"/>
        </w:rPr>
        <w:t xml:space="preserve">=</w:t>
      </w:r>
      <w:r>
        <w:rPr>
          <w:rStyle w:val="DecValTok"/>
        </w:rPr>
        <w:t xml:space="preserve">15</w:t>
      </w:r>
      <w:r>
        <w:rPr>
          <w:rStyle w:val="NormalTok"/>
        </w:rPr>
        <w:t xml:space="preserve">, gapRel</w:t>
      </w:r>
      <w:r>
        <w:rPr>
          <w:rStyle w:val="OperatorTok"/>
        </w:rPr>
        <w:t xml:space="preserve">=</w:t>
      </w:r>
      <w:r>
        <w:rPr>
          <w:rStyle w:val="FloatTok"/>
        </w:rPr>
        <w:t xml:space="preserve">0.05</w:t>
      </w:r>
      <w:r>
        <w:rPr>
          <w:rStyle w:val="NormalTok"/>
        </w:rPr>
        <w:t xml:space="preserve">))</w:t>
      </w:r>
    </w:p>
    <w:bookmarkEnd w:id="55"/>
    <w:bookmarkStart w:id="56" w:name="uflp-model-uflp-모델"/>
    <w:p>
      <w:pPr>
        <w:pStyle w:val="Heading3"/>
      </w:pPr>
      <w:r>
        <w:t xml:space="preserve">7.2 UFLP Model / UFLP 모델</w:t>
      </w:r>
    </w:p>
    <w:p>
      <w:pPr>
        <w:pStyle w:val="FirstParagraph"/>
      </w:pPr>
      <w:r>
        <w:rPr>
          <w:bCs/>
          <w:b/>
        </w:rPr>
        <w:t xml:space="preserve">Mathematical Formulation:</w:t>
      </w:r>
    </w:p>
    <w:p>
      <w:pPr>
        <w:pStyle w:val="BodyText"/>
      </w:pPr>
      <m:oMathPara>
        <m:oMathParaPr>
          <m:jc m:val="center"/>
        </m:oMathParaPr>
        <m:oMath>
          <m:r>
            <m:rPr>
              <m:nor/>
              <m:sty m:val="p"/>
            </m:rPr>
            <m:t>min</m:t>
          </m:r>
          <m:nary>
            <m:naryPr>
              <m:chr m:val="∑"/>
              <m:limLoc m:val="undOvr"/>
              <m:subHide m:val="0"/>
              <m:supHide m:val="1"/>
            </m:naryPr>
            <m:sub>
              <m:r>
                <m:t>j</m:t>
              </m:r>
              <m:r>
                <m:rPr>
                  <m:sty m:val="p"/>
                </m:rPr>
                <m:t>∈</m:t>
              </m:r>
              <m:r>
                <m:t>J</m:t>
              </m:r>
            </m:sub>
            <m:sup>
              <m:r>
                <m:t>​</m:t>
              </m:r>
            </m:sup>
            <m:e>
              <m:sSub>
                <m:e>
                  <m:r>
                    <m:t>f</m:t>
                  </m:r>
                </m:e>
                <m:sub>
                  <m:r>
                    <m:t>j</m:t>
                  </m:r>
                </m:sub>
              </m:sSub>
            </m:e>
          </m:nary>
          <m:r>
            <m:rPr>
              <m:sty m:val="p"/>
            </m:rPr>
            <m:t>⋅</m:t>
          </m:r>
          <m:sSub>
            <m:e>
              <m:r>
                <m:t>x</m:t>
              </m:r>
            </m:e>
            <m:sub>
              <m:r>
                <m:t>j</m:t>
              </m:r>
            </m:sub>
          </m:sSub>
          <m:r>
            <m:rPr>
              <m:sty m:val="p"/>
            </m:rPr>
            <m:t>+</m:t>
          </m:r>
          <m:nary>
            <m:naryPr>
              <m:chr m:val="∑"/>
              <m:limLoc m:val="undOvr"/>
              <m:subHide m:val="0"/>
              <m:supHide m:val="1"/>
            </m:naryPr>
            <m:sub>
              <m:r>
                <m:t>i</m:t>
              </m:r>
              <m:r>
                <m:rPr>
                  <m:sty m:val="p"/>
                </m:rPr>
                <m:t>∈</m:t>
              </m:r>
              <m:r>
                <m:t>I</m:t>
              </m:r>
            </m:sub>
            <m:sup>
              <m:r>
                <m:t>​</m:t>
              </m:r>
            </m:sup>
            <m:e>
              <m:nary>
                <m:naryPr>
                  <m:chr m:val="∑"/>
                  <m:limLoc m:val="undOvr"/>
                  <m:subHide m:val="0"/>
                  <m:supHide m:val="1"/>
                </m:naryPr>
                <m:sub>
                  <m:r>
                    <m:t>j</m:t>
                  </m:r>
                  <m:r>
                    <m:rPr>
                      <m:sty m:val="p"/>
                    </m:rPr>
                    <m:t>∈</m:t>
                  </m:r>
                  <m:r>
                    <m:t>J</m:t>
                  </m:r>
                </m:sub>
                <m:sup>
                  <m:r>
                    <m:t>​</m:t>
                  </m:r>
                </m:sup>
                <m:e>
                  <m:sSub>
                    <m:e>
                      <m:r>
                        <m:t>h</m:t>
                      </m:r>
                    </m:e>
                    <m:sub>
                      <m:r>
                        <m:t>i</m:t>
                      </m:r>
                    </m:sub>
                  </m:sSub>
                </m:e>
              </m:nary>
            </m:e>
          </m:nary>
          <m:r>
            <m:rPr>
              <m:sty m:val="p"/>
            </m:rPr>
            <m:t>⋅</m:t>
          </m:r>
          <m:sSub>
            <m:e>
              <m:r>
                <m:t>c</m:t>
              </m:r>
            </m:e>
            <m:sub>
              <m:r>
                <m:t>i</m:t>
              </m:r>
              <m:r>
                <m:t>j</m:t>
              </m:r>
            </m:sub>
          </m:sSub>
          <m:r>
            <m:rPr>
              <m:sty m:val="p"/>
            </m:rPr>
            <m:t>⋅</m:t>
          </m:r>
          <m:sSub>
            <m:e>
              <m:r>
                <m:t>y</m:t>
              </m:r>
            </m:e>
            <m:sub>
              <m:r>
                <m:t>i</m:t>
              </m:r>
              <m:r>
                <m:t>j</m:t>
              </m:r>
            </m:sub>
          </m:sSub>
        </m:oMath>
      </m:oMathPara>
    </w:p>
    <w:p>
      <w:pPr>
        <w:pStyle w:val="FirstParagraph"/>
      </w:pPr>
      <w:r>
        <w:t xml:space="preserve">Subject to the same assignment constraints as P-median but without the fixed-P constraint.</w:t>
      </w:r>
    </w:p>
    <w:p>
      <w:pPr>
        <w:pStyle w:val="BodyText"/>
      </w:pPr>
      <w:r>
        <w:rPr>
          <w:bCs/>
          <w:b/>
        </w:rPr>
        <w:t xml:space="preserve">Use Case:</w:t>
      </w:r>
      <w:r>
        <w:t xml:space="preserve"> </w:t>
      </w:r>
      <w:r>
        <w:t xml:space="preserve">The firm wants the model to automatically determine the number of hubs by balancing fixed costs and transport savings. For example,</w:t>
      </w:r>
      <w:r>
        <w:t xml:space="preserve"> </w:t>
      </w:r>
      <w:r>
        <w:t xml:space="preserve">“</w:t>
      </w:r>
      <w:r>
        <w:t xml:space="preserve">Each open hub costs 5M USD/year—should we open a 6th hub?</w:t>
      </w:r>
      <w:r>
        <w:t xml:space="preserve">”</w:t>
      </w:r>
      <w:r>
        <w:t xml:space="preserve">.</w:t>
      </w:r>
    </w:p>
    <w:p>
      <w:pPr>
        <w:pStyle w:val="BodyText"/>
      </w:pPr>
      <w:r>
        <w:t xml:space="preserve">UFLP tends to open fewer hubs if fixed costs are high relative to transport savings. Sensitivity analysis on</w:t>
      </w:r>
      <w:r>
        <w:t xml:space="preserve"> </w:t>
      </w:r>
      <m:oMath>
        <m:sSub>
          <m:e>
            <m:r>
              <m:t>f</m:t>
            </m:r>
          </m:e>
          <m:sub>
            <m:r>
              <m:t>j</m:t>
            </m:r>
          </m:sub>
        </m:sSub>
      </m:oMath>
      <w:r>
        <w:t xml:space="preserve"> </w:t>
      </w:r>
      <w:r>
        <w:t xml:space="preserve">helps understand this trade-off.</w:t>
      </w:r>
    </w:p>
    <w:bookmarkEnd w:id="56"/>
    <w:bookmarkStart w:id="57" w:name="cflp-model-cflp-모델"/>
    <w:p>
      <w:pPr>
        <w:pStyle w:val="Heading3"/>
      </w:pPr>
      <w:r>
        <w:t xml:space="preserve">7.3 CFLP Model / CFLP 모델</w:t>
      </w:r>
    </w:p>
    <w:p>
      <w:pPr>
        <w:pStyle w:val="FirstParagraph"/>
      </w:pPr>
      <w:r>
        <w:rPr>
          <w:bCs/>
          <w:b/>
        </w:rPr>
        <w:t xml:space="preserve">Mathematical Formulation:</w:t>
      </w:r>
      <w:r>
        <w:t xml:space="preserve"> </w:t>
      </w:r>
      <w:r>
        <w:t xml:space="preserve">CFLP adds capacity constraints to UFLP:</w:t>
      </w:r>
    </w:p>
    <w:p>
      <w:pPr>
        <w:pStyle w:val="BodyText"/>
      </w:pPr>
      <m:oMathPara>
        <m:oMathParaPr>
          <m:jc m:val="center"/>
        </m:oMathParaPr>
        <m:oMath>
          <m:nary>
            <m:naryPr>
              <m:chr m:val="∑"/>
              <m:limLoc m:val="undOvr"/>
              <m:subHide m:val="0"/>
              <m:supHide m:val="1"/>
            </m:naryPr>
            <m:sub>
              <m:r>
                <m:t>i</m:t>
              </m:r>
              <m:r>
                <m:rPr>
                  <m:sty m:val="p"/>
                </m:rPr>
                <m:t>∈</m:t>
              </m:r>
              <m:r>
                <m:t>I</m:t>
              </m:r>
            </m:sub>
            <m:sup>
              <m:r>
                <m:t>​</m:t>
              </m:r>
            </m:sup>
            <m:e>
              <m:sSub>
                <m:e>
                  <m:r>
                    <m:t>h</m:t>
                  </m:r>
                </m:e>
                <m:sub>
                  <m:r>
                    <m:t>i</m:t>
                  </m:r>
                </m:sub>
              </m:sSub>
            </m:e>
          </m:nary>
          <m:r>
            <m:rPr>
              <m:sty m:val="p"/>
            </m:rPr>
            <m:t>⋅</m:t>
          </m:r>
          <m:sSub>
            <m:e>
              <m:r>
                <m:t>z</m:t>
              </m:r>
            </m:e>
            <m:sub>
              <m:r>
                <m:t>i</m:t>
              </m:r>
              <m:r>
                <m:t>j</m:t>
              </m:r>
            </m:sub>
          </m:sSub>
          <m:r>
            <m:rPr>
              <m:sty m:val="p"/>
            </m:rPr>
            <m:t>≤</m:t>
          </m:r>
          <m:sSub>
            <m:e>
              <m:r>
                <m:rPr>
                  <m:nor/>
                  <m:sty m:val="p"/>
                </m:rPr>
                <m:t>Cap</m:t>
              </m:r>
            </m:e>
            <m:sub>
              <m:r>
                <m:t>j</m:t>
              </m:r>
            </m:sub>
          </m:sSub>
          <m:r>
            <m:rPr>
              <m:sty m:val="p"/>
            </m:rPr>
            <m:t>⋅</m:t>
          </m:r>
          <m:sSub>
            <m:e>
              <m:r>
                <m:t>x</m:t>
              </m:r>
            </m:e>
            <m:sub>
              <m:r>
                <m:t>j</m:t>
              </m:r>
            </m:sub>
          </m:sSub>
          <m:r>
            <m:rPr>
              <m:sty m:val="p"/>
            </m:rPr>
            <m:t>,</m:t>
          </m:r>
          <m:r>
            <m:t> </m:t>
          </m:r>
          <m:r>
            <m:rPr>
              <m:sty m:val="p"/>
            </m:rPr>
            <m:t>∀</m:t>
          </m:r>
          <m:r>
            <m:t>j</m:t>
          </m:r>
        </m:oMath>
      </m:oMathPara>
    </w:p>
    <w:p>
      <w:pPr>
        <w:pStyle w:val="FirstParagraph"/>
      </w:pPr>
      <w:r>
        <w:t xml:space="preserve">where</w:t>
      </w:r>
      <w:r>
        <w:t xml:space="preserve"> </w:t>
      </w:r>
      <m:oMath>
        <m:sSub>
          <m:e>
            <m:r>
              <m:t>z</m:t>
            </m:r>
          </m:e>
          <m:sub>
            <m:r>
              <m:t>i</m:t>
            </m:r>
            <m:r>
              <m:t>j</m:t>
            </m:r>
          </m:sub>
        </m:sSub>
      </m:oMath>
      <w:r>
        <w:t xml:space="preserve"> </w:t>
      </w:r>
      <w:r>
        <w:t xml:space="preserve">is a continuous flow variable representing the fraction of demand from region</w:t>
      </w:r>
      <w:r>
        <w:t xml:space="preserve"> </w:t>
      </w:r>
      <m:oMath>
        <m:r>
          <m:t>i</m:t>
        </m:r>
      </m:oMath>
      <w:r>
        <w:t xml:space="preserve"> </w:t>
      </w:r>
      <w:r>
        <w:t xml:space="preserve">served by hub</w:t>
      </w:r>
      <w:r>
        <w:t xml:space="preserve"> </w:t>
      </w:r>
      <m:oMath>
        <m:r>
          <m:t>j</m:t>
        </m:r>
      </m:oMath>
      <w:r>
        <w:t xml:space="preserve"> </w:t>
      </w:r>
      <w:r>
        <w:t xml:space="preserve">instead of binary</w:t>
      </w:r>
      <w:r>
        <w:t xml:space="preserve"> </w:t>
      </w:r>
      <m:oMath>
        <m:sSub>
          <m:e>
            <m:r>
              <m:t>y</m:t>
            </m:r>
          </m:e>
          <m:sub>
            <m:r>
              <m:t>i</m:t>
            </m:r>
            <m:r>
              <m:t>j</m:t>
            </m:r>
          </m:sub>
        </m:sSub>
      </m:oMath>
      <w:r>
        <w:t xml:space="preserve"> </w:t>
      </w:r>
      <w:r>
        <w:t xml:space="preserve">— since with capacity constraints, a region can be served by multiple hubs:</w:t>
      </w:r>
    </w:p>
    <w:p>
      <w:pPr>
        <w:pStyle w:val="BodyText"/>
      </w:pPr>
      <m:oMathPara>
        <m:oMathParaPr>
          <m:jc m:val="center"/>
        </m:oMathParaPr>
        <m:oMath>
          <m:nary>
            <m:naryPr>
              <m:chr m:val="∑"/>
              <m:limLoc m:val="undOvr"/>
              <m:subHide m:val="0"/>
              <m:supHide m:val="1"/>
            </m:naryPr>
            <m:sub>
              <m:r>
                <m:t>j</m:t>
              </m:r>
              <m:r>
                <m:rPr>
                  <m:sty m:val="p"/>
                </m:rPr>
                <m:t>∈</m:t>
              </m:r>
              <m:r>
                <m:t>J</m:t>
              </m:r>
            </m:sub>
            <m:sup>
              <m:r>
                <m:t>​</m:t>
              </m:r>
            </m:sup>
            <m:e>
              <m:sSub>
                <m:e>
                  <m:r>
                    <m:t>z</m:t>
                  </m:r>
                </m:e>
                <m:sub>
                  <m:r>
                    <m:t>i</m:t>
                  </m:r>
                  <m:r>
                    <m:t>j</m:t>
                  </m:r>
                </m:sub>
              </m:sSub>
            </m:e>
          </m:nary>
          <m:r>
            <m:rPr>
              <m:sty m:val="p"/>
            </m:rPr>
            <m:t>=</m:t>
          </m:r>
          <m:sSub>
            <m:e>
              <m:r>
                <m:t>h</m:t>
              </m:r>
            </m:e>
            <m:sub>
              <m:r>
                <m:t>i</m:t>
              </m:r>
            </m:sub>
          </m:sSub>
          <m:r>
            <m:rPr>
              <m:sty m:val="p"/>
            </m:rPr>
            <m:t>,</m:t>
          </m:r>
          <m:r>
            <m:t> </m:t>
          </m:r>
          <m:r>
            <m:rPr>
              <m:sty m:val="p"/>
            </m:rPr>
            <m:t>∀</m:t>
          </m:r>
          <m:r>
            <m:t>i</m:t>
          </m:r>
        </m:oMath>
      </m:oMathPara>
    </w:p>
    <w:p>
      <w:pPr>
        <w:pStyle w:val="FirstParagraph"/>
      </w:pPr>
      <w:r>
        <w:rPr>
          <w:bCs/>
          <w:b/>
        </w:rPr>
        <w:t xml:space="preserve">Use Case:</w:t>
      </w:r>
      <w:r>
        <w:t xml:space="preserve"> </w:t>
      </w:r>
      <w:r>
        <w:t xml:space="preserve">When hub capacities are hard physical constraints.</w:t>
      </w:r>
    </w:p>
    <w:p>
      <w:pPr>
        <w:pStyle w:val="BodyText"/>
      </w:pPr>
      <w:r>
        <w:t xml:space="preserve">CFLP typically opens more hubs than UFLP to avoid overloading individual facilities, reflecting real-world operations.</w:t>
      </w:r>
    </w:p>
    <w:p>
      <w:r>
        <w:pict>
          <v:rect style="width:0;height:1.5pt" o:hralign="center" o:hrstd="t" o:hr="t"/>
        </w:pict>
      </w:r>
    </w:p>
    <w:bookmarkEnd w:id="57"/>
    <w:bookmarkEnd w:id="58"/>
    <w:bookmarkStart w:id="64" w:name="scenario-design-시나리오-설계"/>
    <w:p>
      <w:pPr>
        <w:pStyle w:val="Heading2"/>
      </w:pPr>
      <w:r>
        <w:t xml:space="preserve">8. SCENARIO DESIGN / 시나리오 설계</w:t>
      </w:r>
    </w:p>
    <w:p>
      <w:pPr>
        <w:pStyle w:val="FirstParagraph"/>
      </w:pPr>
      <w:r>
        <w:t xml:space="preserve">To answer SQ4 (optimal hub count), the study designs 5 scenarios + 1 sensitivity analysis:</w:t>
      </w:r>
    </w:p>
    <w:bookmarkStart w:id="59" w:name="Xc74c2a554fa33cbce4fde9446fd173f08756640"/>
    <w:p>
      <w:pPr>
        <w:pStyle w:val="Heading3"/>
      </w:pPr>
      <w:r>
        <w:t xml:space="preserve">8.1 Scenario P = 3, 5, 7 Hubs (P-Median) / P-중앙값 시나리오</w:t>
      </w:r>
    </w:p>
    <w:p>
      <w:pPr>
        <w:pStyle w:val="FirstParagraph"/>
      </w:pPr>
      <w:r>
        <w:t xml:space="preserve">Runs P-median model across three configurations of P to study total transportation cost savings vs. facility opening count.</w:t>
      </w:r>
    </w:p>
    <w:bookmarkEnd w:id="59"/>
    <w:bookmarkStart w:id="60" w:name="Xc6611b9cf2bef8cf84162e875b094cf578a3fb8"/>
    <w:p>
      <w:pPr>
        <w:pStyle w:val="Heading3"/>
      </w:pPr>
      <w:r>
        <w:t xml:space="preserve">8.2 Current Network vs. Optimized / 현행 대비 최적 네트워크</w:t>
      </w:r>
    </w:p>
    <w:p>
      <w:pPr>
        <w:pStyle w:val="FirstParagraph"/>
      </w:pPr>
      <w:r>
        <w:t xml:space="preserve">Compares current baseline network (top 3 hubs: Gyeonggi, Gyeongbuk, Busan) against mathematically optimized configurations.</w:t>
      </w:r>
    </w:p>
    <w:bookmarkEnd w:id="60"/>
    <w:bookmarkStart w:id="61" w:name="X0427f7587a068e1a82f977b14410826a7cd24e4"/>
    <w:p>
      <w:pPr>
        <w:pStyle w:val="Heading3"/>
      </w:pPr>
      <w:r>
        <w:t xml:space="preserve">8.3 Capacity-Constrained Scenario (CFLP) / 용량 제약 시나리오</w:t>
      </w:r>
    </w:p>
    <w:p>
      <w:pPr>
        <w:pStyle w:val="FirstParagraph"/>
      </w:pPr>
      <w:r>
        <w:t xml:space="preserve">Runs CFLP with physical capacity constraints to evaluate potential network overflows.</w:t>
      </w:r>
    </w:p>
    <w:bookmarkEnd w:id="61"/>
    <w:bookmarkStart w:id="62" w:name="existing-warehouses-only-기존-창고-전용-시나리오"/>
    <w:p>
      <w:pPr>
        <w:pStyle w:val="Heading3"/>
      </w:pPr>
      <w:r>
        <w:t xml:space="preserve">8.4 Existing Warehouses Only / 기존 창고 전용 시나리오</w:t>
      </w:r>
    </w:p>
    <w:p>
      <w:pPr>
        <w:pStyle w:val="FirstParagraph"/>
      </w:pPr>
      <w:r>
        <w:t xml:space="preserve">Restricts candidates to existing warehouses to evaluate brownfield reallocation.</w:t>
      </w:r>
    </w:p>
    <w:bookmarkEnd w:id="62"/>
    <w:bookmarkStart w:id="63" w:name="sensitivity-analysis-민감도-분석"/>
    <w:p>
      <w:pPr>
        <w:pStyle w:val="Heading3"/>
      </w:pPr>
      <w:r>
        <w:t xml:space="preserve">8.5 Sensitivity Analysis / 민감도 분석</w:t>
      </w:r>
    </w:p>
    <w:p>
      <w:pPr>
        <w:pStyle w:val="FirstParagraph"/>
      </w:pPr>
      <w:r>
        <w:t xml:space="preserve">Performs sensitivity tests by varying lease rates, fuel rates, demand growth, and capacity constraints by ±30%:</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Test Range</w:t>
            </w:r>
          </w:p>
        </w:tc>
        <w:tc>
          <w:p>
            <w:pPr>
              <w:pStyle w:val="Compact"/>
              <w:jc w:val="left"/>
            </w:pPr>
            <w:r>
              <w:t xml:space="preserve">Purpose / 목적</w:t>
            </w:r>
          </w:p>
        </w:tc>
      </w:tr>
      <w:tr>
        <w:tc>
          <w:p>
            <w:pPr>
              <w:pStyle w:val="Compact"/>
              <w:jc w:val="left"/>
            </w:pPr>
            <w:r>
              <w:t xml:space="preserve">Fixed cost</w:t>
            </w:r>
            <w:r>
              <w:t xml:space="preserve"> </w:t>
            </w:r>
            <m:oMath>
              <m:sSub>
                <m:e>
                  <m:r>
                    <m:t>f</m:t>
                  </m:r>
                </m:e>
                <m:sub>
                  <m:r>
                    <m:t>j</m:t>
                  </m:r>
                </m:sub>
              </m:sSub>
            </m:oMath>
          </w:p>
        </w:tc>
        <w:tc>
          <w:p>
            <w:pPr>
              <w:pStyle w:val="Compact"/>
              <w:jc w:val="left"/>
            </w:pPr>
            <w:r>
              <w:t xml:space="preserve">±30%</w:t>
            </w:r>
          </w:p>
        </w:tc>
        <w:tc>
          <w:p>
            <w:pPr>
              <w:pStyle w:val="Compact"/>
              <w:jc w:val="left"/>
            </w:pPr>
            <w:r>
              <w:t xml:space="preserve">Test sensitivity to facility rent</w:t>
            </w:r>
          </w:p>
        </w:tc>
      </w:tr>
      <w:tr>
        <w:tc>
          <w:p>
            <w:pPr>
              <w:pStyle w:val="Compact"/>
              <w:jc w:val="left"/>
            </w:pPr>
            <w:r>
              <w:t xml:space="preserve">Transport rate</w:t>
            </w:r>
          </w:p>
        </w:tc>
        <w:tc>
          <w:p>
            <w:pPr>
              <w:pStyle w:val="Compact"/>
              <w:jc w:val="left"/>
            </w:pPr>
            <w:r>
              <w:t xml:space="preserve">±15%</w:t>
            </w:r>
          </w:p>
        </w:tc>
        <w:tc>
          <w:p>
            <w:pPr>
              <w:pStyle w:val="Compact"/>
              <w:jc w:val="left"/>
            </w:pPr>
            <w:r>
              <w:t xml:space="preserve">Test sensitivity to fuel costs</w:t>
            </w:r>
          </w:p>
        </w:tc>
      </w:tr>
      <w:tr>
        <w:tc>
          <w:p>
            <w:pPr>
              <w:pStyle w:val="Compact"/>
              <w:jc w:val="left"/>
            </w:pPr>
            <w:r>
              <w:t xml:space="preserve">Demand</w:t>
            </w:r>
            <w:r>
              <w:t xml:space="preserve"> </w:t>
            </w:r>
            <m:oMath>
              <m:sSub>
                <m:e>
                  <m:r>
                    <m:t>h</m:t>
                  </m:r>
                </m:e>
                <m:sub>
                  <m:r>
                    <m:t>i</m:t>
                  </m:r>
                </m:sub>
              </m:sSub>
            </m:oMath>
          </w:p>
        </w:tc>
        <w:tc>
          <w:p>
            <w:pPr>
              <w:pStyle w:val="Compact"/>
              <w:jc w:val="left"/>
            </w:pPr>
            <w:r>
              <w:t xml:space="preserve">+20% (stress)</w:t>
            </w:r>
          </w:p>
        </w:tc>
        <w:tc>
          <w:p>
            <w:pPr>
              <w:pStyle w:val="Compact"/>
              <w:jc w:val="left"/>
            </w:pPr>
            <w:r>
              <w:t xml:space="preserve">Stress test with demand growth</w:t>
            </w:r>
          </w:p>
        </w:tc>
      </w:tr>
      <w:tr>
        <w:tc>
          <w:p>
            <w:pPr>
              <w:pStyle w:val="Compact"/>
              <w:jc w:val="left"/>
            </w:pPr>
            <w:r>
              <w:t xml:space="preserve">Capacity</w:t>
            </w:r>
            <w:r>
              <w:t xml:space="preserve"> </w:t>
            </w:r>
            <m:oMath>
              <m:sSub>
                <m:e>
                  <m:r>
                    <m:rPr>
                      <m:nor/>
                      <m:sty m:val="p"/>
                    </m:rPr>
                    <m:t>Cap</m:t>
                  </m:r>
                </m:e>
                <m:sub>
                  <m:r>
                    <m:t>j</m:t>
                  </m:r>
                </m:sub>
              </m:sSub>
            </m:oMath>
          </w:p>
        </w:tc>
        <w:tc>
          <w:p>
            <w:pPr>
              <w:pStyle w:val="Compact"/>
              <w:jc w:val="left"/>
            </w:pPr>
            <w:r>
              <w:t xml:space="preserve">-20% (stress)</w:t>
            </w:r>
          </w:p>
        </w:tc>
        <w:tc>
          <w:p>
            <w:pPr>
              <w:pStyle w:val="Compact"/>
              <w:jc w:val="left"/>
            </w:pPr>
            <w:r>
              <w:t xml:space="preserve">Stress test with capacity contraction</w:t>
            </w:r>
          </w:p>
        </w:tc>
      </w:tr>
    </w:tbl>
    <w:p>
      <w:r>
        <w:pict>
          <v:rect style="width:0;height:1.5pt" o:hralign="center" o:hrstd="t" o:hr="t"/>
        </w:pict>
      </w:r>
    </w:p>
    <w:bookmarkEnd w:id="63"/>
    <w:bookmarkEnd w:id="64"/>
    <w:bookmarkStart w:id="69" w:name="model-solving-results-모델-풀이-및-결과"/>
    <w:p>
      <w:pPr>
        <w:pStyle w:val="Heading2"/>
      </w:pPr>
      <w:r>
        <w:t xml:space="preserve">9. MODEL SOLVING &amp; RESULTS / 모델 풀이 및 결과</w:t>
      </w:r>
    </w:p>
    <w:p>
      <w:pPr>
        <w:pStyle w:val="FirstParagraph"/>
      </w:pPr>
      <w:r>
        <w:t xml:space="preserve">All models solved using CBC solver via PuLP, limited to 15 seconds per run. Total runtime is under 45 seconds.</w:t>
      </w:r>
    </w:p>
    <w:bookmarkStart w:id="65" w:name="selected-hubs-선정된-허브"/>
    <w:p>
      <w:pPr>
        <w:pStyle w:val="Heading3"/>
      </w:pPr>
      <w:r>
        <w:t xml:space="preserve">9.1 Selected Hubs / 선정된 허브</w:t>
      </w:r>
    </w:p>
    <w:tbl>
      <w:tblPr>
        <w:tblStyle w:val="Table"/>
        <w:tblW w:type="pct" w:w="0.0"/>
        <w:tblLook w:firstRow="1" w:lastRow="0" w:firstColumn="0" w:lastColumn="0" w:noHBand="0" w:noVBand="0" w:val="0020"/>
      </w:tblPr>
      <w:tblGrid/>
      <w:tr>
        <w:tc>
          <w:p>
            <w:pPr>
              <w:pStyle w:val="Compact"/>
              <w:jc w:val="left"/>
            </w:pPr>
            <w:r>
              <w:t xml:space="preserve">Scenario</w:t>
            </w:r>
          </w:p>
        </w:tc>
        <w:tc>
          <w:p>
            <w:pPr>
              <w:pStyle w:val="Compact"/>
              <w:jc w:val="left"/>
            </w:pPr>
            <w:r>
              <w:t xml:space="preserve">Selected Open Hubs / 선정된 허브</w:t>
            </w:r>
          </w:p>
        </w:tc>
      </w:tr>
      <w:tr>
        <w:tc>
          <w:p>
            <w:pPr>
              <w:pStyle w:val="Compact"/>
              <w:jc w:val="left"/>
            </w:pPr>
            <w:r>
              <w:t xml:space="preserve">P-Median P=3</w:t>
            </w:r>
          </w:p>
        </w:tc>
        <w:tc>
          <w:p>
            <w:pPr>
              <w:pStyle w:val="Compact"/>
              <w:jc w:val="left"/>
            </w:pPr>
            <w:r>
              <w:t xml:space="preserve">Gyeonggi, Daegu, Gwangju</w:t>
            </w:r>
          </w:p>
        </w:tc>
      </w:tr>
      <w:tr>
        <w:tc>
          <w:p>
            <w:pPr>
              <w:pStyle w:val="Compact"/>
              <w:jc w:val="left"/>
            </w:pPr>
            <w:r>
              <w:t xml:space="preserve">P-Median P=5</w:t>
            </w:r>
          </w:p>
        </w:tc>
        <w:tc>
          <w:p>
            <w:pPr>
              <w:pStyle w:val="Compact"/>
              <w:jc w:val="left"/>
            </w:pPr>
            <w:r>
              <w:rPr>
                <w:bCs/>
                <w:b/>
              </w:rPr>
              <w:t xml:space="preserve">Gyeonggi, Daejeon, Daegu, Gwangju, Busan</w:t>
            </w:r>
          </w:p>
        </w:tc>
      </w:tr>
      <w:tr>
        <w:tc>
          <w:p>
            <w:pPr>
              <w:pStyle w:val="Compact"/>
              <w:jc w:val="left"/>
            </w:pPr>
            <w:r>
              <w:t xml:space="preserve">P-Median P=7</w:t>
            </w:r>
          </w:p>
        </w:tc>
        <w:tc>
          <w:p>
            <w:pPr>
              <w:pStyle w:val="Compact"/>
              <w:jc w:val="left"/>
            </w:pPr>
            <w:r>
              <w:t xml:space="preserve">Gyeonggi, Daejeon, Daegu, Gwangju, Busan, Chungnam, Gangwon</w:t>
            </w:r>
          </w:p>
        </w:tc>
      </w:tr>
      <w:tr>
        <w:tc>
          <w:p>
            <w:pPr>
              <w:pStyle w:val="Compact"/>
              <w:jc w:val="left"/>
            </w:pPr>
            <w:r>
              <w:t xml:space="preserve">UFLP</w:t>
            </w:r>
          </w:p>
        </w:tc>
        <w:tc>
          <w:p>
            <w:pPr>
              <w:pStyle w:val="Compact"/>
              <w:jc w:val="left"/>
            </w:pPr>
            <w:r>
              <w:t xml:space="preserve">Gyeonggi, Daejeon, Busan, Gwangju (4 auto-selected hubs)</w:t>
            </w:r>
          </w:p>
        </w:tc>
      </w:tr>
      <w:tr>
        <w:tc>
          <w:p>
            <w:pPr>
              <w:pStyle w:val="Compact"/>
              <w:jc w:val="left"/>
            </w:pPr>
            <w:r>
              <w:t xml:space="preserve">CFLP</w:t>
            </w:r>
          </w:p>
        </w:tc>
        <w:tc>
          <w:p>
            <w:pPr>
              <w:pStyle w:val="Compact"/>
              <w:jc w:val="left"/>
            </w:pPr>
            <w:r>
              <w:t xml:space="preserve">Gyeonggi, Daejeon, Daegu, Gwangju, Busan (5 hub)</w:t>
            </w:r>
          </w:p>
        </w:tc>
      </w:tr>
      <w:tr>
        <w:tc>
          <w:p>
            <w:pPr>
              <w:pStyle w:val="Compact"/>
              <w:jc w:val="left"/>
            </w:pPr>
            <w:r>
              <w:t xml:space="preserve">Current (S0)</w:t>
            </w:r>
          </w:p>
        </w:tc>
        <w:tc>
          <w:p>
            <w:pPr>
              <w:pStyle w:val="Compact"/>
              <w:jc w:val="left"/>
            </w:pPr>
            <w:r>
              <w:t xml:space="preserve">Gyeonggi, Gyeongbuk (Gumi), Busan</w:t>
            </w:r>
          </w:p>
        </w:tc>
      </w:tr>
    </w:tbl>
    <w:p>
      <w:pPr>
        <w:pStyle w:val="BodyText"/>
      </w:pPr>
      <w:r>
        <w:rPr>
          <w:bCs/>
          <w:b/>
        </w:rPr>
        <w:t xml:space="preserve">Interpretation:</w:t>
      </w:r>
      <w:r>
        <w:t xml:space="preserve"> </w:t>
      </w:r>
      <w:r>
        <w:t xml:space="preserve">Gyeonggi, Daejeon, Daegu, Gwangju, and Busan appear in all optimal configurations (</w:t>
      </w:r>
      <w:r>
        <w:t xml:space="preserve">“</w:t>
      </w:r>
      <w:r>
        <w:t xml:space="preserve">Core 5</w:t>
      </w:r>
      <w:r>
        <w:t xml:space="preserve">”</w:t>
      </w:r>
      <w:r>
        <w:t xml:space="preserve">). UFLP drops Daegu due to high fixed costs, while CFLP opens all 5 hubs due to capacity constraints.</w:t>
      </w:r>
    </w:p>
    <w:bookmarkEnd w:id="65"/>
    <w:bookmarkStart w:id="66" w:name="demand-allocation-p5-수요-할당-시나리오"/>
    <w:p>
      <w:pPr>
        <w:pStyle w:val="Heading3"/>
      </w:pPr>
      <w:r>
        <w:t xml:space="preserve">9.2 Demand Allocation (P=5) / 수요 할당 시나리오</w:t>
      </w:r>
    </w:p>
    <w:tbl>
      <w:tblPr>
        <w:tblStyle w:val="Table"/>
        <w:tblW w:type="pct" w:w="0.0"/>
        <w:tblLook w:firstRow="1" w:lastRow="0" w:firstColumn="0" w:lastColumn="0" w:noHBand="0" w:noVBand="0" w:val="0020"/>
      </w:tblPr>
      <w:tblGrid/>
      <w:tr>
        <w:tc>
          <w:p>
            <w:pPr>
              <w:pStyle w:val="Compact"/>
              <w:jc w:val="left"/>
            </w:pPr>
            <w:r>
              <w:t xml:space="preserve">Region</w:t>
            </w:r>
          </w:p>
        </w:tc>
        <w:tc>
          <w:p>
            <w:pPr>
              <w:pStyle w:val="Compact"/>
              <w:jc w:val="left"/>
            </w:pPr>
            <w:r>
              <w:t xml:space="preserve">Assigned Hub</w:t>
            </w:r>
          </w:p>
        </w:tc>
        <w:tc>
          <w:p>
            <w:pPr>
              <w:pStyle w:val="Compact"/>
              <w:jc w:val="right"/>
            </w:pPr>
            <w:r>
              <w:t xml:space="preserve">Distance (km)</w:t>
            </w:r>
          </w:p>
        </w:tc>
        <w:tc>
          <w:p>
            <w:pPr>
              <w:pStyle w:val="Compact"/>
              <w:jc w:val="right"/>
            </w:pPr>
            <w:r>
              <w:t xml:space="preserve">Demand Allocated (k tons)</w:t>
            </w:r>
          </w:p>
        </w:tc>
      </w:tr>
      <w:tr>
        <w:tc>
          <w:p>
            <w:pPr>
              <w:pStyle w:val="Compact"/>
              <w:jc w:val="left"/>
            </w:pPr>
            <w:r>
              <w:t xml:space="preserve">Seoul</w:t>
            </w:r>
          </w:p>
        </w:tc>
        <w:tc>
          <w:p>
            <w:pPr>
              <w:pStyle w:val="Compact"/>
              <w:jc w:val="left"/>
            </w:pPr>
            <w:r>
              <w:t xml:space="preserve">Gyeonggi</w:t>
            </w:r>
          </w:p>
        </w:tc>
        <w:tc>
          <w:p>
            <w:pPr>
              <w:pStyle w:val="Compact"/>
              <w:jc w:val="right"/>
            </w:pPr>
            <w:r>
              <w:t xml:space="preserve">35</w:t>
            </w:r>
          </w:p>
        </w:tc>
        <w:tc>
          <w:p>
            <w:pPr>
              <w:pStyle w:val="Compact"/>
              <w:jc w:val="right"/>
            </w:pPr>
            <w:r>
              <w:t xml:space="preserve">8,420</w:t>
            </w:r>
          </w:p>
        </w:tc>
      </w:tr>
      <w:tr>
        <w:tc>
          <w:p>
            <w:pPr>
              <w:pStyle w:val="Compact"/>
              <w:jc w:val="left"/>
            </w:pPr>
            <w:r>
              <w:t xml:space="preserve">Gyeonggi</w:t>
            </w:r>
          </w:p>
        </w:tc>
        <w:tc>
          <w:p>
            <w:pPr>
              <w:pStyle w:val="Compact"/>
              <w:jc w:val="left"/>
            </w:pPr>
            <w:r>
              <w:t xml:space="preserve">Gyeonggi</w:t>
            </w:r>
          </w:p>
        </w:tc>
        <w:tc>
          <w:p>
            <w:pPr>
              <w:pStyle w:val="Compact"/>
              <w:jc w:val="right"/>
            </w:pPr>
            <w:r>
              <w:t xml:space="preserve">0</w:t>
            </w:r>
          </w:p>
        </w:tc>
        <w:tc>
          <w:p>
            <w:pPr>
              <w:pStyle w:val="Compact"/>
              <w:jc w:val="right"/>
            </w:pPr>
            <w:r>
              <w:t xml:space="preserve">14,890</w:t>
            </w:r>
          </w:p>
        </w:tc>
      </w:tr>
      <w:tr>
        <w:tc>
          <w:p>
            <w:pPr>
              <w:pStyle w:val="Compact"/>
              <w:jc w:val="left"/>
            </w:pPr>
            <w:r>
              <w:t xml:space="preserve">Incheon</w:t>
            </w:r>
          </w:p>
        </w:tc>
        <w:tc>
          <w:p>
            <w:pPr>
              <w:pStyle w:val="Compact"/>
              <w:jc w:val="left"/>
            </w:pPr>
            <w:r>
              <w:t xml:space="preserve">Gyeonggi</w:t>
            </w:r>
          </w:p>
        </w:tc>
        <w:tc>
          <w:p>
            <w:pPr>
              <w:pStyle w:val="Compact"/>
              <w:jc w:val="right"/>
            </w:pPr>
            <w:r>
              <w:t xml:space="preserve">50</w:t>
            </w:r>
          </w:p>
        </w:tc>
        <w:tc>
          <w:p>
            <w:pPr>
              <w:pStyle w:val="Compact"/>
              <w:jc w:val="right"/>
            </w:pPr>
            <w:r>
              <w:t xml:space="preserve">4,210</w:t>
            </w:r>
          </w:p>
        </w:tc>
      </w:tr>
      <w:tr>
        <w:tc>
          <w:p>
            <w:pPr>
              <w:pStyle w:val="Compact"/>
              <w:jc w:val="left"/>
            </w:pPr>
            <w:r>
              <w:t xml:space="preserve">Daejeon</w:t>
            </w:r>
          </w:p>
        </w:tc>
        <w:tc>
          <w:p>
            <w:pPr>
              <w:pStyle w:val="Compact"/>
              <w:jc w:val="left"/>
            </w:pPr>
            <w:r>
              <w:t xml:space="preserve">Daejeon</w:t>
            </w:r>
          </w:p>
        </w:tc>
        <w:tc>
          <w:p>
            <w:pPr>
              <w:pStyle w:val="Compact"/>
              <w:jc w:val="right"/>
            </w:pPr>
            <w:r>
              <w:t xml:space="preserve">0</w:t>
            </w:r>
          </w:p>
        </w:tc>
        <w:tc>
          <w:p>
            <w:pPr>
              <w:pStyle w:val="Compact"/>
              <w:jc w:val="right"/>
            </w:pPr>
            <w:r>
              <w:t xml:space="preserve">3,180</w:t>
            </w:r>
          </w:p>
        </w:tc>
      </w:tr>
      <w:tr>
        <w:tc>
          <w:p>
            <w:pPr>
              <w:pStyle w:val="Compact"/>
              <w:jc w:val="left"/>
            </w:pPr>
            <w:r>
              <w:t xml:space="preserve">Sejong</w:t>
            </w:r>
          </w:p>
        </w:tc>
        <w:tc>
          <w:p>
            <w:pPr>
              <w:pStyle w:val="Compact"/>
              <w:jc w:val="left"/>
            </w:pPr>
            <w:r>
              <w:t xml:space="preserve">Daejeon</w:t>
            </w:r>
          </w:p>
        </w:tc>
        <w:tc>
          <w:p>
            <w:pPr>
              <w:pStyle w:val="Compact"/>
              <w:jc w:val="right"/>
            </w:pPr>
            <w:r>
              <w:t xml:space="preserve">25</w:t>
            </w:r>
          </w:p>
        </w:tc>
        <w:tc>
          <w:p>
            <w:pPr>
              <w:pStyle w:val="Compact"/>
              <w:jc w:val="right"/>
            </w:pPr>
            <w:r>
              <w:t xml:space="preserve">980</w:t>
            </w:r>
          </w:p>
        </w:tc>
      </w:tr>
      <w:tr>
        <w:tc>
          <w:p>
            <w:pPr>
              <w:pStyle w:val="Compact"/>
              <w:jc w:val="left"/>
            </w:pPr>
            <w:r>
              <w:t xml:space="preserve">Chungbuk</w:t>
            </w:r>
          </w:p>
        </w:tc>
        <w:tc>
          <w:p>
            <w:pPr>
              <w:pStyle w:val="Compact"/>
              <w:jc w:val="left"/>
            </w:pPr>
            <w:r>
              <w:t xml:space="preserve">Daejeon</w:t>
            </w:r>
          </w:p>
        </w:tc>
        <w:tc>
          <w:p>
            <w:pPr>
              <w:pStyle w:val="Compact"/>
              <w:jc w:val="right"/>
            </w:pPr>
            <w:r>
              <w:t xml:space="preserve">70</w:t>
            </w:r>
          </w:p>
        </w:tc>
        <w:tc>
          <w:p>
            <w:pPr>
              <w:pStyle w:val="Compact"/>
              <w:jc w:val="right"/>
            </w:pPr>
            <w:r>
              <w:t xml:space="preserve">2,650</w:t>
            </w:r>
          </w:p>
        </w:tc>
      </w:tr>
      <w:tr>
        <w:tc>
          <w:p>
            <w:pPr>
              <w:pStyle w:val="Compact"/>
              <w:jc w:val="left"/>
            </w:pPr>
            <w:r>
              <w:t xml:space="preserve">Chungnam</w:t>
            </w:r>
          </w:p>
        </w:tc>
        <w:tc>
          <w:p>
            <w:pPr>
              <w:pStyle w:val="Compact"/>
              <w:jc w:val="left"/>
            </w:pPr>
            <w:r>
              <w:t xml:space="preserve">Daejeon</w:t>
            </w:r>
          </w:p>
        </w:tc>
        <w:tc>
          <w:p>
            <w:pPr>
              <w:pStyle w:val="Compact"/>
              <w:jc w:val="right"/>
            </w:pPr>
            <w:r>
              <w:t xml:space="preserve">60</w:t>
            </w:r>
          </w:p>
        </w:tc>
        <w:tc>
          <w:p>
            <w:pPr>
              <w:pStyle w:val="Compact"/>
              <w:jc w:val="right"/>
            </w:pPr>
            <w:r>
              <w:t xml:space="preserve">3,820</w:t>
            </w:r>
          </w:p>
        </w:tc>
      </w:tr>
      <w:tr>
        <w:tc>
          <w:p>
            <w:pPr>
              <w:pStyle w:val="Compact"/>
              <w:jc w:val="left"/>
            </w:pPr>
            <w:r>
              <w:t xml:space="preserve">Gangwon</w:t>
            </w:r>
          </w:p>
        </w:tc>
        <w:tc>
          <w:p>
            <w:pPr>
              <w:pStyle w:val="Compact"/>
              <w:jc w:val="left"/>
            </w:pPr>
            <w:r>
              <w:t xml:space="preserve">Daejeon</w:t>
            </w:r>
          </w:p>
        </w:tc>
        <w:tc>
          <w:p>
            <w:pPr>
              <w:pStyle w:val="Compact"/>
              <w:jc w:val="right"/>
            </w:pPr>
            <w:r>
              <w:t xml:space="preserve">195</w:t>
            </w:r>
          </w:p>
        </w:tc>
        <w:tc>
          <w:p>
            <w:pPr>
              <w:pStyle w:val="Compact"/>
              <w:jc w:val="right"/>
            </w:pPr>
            <w:r>
              <w:t xml:space="preserve">1,640</w:t>
            </w:r>
          </w:p>
        </w:tc>
      </w:tr>
      <w:tr>
        <w:tc>
          <w:p>
            <w:pPr>
              <w:pStyle w:val="Compact"/>
              <w:jc w:val="left"/>
            </w:pPr>
            <w:r>
              <w:t xml:space="preserve">Daegu</w:t>
            </w:r>
          </w:p>
        </w:tc>
        <w:tc>
          <w:p>
            <w:pPr>
              <w:pStyle w:val="Compact"/>
              <w:jc w:val="left"/>
            </w:pPr>
            <w:r>
              <w:t xml:space="preserve">Daegu</w:t>
            </w:r>
          </w:p>
        </w:tc>
        <w:tc>
          <w:p>
            <w:pPr>
              <w:pStyle w:val="Compact"/>
              <w:jc w:val="right"/>
            </w:pPr>
            <w:r>
              <w:t xml:space="preserve">0</w:t>
            </w:r>
          </w:p>
        </w:tc>
        <w:tc>
          <w:p>
            <w:pPr>
              <w:pStyle w:val="Compact"/>
              <w:jc w:val="right"/>
            </w:pPr>
            <w:r>
              <w:t xml:space="preserve">4,650</w:t>
            </w:r>
          </w:p>
        </w:tc>
      </w:tr>
      <w:tr>
        <w:tc>
          <w:p>
            <w:pPr>
              <w:pStyle w:val="Compact"/>
              <w:jc w:val="left"/>
            </w:pPr>
            <w:r>
              <w:t xml:space="preserve">Gyeongbuk</w:t>
            </w:r>
          </w:p>
        </w:tc>
        <w:tc>
          <w:p>
            <w:pPr>
              <w:pStyle w:val="Compact"/>
              <w:jc w:val="left"/>
            </w:pPr>
            <w:r>
              <w:t xml:space="preserve">Daegu</w:t>
            </w:r>
          </w:p>
        </w:tc>
        <w:tc>
          <w:p>
            <w:pPr>
              <w:pStyle w:val="Compact"/>
              <w:jc w:val="right"/>
            </w:pPr>
            <w:r>
              <w:t xml:space="preserve">50</w:t>
            </w:r>
          </w:p>
        </w:tc>
        <w:tc>
          <w:p>
            <w:pPr>
              <w:pStyle w:val="Compact"/>
              <w:jc w:val="right"/>
            </w:pPr>
            <w:r>
              <w:t xml:space="preserve">3,820</w:t>
            </w:r>
          </w:p>
        </w:tc>
      </w:tr>
      <w:tr>
        <w:tc>
          <w:p>
            <w:pPr>
              <w:pStyle w:val="Compact"/>
              <w:jc w:val="left"/>
            </w:pPr>
            <w:r>
              <w:t xml:space="preserve">Gwangju</w:t>
            </w:r>
          </w:p>
        </w:tc>
        <w:tc>
          <w:p>
            <w:pPr>
              <w:pStyle w:val="Compact"/>
              <w:jc w:val="left"/>
            </w:pPr>
            <w:r>
              <w:t xml:space="preserve">Gwangju</w:t>
            </w:r>
          </w:p>
        </w:tc>
        <w:tc>
          <w:p>
            <w:pPr>
              <w:pStyle w:val="Compact"/>
              <w:jc w:val="right"/>
            </w:pPr>
            <w:r>
              <w:t xml:space="preserve">0</w:t>
            </w:r>
          </w:p>
        </w:tc>
        <w:tc>
          <w:p>
            <w:pPr>
              <w:pStyle w:val="Compact"/>
              <w:jc w:val="right"/>
            </w:pPr>
            <w:r>
              <w:t xml:space="preserve">2,540</w:t>
            </w:r>
          </w:p>
        </w:tc>
      </w:tr>
      <w:tr>
        <w:tc>
          <w:p>
            <w:pPr>
              <w:pStyle w:val="Compact"/>
              <w:jc w:val="left"/>
            </w:pPr>
            <w:r>
              <w:t xml:space="preserve">Jeonbuk</w:t>
            </w:r>
          </w:p>
        </w:tc>
        <w:tc>
          <w:p>
            <w:pPr>
              <w:pStyle w:val="Compact"/>
              <w:jc w:val="left"/>
            </w:pPr>
            <w:r>
              <w:t xml:space="preserve">Gwangju</w:t>
            </w:r>
          </w:p>
        </w:tc>
        <w:tc>
          <w:p>
            <w:pPr>
              <w:pStyle w:val="Compact"/>
              <w:jc w:val="right"/>
            </w:pPr>
            <w:r>
              <w:t xml:space="preserve">80</w:t>
            </w:r>
          </w:p>
        </w:tc>
        <w:tc>
          <w:p>
            <w:pPr>
              <w:pStyle w:val="Compact"/>
              <w:jc w:val="right"/>
            </w:pPr>
            <w:r>
              <w:t xml:space="preserve">2,310</w:t>
            </w:r>
          </w:p>
        </w:tc>
      </w:tr>
      <w:tr>
        <w:tc>
          <w:p>
            <w:pPr>
              <w:pStyle w:val="Compact"/>
              <w:jc w:val="left"/>
            </w:pPr>
            <w:r>
              <w:t xml:space="preserve">Jeonnam</w:t>
            </w:r>
          </w:p>
        </w:tc>
        <w:tc>
          <w:p>
            <w:pPr>
              <w:pStyle w:val="Compact"/>
              <w:jc w:val="left"/>
            </w:pPr>
            <w:r>
              <w:t xml:space="preserve">Gwangju</w:t>
            </w:r>
          </w:p>
        </w:tc>
        <w:tc>
          <w:p>
            <w:pPr>
              <w:pStyle w:val="Compact"/>
              <w:jc w:val="right"/>
            </w:pPr>
            <w:r>
              <w:t xml:space="preserve">65</w:t>
            </w:r>
          </w:p>
        </w:tc>
        <w:tc>
          <w:p>
            <w:pPr>
              <w:pStyle w:val="Compact"/>
              <w:jc w:val="right"/>
            </w:pPr>
            <w:r>
              <w:t xml:space="preserve">2,820</w:t>
            </w:r>
          </w:p>
        </w:tc>
      </w:tr>
      <w:tr>
        <w:tc>
          <w:p>
            <w:pPr>
              <w:pStyle w:val="Compact"/>
              <w:jc w:val="left"/>
            </w:pPr>
            <w:r>
              <w:t xml:space="preserve">Jeju</w:t>
            </w:r>
          </w:p>
        </w:tc>
        <w:tc>
          <w:p>
            <w:pPr>
              <w:pStyle w:val="Compact"/>
              <w:jc w:val="left"/>
            </w:pPr>
            <w:r>
              <w:t xml:space="preserve">Gwangju (ferry)</w:t>
            </w:r>
          </w:p>
        </w:tc>
        <w:tc>
          <w:p>
            <w:pPr>
              <w:pStyle w:val="Compact"/>
              <w:jc w:val="right"/>
            </w:pPr>
            <w:r>
              <w:t xml:space="preserve">320</w:t>
            </w:r>
          </w:p>
        </w:tc>
        <w:tc>
          <w:p>
            <w:pPr>
              <w:pStyle w:val="Compact"/>
              <w:jc w:val="right"/>
            </w:pPr>
            <w:r>
              <w:t xml:space="preserve">920</w:t>
            </w:r>
          </w:p>
        </w:tc>
      </w:tr>
      <w:tr>
        <w:tc>
          <w:p>
            <w:pPr>
              <w:pStyle w:val="Compact"/>
              <w:jc w:val="left"/>
            </w:pPr>
            <w:r>
              <w:t xml:space="preserve">Busan</w:t>
            </w:r>
          </w:p>
        </w:tc>
        <w:tc>
          <w:p>
            <w:pPr>
              <w:pStyle w:val="Compact"/>
              <w:jc w:val="left"/>
            </w:pPr>
            <w:r>
              <w:t xml:space="preserve">Busan</w:t>
            </w:r>
          </w:p>
        </w:tc>
        <w:tc>
          <w:p>
            <w:pPr>
              <w:pStyle w:val="Compact"/>
              <w:jc w:val="right"/>
            </w:pPr>
            <w:r>
              <w:t xml:space="preserve">0</w:t>
            </w:r>
          </w:p>
        </w:tc>
        <w:tc>
          <w:p>
            <w:pPr>
              <w:pStyle w:val="Compact"/>
              <w:jc w:val="right"/>
            </w:pPr>
            <w:r>
              <w:t xml:space="preserve">6,750</w:t>
            </w:r>
          </w:p>
        </w:tc>
      </w:tr>
      <w:tr>
        <w:tc>
          <w:p>
            <w:pPr>
              <w:pStyle w:val="Compact"/>
              <w:jc w:val="left"/>
            </w:pPr>
            <w:r>
              <w:t xml:space="preserve">Gyeongnam</w:t>
            </w:r>
          </w:p>
        </w:tc>
        <w:tc>
          <w:p>
            <w:pPr>
              <w:pStyle w:val="Compact"/>
              <w:jc w:val="left"/>
            </w:pPr>
            <w:r>
              <w:t xml:space="preserve">Busan</w:t>
            </w:r>
          </w:p>
        </w:tc>
        <w:tc>
          <w:p>
            <w:pPr>
              <w:pStyle w:val="Compact"/>
              <w:jc w:val="right"/>
            </w:pPr>
            <w:r>
              <w:t xml:space="preserve">95</w:t>
            </w:r>
          </w:p>
        </w:tc>
        <w:tc>
          <w:p>
            <w:pPr>
              <w:pStyle w:val="Compact"/>
              <w:jc w:val="right"/>
            </w:pPr>
            <w:r>
              <w:t xml:space="preserve">5,820</w:t>
            </w:r>
          </w:p>
        </w:tc>
      </w:tr>
      <w:tr>
        <w:tc>
          <w:p>
            <w:pPr>
              <w:pStyle w:val="Compact"/>
              <w:jc w:val="left"/>
            </w:pPr>
            <w:r>
              <w:t xml:space="preserve">Ulsan</w:t>
            </w:r>
          </w:p>
        </w:tc>
        <w:tc>
          <w:p>
            <w:pPr>
              <w:pStyle w:val="Compact"/>
              <w:jc w:val="left"/>
            </w:pPr>
            <w:r>
              <w:t xml:space="preserve">Busan</w:t>
            </w:r>
          </w:p>
        </w:tc>
        <w:tc>
          <w:p>
            <w:pPr>
              <w:pStyle w:val="Compact"/>
              <w:jc w:val="right"/>
            </w:pPr>
            <w:r>
              <w:t xml:space="preserve">70</w:t>
            </w:r>
          </w:p>
        </w:tc>
        <w:tc>
          <w:p>
            <w:pPr>
              <w:pStyle w:val="Compact"/>
              <w:jc w:val="right"/>
            </w:pPr>
            <w:r>
              <w:t xml:space="preserve">2,950</w:t>
            </w:r>
          </w:p>
        </w:tc>
      </w:tr>
    </w:tbl>
    <w:bookmarkEnd w:id="66"/>
    <w:bookmarkStart w:id="67" w:name="objective-values-목적함수-값"/>
    <w:p>
      <w:pPr>
        <w:pStyle w:val="Heading3"/>
      </w:pPr>
      <w:r>
        <w:t xml:space="preserve">9.3 Objective Values / 목적함수 값</w:t>
      </w:r>
    </w:p>
    <w:tbl>
      <w:tblPr>
        <w:tblStyle w:val="Table"/>
        <w:tblW w:type="pct" w:w="0.0"/>
        <w:tblLook w:firstRow="1" w:lastRow="0" w:firstColumn="0" w:lastColumn="0" w:noHBand="0" w:noVBand="0" w:val="0020"/>
      </w:tblPr>
      <w:tblGrid/>
      <w:tr>
        <w:tc>
          <w:p>
            <w:pPr>
              <w:pStyle w:val="Compact"/>
              <w:jc w:val="left"/>
            </w:pPr>
            <w:r>
              <w:t xml:space="preserve">Scenario</w:t>
            </w:r>
          </w:p>
        </w:tc>
        <w:tc>
          <w:p>
            <w:pPr>
              <w:pStyle w:val="Compact"/>
              <w:jc w:val="right"/>
            </w:pPr>
            <w:r>
              <w:t xml:space="preserve">Total Cost (USD/year)</w:t>
            </w:r>
          </w:p>
        </w:tc>
        <w:tc>
          <w:p>
            <w:pPr>
              <w:pStyle w:val="Compact"/>
              <w:jc w:val="right"/>
            </w:pPr>
            <w:r>
              <w:t xml:space="preserve">Cost Index (P=3 = 100)</w:t>
            </w:r>
          </w:p>
        </w:tc>
      </w:tr>
      <w:tr>
        <w:tc>
          <w:p>
            <w:pPr>
              <w:pStyle w:val="Compact"/>
              <w:jc w:val="left"/>
            </w:pPr>
            <w:r>
              <w:t xml:space="preserve">Current (S0, 3 hub)</w:t>
            </w:r>
          </w:p>
        </w:tc>
        <w:tc>
          <w:p>
            <w:pPr>
              <w:pStyle w:val="Compact"/>
              <w:jc w:val="right"/>
            </w:pPr>
            <w:r>
              <w:t xml:space="preserve">142,500,000</w:t>
            </w:r>
          </w:p>
        </w:tc>
        <w:tc>
          <w:p>
            <w:pPr>
              <w:pStyle w:val="Compact"/>
              <w:jc w:val="right"/>
            </w:pPr>
            <w:r>
              <w:t xml:space="preserve">100</w:t>
            </w:r>
          </w:p>
        </w:tc>
      </w:tr>
      <w:tr>
        <w:tc>
          <w:p>
            <w:pPr>
              <w:pStyle w:val="Compact"/>
              <w:jc w:val="left"/>
            </w:pPr>
            <w:r>
              <w:t xml:space="preserve">P-Median P=3</w:t>
            </w:r>
          </w:p>
        </w:tc>
        <w:tc>
          <w:p>
            <w:pPr>
              <w:pStyle w:val="Compact"/>
              <w:jc w:val="right"/>
            </w:pPr>
            <w:r>
              <w:t xml:space="preserve">124,800,000</w:t>
            </w:r>
          </w:p>
        </w:tc>
        <w:tc>
          <w:p>
            <w:pPr>
              <w:pStyle w:val="Compact"/>
              <w:jc w:val="right"/>
            </w:pPr>
            <w:r>
              <w:t xml:space="preserve">87.6</w:t>
            </w:r>
          </w:p>
        </w:tc>
      </w:tr>
      <w:tr>
        <w:tc>
          <w:p>
            <w:pPr>
              <w:pStyle w:val="Compact"/>
              <w:jc w:val="left"/>
            </w:pPr>
            <w:r>
              <w:rPr>
                <w:bCs/>
                <w:b/>
              </w:rPr>
              <w:t xml:space="preserve">P-Median P=5</w:t>
            </w:r>
          </w:p>
        </w:tc>
        <w:tc>
          <w:p>
            <w:pPr>
              <w:pStyle w:val="Compact"/>
              <w:jc w:val="right"/>
            </w:pPr>
            <w:r>
              <w:rPr>
                <w:bCs/>
                <w:b/>
              </w:rPr>
              <w:t xml:space="preserve">108,300,000</w:t>
            </w:r>
          </w:p>
        </w:tc>
        <w:tc>
          <w:p>
            <w:pPr>
              <w:pStyle w:val="Compact"/>
              <w:jc w:val="right"/>
            </w:pPr>
            <w:r>
              <w:rPr>
                <w:bCs/>
                <w:b/>
              </w:rPr>
              <w:t xml:space="preserve">76.0</w:t>
            </w:r>
          </w:p>
        </w:tc>
      </w:tr>
      <w:tr>
        <w:tc>
          <w:p>
            <w:pPr>
              <w:pStyle w:val="Compact"/>
              <w:jc w:val="left"/>
            </w:pPr>
            <w:r>
              <w:t xml:space="preserve">P-Median P=7</w:t>
            </w:r>
          </w:p>
        </w:tc>
        <w:tc>
          <w:p>
            <w:pPr>
              <w:pStyle w:val="Compact"/>
              <w:jc w:val="right"/>
            </w:pPr>
            <w:r>
              <w:t xml:space="preserve">105,700,000</w:t>
            </w:r>
          </w:p>
        </w:tc>
        <w:tc>
          <w:p>
            <w:pPr>
              <w:pStyle w:val="Compact"/>
              <w:jc w:val="right"/>
            </w:pPr>
            <w:r>
              <w:t xml:space="preserve">74.2</w:t>
            </w:r>
          </w:p>
        </w:tc>
      </w:tr>
      <w:tr>
        <w:tc>
          <w:p>
            <w:pPr>
              <w:pStyle w:val="Compact"/>
              <w:jc w:val="left"/>
            </w:pPr>
            <w:r>
              <w:t xml:space="preserve">UFLP (auto 4 hub)</w:t>
            </w:r>
          </w:p>
        </w:tc>
        <w:tc>
          <w:p>
            <w:pPr>
              <w:pStyle w:val="Compact"/>
              <w:jc w:val="right"/>
            </w:pPr>
            <w:r>
              <w:t xml:space="preserve">113,200,000</w:t>
            </w:r>
          </w:p>
        </w:tc>
        <w:tc>
          <w:p>
            <w:pPr>
              <w:pStyle w:val="Compact"/>
              <w:jc w:val="right"/>
            </w:pPr>
            <w:r>
              <w:t xml:space="preserve">79.4</w:t>
            </w:r>
          </w:p>
        </w:tc>
      </w:tr>
      <w:tr>
        <w:tc>
          <w:p>
            <w:pPr>
              <w:pStyle w:val="Compact"/>
              <w:jc w:val="left"/>
            </w:pPr>
            <w:r>
              <w:t xml:space="preserve">CFLP (5 hub w/ cap)</w:t>
            </w:r>
          </w:p>
        </w:tc>
        <w:tc>
          <w:p>
            <w:pPr>
              <w:pStyle w:val="Compact"/>
              <w:jc w:val="right"/>
            </w:pPr>
            <w:r>
              <w:t xml:space="preserve">110,800,000</w:t>
            </w:r>
          </w:p>
        </w:tc>
        <w:tc>
          <w:p>
            <w:pPr>
              <w:pStyle w:val="Compact"/>
              <w:jc w:val="right"/>
            </w:pPr>
            <w:r>
              <w:t xml:space="preserve">77.8</w:t>
            </w:r>
          </w:p>
        </w:tc>
      </w:tr>
    </w:tbl>
    <w:bookmarkEnd w:id="67"/>
    <w:bookmarkStart w:id="68" w:name="Xa5fd89261208c14ba080b55c7bc4a4f36fecb1e"/>
    <w:p>
      <w:pPr>
        <w:pStyle w:val="Heading3"/>
      </w:pPr>
      <w:r>
        <w:t xml:space="preserve">9.4 Cost, Coverage, and Utilization / 비용, 서비스 커버리지 및 가동률</w:t>
      </w:r>
    </w:p>
    <w:p>
      <w:pPr>
        <w:pStyle w:val="FirstParagraph"/>
      </w:pPr>
      <w:r>
        <w:rPr>
          <w:bCs/>
          <w:b/>
        </w:rPr>
        <w:t xml:space="preserve">Coverage</w:t>
      </w:r>
      <w:r>
        <w:t xml:space="preserve"> </w:t>
      </w:r>
      <w:r>
        <w:t xml:space="preserve">(freight demand served within a 200 km service radius):</w:t>
      </w:r>
    </w:p>
    <w:tbl>
      <w:tblPr>
        <w:tblStyle w:val="Table"/>
        <w:tblW w:type="pct" w:w="0.0"/>
        <w:tblLook w:firstRow="1" w:lastRow="0" w:firstColumn="0" w:lastColumn="0" w:noHBand="0" w:noVBand="0" w:val="0020"/>
      </w:tblPr>
      <w:tblGrid/>
      <w:tr>
        <w:tc>
          <w:p>
            <w:pPr>
              <w:pStyle w:val="Compact"/>
              <w:jc w:val="left"/>
            </w:pPr>
            <w:r>
              <w:t xml:space="preserve">Scenario</w:t>
            </w:r>
          </w:p>
        </w:tc>
        <w:tc>
          <w:p>
            <w:pPr>
              <w:pStyle w:val="Compact"/>
              <w:jc w:val="right"/>
            </w:pPr>
            <w:r>
              <w:t xml:space="preserve">200km Coverage % / 커버리지</w:t>
            </w:r>
          </w:p>
        </w:tc>
      </w:tr>
      <w:tr>
        <w:tc>
          <w:p>
            <w:pPr>
              <w:pStyle w:val="Compact"/>
              <w:jc w:val="left"/>
            </w:pPr>
            <w:r>
              <w:t xml:space="preserve">Current (S0)</w:t>
            </w:r>
          </w:p>
        </w:tc>
        <w:tc>
          <w:p>
            <w:pPr>
              <w:pStyle w:val="Compact"/>
              <w:jc w:val="right"/>
            </w:pPr>
            <w:r>
              <w:t xml:space="preserve">78.4%</w:t>
            </w:r>
          </w:p>
        </w:tc>
      </w:tr>
      <w:tr>
        <w:tc>
          <w:p>
            <w:pPr>
              <w:pStyle w:val="Compact"/>
              <w:jc w:val="left"/>
            </w:pPr>
            <w:r>
              <w:t xml:space="preserve">P-Median P=3</w:t>
            </w:r>
          </w:p>
        </w:tc>
        <w:tc>
          <w:p>
            <w:pPr>
              <w:pStyle w:val="Compact"/>
              <w:jc w:val="right"/>
            </w:pPr>
            <w:r>
              <w:t xml:space="preserve">81.2%</w:t>
            </w:r>
          </w:p>
        </w:tc>
      </w:tr>
      <w:tr>
        <w:tc>
          <w:p>
            <w:pPr>
              <w:pStyle w:val="Compact"/>
              <w:jc w:val="left"/>
            </w:pPr>
            <w:r>
              <w:t xml:space="preserve">P-Median P=5</w:t>
            </w:r>
          </w:p>
        </w:tc>
        <w:tc>
          <w:p>
            <w:pPr>
              <w:pStyle w:val="Compact"/>
              <w:jc w:val="right"/>
            </w:pPr>
            <w:r>
              <w:rPr>
                <w:bCs/>
                <w:b/>
              </w:rPr>
              <w:t xml:space="preserve">96.4%</w:t>
            </w:r>
          </w:p>
        </w:tc>
      </w:tr>
      <w:tr>
        <w:tc>
          <w:p>
            <w:pPr>
              <w:pStyle w:val="Compact"/>
              <w:jc w:val="left"/>
            </w:pPr>
            <w:r>
              <w:t xml:space="preserve">P-Median P=7</w:t>
            </w:r>
          </w:p>
        </w:tc>
        <w:tc>
          <w:p>
            <w:pPr>
              <w:pStyle w:val="Compact"/>
              <w:jc w:val="right"/>
            </w:pPr>
            <w:r>
              <w:t xml:space="preserve">98.1%</w:t>
            </w:r>
          </w:p>
        </w:tc>
      </w:tr>
      <w:tr>
        <w:tc>
          <w:p>
            <w:pPr>
              <w:pStyle w:val="Compact"/>
              <w:jc w:val="left"/>
            </w:pPr>
            <w:r>
              <w:t xml:space="preserve">UFLP</w:t>
            </w:r>
          </w:p>
        </w:tc>
        <w:tc>
          <w:p>
            <w:pPr>
              <w:pStyle w:val="Compact"/>
              <w:jc w:val="right"/>
            </w:pPr>
            <w:r>
              <w:t xml:space="preserve">89.5%</w:t>
            </w:r>
          </w:p>
        </w:tc>
      </w:tr>
      <w:tr>
        <w:tc>
          <w:p>
            <w:pPr>
              <w:pStyle w:val="Compact"/>
              <w:jc w:val="left"/>
            </w:pPr>
            <w:r>
              <w:t xml:space="preserve">CFLP</w:t>
            </w:r>
          </w:p>
        </w:tc>
        <w:tc>
          <w:p>
            <w:pPr>
              <w:pStyle w:val="Compact"/>
              <w:jc w:val="right"/>
            </w:pPr>
            <w:r>
              <w:t xml:space="preserve">96.4%</w:t>
            </w:r>
          </w:p>
        </w:tc>
      </w:tr>
    </w:tbl>
    <w:p>
      <w:pPr>
        <w:pStyle w:val="BodyText"/>
      </w:pPr>
      <w:r>
        <w:rPr>
          <w:bCs/>
          <w:b/>
        </w:rPr>
        <w:t xml:space="preserve">Hub Utilization</w:t>
      </w:r>
      <w:r>
        <w:t xml:space="preserve"> </w:t>
      </w:r>
      <w:r>
        <w:t xml:space="preserve">(average, maximum, and minimum capacity utilization rates of selected hubs):</w:t>
      </w:r>
    </w:p>
    <w:tbl>
      <w:tblPr>
        <w:tblStyle w:val="Table"/>
        <w:tblW w:type="pct" w:w="0.0"/>
        <w:tblLook w:firstRow="1" w:lastRow="0" w:firstColumn="0" w:lastColumn="0" w:noHBand="0" w:noVBand="0" w:val="0020"/>
      </w:tblPr>
      <w:tblGrid/>
      <w:tr>
        <w:tc>
          <w:p>
            <w:pPr>
              <w:pStyle w:val="Compact"/>
              <w:jc w:val="left"/>
            </w:pPr>
            <w:r>
              <w:t xml:space="preserve">Scenario</w:t>
            </w:r>
          </w:p>
        </w:tc>
        <w:tc>
          <w:p>
            <w:pPr>
              <w:pStyle w:val="Compact"/>
              <w:jc w:val="right"/>
            </w:pPr>
            <w:r>
              <w:t xml:space="preserve">Avg Util %</w:t>
            </w:r>
          </w:p>
        </w:tc>
        <w:tc>
          <w:p>
            <w:pPr>
              <w:pStyle w:val="Compact"/>
              <w:jc w:val="right"/>
            </w:pPr>
            <w:r>
              <w:t xml:space="preserve">Max Util %</w:t>
            </w:r>
          </w:p>
        </w:tc>
        <w:tc>
          <w:p>
            <w:pPr>
              <w:pStyle w:val="Compact"/>
              <w:jc w:val="right"/>
            </w:pPr>
            <w:r>
              <w:t xml:space="preserve">Min Util %</w:t>
            </w:r>
          </w:p>
        </w:tc>
      </w:tr>
      <w:tr>
        <w:tc>
          <w:p>
            <w:pPr>
              <w:pStyle w:val="Compact"/>
              <w:jc w:val="left"/>
            </w:pPr>
            <w:r>
              <w:t xml:space="preserve">Current (S0)</w:t>
            </w:r>
          </w:p>
        </w:tc>
        <w:tc>
          <w:p>
            <w:pPr>
              <w:pStyle w:val="Compact"/>
              <w:jc w:val="right"/>
            </w:pPr>
            <w:r>
              <w:t xml:space="preserve">92%</w:t>
            </w:r>
          </w:p>
        </w:tc>
        <w:tc>
          <w:p>
            <w:pPr>
              <w:pStyle w:val="Compact"/>
              <w:jc w:val="right"/>
            </w:pPr>
            <w:r>
              <w:t xml:space="preserve">138% (Gyeonggi)</w:t>
            </w:r>
          </w:p>
        </w:tc>
        <w:tc>
          <w:p>
            <w:pPr>
              <w:pStyle w:val="Compact"/>
              <w:jc w:val="right"/>
            </w:pPr>
            <w:r>
              <w:t xml:space="preserve">60% (Busan)</w:t>
            </w:r>
          </w:p>
        </w:tc>
      </w:tr>
      <w:tr>
        <w:tc>
          <w:p>
            <w:pPr>
              <w:pStyle w:val="Compact"/>
              <w:jc w:val="left"/>
            </w:pPr>
            <w:r>
              <w:t xml:space="preserve">P-Median P=5</w:t>
            </w:r>
          </w:p>
        </w:tc>
        <w:tc>
          <w:p>
            <w:pPr>
              <w:pStyle w:val="Compact"/>
              <w:jc w:val="right"/>
            </w:pPr>
            <w:r>
              <w:t xml:space="preserve">73%</w:t>
            </w:r>
          </w:p>
        </w:tc>
        <w:tc>
          <w:p>
            <w:pPr>
              <w:pStyle w:val="Compact"/>
              <w:jc w:val="right"/>
            </w:pPr>
            <w:r>
              <w:t xml:space="preserve">91% (Gyeonggi)</w:t>
            </w:r>
          </w:p>
        </w:tc>
        <w:tc>
          <w:p>
            <w:pPr>
              <w:pStyle w:val="Compact"/>
              <w:jc w:val="right"/>
            </w:pPr>
            <w:r>
              <w:t xml:space="preserve">58% (Daegu)</w:t>
            </w:r>
          </w:p>
        </w:tc>
      </w:tr>
      <w:tr>
        <w:tc>
          <w:p>
            <w:pPr>
              <w:pStyle w:val="Compact"/>
              <w:jc w:val="left"/>
            </w:pPr>
            <w:r>
              <w:t xml:space="preserve">CFLP P=5</w:t>
            </w:r>
          </w:p>
        </w:tc>
        <w:tc>
          <w:p>
            <w:pPr>
              <w:pStyle w:val="Compact"/>
              <w:jc w:val="right"/>
            </w:pPr>
            <w:r>
              <w:t xml:space="preserve">78%</w:t>
            </w:r>
          </w:p>
        </w:tc>
        <w:tc>
          <w:p>
            <w:pPr>
              <w:pStyle w:val="Compact"/>
              <w:jc w:val="right"/>
            </w:pPr>
            <w:r>
              <w:t xml:space="preserve">88% (Gyeonggi)</w:t>
            </w:r>
          </w:p>
        </w:tc>
        <w:tc>
          <w:p>
            <w:pPr>
              <w:pStyle w:val="Compact"/>
              <w:jc w:val="right"/>
            </w:pPr>
            <w:r>
              <w:t xml:space="preserve">65% (Daejeon)</w:t>
            </w:r>
          </w:p>
        </w:tc>
      </w:tr>
    </w:tbl>
    <w:p>
      <w:pPr>
        <w:pStyle w:val="BodyText"/>
      </w:pPr>
      <w:r>
        <w:rPr>
          <w:bCs/>
          <w:b/>
        </w:rPr>
        <w:t xml:space="preserve">Interpretation:</w:t>
      </w:r>
      <w:r>
        <w:t xml:space="preserve"> </w:t>
      </w:r>
      <w:r>
        <w:t xml:space="preserve">The current baseline network shows chronic capacity bottlenecks in Gyeonggi (138% utilization). The optimized 5-hub network balances utilization effectively, keeping Gyeonggi under 91%.</w:t>
      </w:r>
    </w:p>
    <w:p>
      <w:r>
        <w:pict>
          <v:rect style="width:0;height:1.5pt" o:hralign="center" o:hrstd="t" o:hr="t"/>
        </w:pict>
      </w:r>
    </w:p>
    <w:bookmarkEnd w:id="68"/>
    <w:bookmarkEnd w:id="69"/>
    <w:bookmarkStart w:id="74" w:name="result-interpretation-결과-해석"/>
    <w:p>
      <w:pPr>
        <w:pStyle w:val="Heading2"/>
      </w:pPr>
      <w:r>
        <w:t xml:space="preserve">10. RESULT INTERPRETATION / 결과 해석</w:t>
      </w:r>
    </w:p>
    <w:bookmarkStart w:id="70" w:name="which-hubs-are-optimal-최적-허브-입지"/>
    <w:p>
      <w:pPr>
        <w:pStyle w:val="Heading3"/>
      </w:pPr>
      <w:r>
        <w:t xml:space="preserve">10.1 Which Hubs are Optimal? / 최적 허브 입지</w:t>
      </w:r>
    </w:p>
    <w:p>
      <w:pPr>
        <w:pStyle w:val="FirstParagraph"/>
      </w:pPr>
      <w:r>
        <w:t xml:space="preserve">The optimal 5-hub configuration selects Gyeonggi, Daejeon, Daegu, Gwangju, and Busan. These form the core logistics backbone.</w:t>
      </w:r>
    </w:p>
    <w:bookmarkEnd w:id="70"/>
    <w:bookmarkStart w:id="71" w:name="X9a4d6b0f3a26f55594aba5f78dd23dbdc623dc7"/>
    <w:p>
      <w:pPr>
        <w:pStyle w:val="Heading3"/>
      </w:pPr>
      <w:r>
        <w:t xml:space="preserve">10.2 Why Were These 5 Hubs Selected? / 5대 허브 선정 사유</w:t>
      </w:r>
    </w:p>
    <w:p>
      <w:pPr>
        <w:pStyle w:val="FirstParagraph"/>
      </w:pPr>
      <w:r>
        <w:rPr>
          <w:bCs/>
          <w:b/>
        </w:rPr>
        <w:t xml:space="preserve">Gyeonggi</w:t>
      </w:r>
      <w:r>
        <w:t xml:space="preserve"> </w:t>
      </w:r>
      <w:r>
        <w:t xml:space="preserve">— Largest demand center (20.1% national inbound), built-in logistics infrastructure. Essential.</w:t>
      </w:r>
    </w:p>
    <w:p>
      <w:pPr>
        <w:pStyle w:val="BodyText"/>
      </w:pPr>
      <w:r>
        <w:rPr>
          <w:bCs/>
          <w:b/>
        </w:rPr>
        <w:t xml:space="preserve">Daejeon</w:t>
      </w:r>
      <w:r>
        <w:t xml:space="preserve"> </w:t>
      </w:r>
      <w:r>
        <w:t xml:space="preserve">— Central geographic coordinates, minimizes long-haul transport to Sejong, Chungbuk, Chungnam, and Gangwon.</w:t>
      </w:r>
    </w:p>
    <w:p>
      <w:pPr>
        <w:pStyle w:val="BodyText"/>
      </w:pPr>
      <w:r>
        <w:rPr>
          <w:bCs/>
          <w:b/>
        </w:rPr>
        <w:t xml:space="preserve">Daegu</w:t>
      </w:r>
      <w:r>
        <w:t xml:space="preserve"> </w:t>
      </w:r>
      <w:r>
        <w:t xml:space="preserve">— Strategic gateway to the Southeast (Daegu + Gyeongbuk), proximate to manufacturing bases like Gumi.</w:t>
      </w:r>
    </w:p>
    <w:p>
      <w:pPr>
        <w:pStyle w:val="BodyText"/>
      </w:pPr>
      <w:r>
        <w:rPr>
          <w:bCs/>
          <w:b/>
        </w:rPr>
        <w:t xml:space="preserve">Gwangju</w:t>
      </w:r>
      <w:r>
        <w:t xml:space="preserve"> </w:t>
      </w:r>
      <w:r>
        <w:t xml:space="preserve">— Gateway to the Southwest (Gwangju + Jeolla), mitigates high transport times from Gyeonggi.</w:t>
      </w:r>
    </w:p>
    <w:p>
      <w:pPr>
        <w:pStyle w:val="BodyText"/>
      </w:pPr>
      <w:r>
        <w:rPr>
          <w:bCs/>
          <w:b/>
        </w:rPr>
        <w:t xml:space="preserve">Busan</w:t>
      </w:r>
      <w:r>
        <w:t xml:space="preserve"> </w:t>
      </w:r>
      <w:r>
        <w:t xml:space="preserve">— Gateway to the South (Busan + Gyeongnam + Ulsan), handles seaport cargo, heavy industries.</w:t>
      </w:r>
    </w:p>
    <w:bookmarkEnd w:id="71"/>
    <w:bookmarkStart w:id="72" w:name="Xbada79846766f1859ce4fd7e881f7bc29e0cbda"/>
    <w:p>
      <w:pPr>
        <w:pStyle w:val="Heading3"/>
      </w:pPr>
      <w:r>
        <w:t xml:space="preserve">10.3 Which Regions Does Each Hub Serve? / 허브별 담당 지역</w:t>
      </w:r>
    </w:p>
    <w:tbl>
      <w:tblPr>
        <w:tblStyle w:val="Table"/>
        <w:tblW w:type="pct" w:w="0.0"/>
        <w:tblLook w:firstRow="1" w:lastRow="0" w:firstColumn="0" w:lastColumn="0" w:noHBand="0" w:noVBand="0" w:val="0020"/>
      </w:tblPr>
      <w:tblGrid/>
      <w:tr>
        <w:tc>
          <w:p>
            <w:pPr>
              <w:pStyle w:val="Compact"/>
              <w:jc w:val="left"/>
            </w:pPr>
            <w:r>
              <w:t xml:space="preserve">Hub</w:t>
            </w:r>
          </w:p>
        </w:tc>
        <w:tc>
          <w:p>
            <w:pPr>
              <w:pStyle w:val="Compact"/>
              <w:jc w:val="left"/>
            </w:pPr>
            <w:r>
              <w:t xml:space="preserve">Served Regions / 담당 지역</w:t>
            </w:r>
          </w:p>
        </w:tc>
        <w:tc>
          <w:p>
            <w:pPr>
              <w:pStyle w:val="Compact"/>
              <w:jc w:val="right"/>
            </w:pPr>
            <w:r>
              <w:t xml:space="preserve">Total Allocated (k tons)</w:t>
            </w:r>
          </w:p>
        </w:tc>
      </w:tr>
      <w:tr>
        <w:tc>
          <w:p>
            <w:pPr>
              <w:pStyle w:val="Compact"/>
              <w:jc w:val="left"/>
            </w:pPr>
            <w:r>
              <w:t xml:space="preserve">Gyeonggi</w:t>
            </w:r>
          </w:p>
        </w:tc>
        <w:tc>
          <w:p>
            <w:pPr>
              <w:pStyle w:val="Compact"/>
              <w:jc w:val="left"/>
            </w:pPr>
            <w:r>
              <w:t xml:space="preserve">Seoul, Gyeonggi, Incheon</w:t>
            </w:r>
          </w:p>
        </w:tc>
        <w:tc>
          <w:p>
            <w:pPr>
              <w:pStyle w:val="Compact"/>
              <w:jc w:val="right"/>
            </w:pPr>
            <w:r>
              <w:t xml:space="preserve">27,520</w:t>
            </w:r>
          </w:p>
        </w:tc>
      </w:tr>
      <w:tr>
        <w:tc>
          <w:p>
            <w:pPr>
              <w:pStyle w:val="Compact"/>
              <w:jc w:val="left"/>
            </w:pPr>
            <w:r>
              <w:t xml:space="preserve">Daejeon</w:t>
            </w:r>
          </w:p>
        </w:tc>
        <w:tc>
          <w:p>
            <w:pPr>
              <w:pStyle w:val="Compact"/>
              <w:jc w:val="left"/>
            </w:pPr>
            <w:r>
              <w:t xml:space="preserve">Daejeon, Sejong, Chungbuk, Chungnam, Gangwon</w:t>
            </w:r>
          </w:p>
        </w:tc>
        <w:tc>
          <w:p>
            <w:pPr>
              <w:pStyle w:val="Compact"/>
              <w:jc w:val="right"/>
            </w:pPr>
            <w:r>
              <w:t xml:space="preserve">12,270</w:t>
            </w:r>
          </w:p>
        </w:tc>
      </w:tr>
      <w:tr>
        <w:tc>
          <w:p>
            <w:pPr>
              <w:pStyle w:val="Compact"/>
              <w:jc w:val="left"/>
            </w:pPr>
            <w:r>
              <w:t xml:space="preserve">Daegu</w:t>
            </w:r>
          </w:p>
        </w:tc>
        <w:tc>
          <w:p>
            <w:pPr>
              <w:pStyle w:val="Compact"/>
              <w:jc w:val="left"/>
            </w:pPr>
            <w:r>
              <w:t xml:space="preserve">Daegu, Gyeongbuk</w:t>
            </w:r>
          </w:p>
        </w:tc>
        <w:tc>
          <w:p>
            <w:pPr>
              <w:pStyle w:val="Compact"/>
              <w:jc w:val="right"/>
            </w:pPr>
            <w:r>
              <w:t xml:space="preserve">8,470</w:t>
            </w:r>
          </w:p>
        </w:tc>
      </w:tr>
      <w:tr>
        <w:tc>
          <w:p>
            <w:pPr>
              <w:pStyle w:val="Compact"/>
              <w:jc w:val="left"/>
            </w:pPr>
            <w:r>
              <w:t xml:space="preserve">Gwangju</w:t>
            </w:r>
          </w:p>
        </w:tc>
        <w:tc>
          <w:p>
            <w:pPr>
              <w:pStyle w:val="Compact"/>
              <w:jc w:val="left"/>
            </w:pPr>
            <w:r>
              <w:t xml:space="preserve">Gwangju, Jeonbuk, Jeonnam, Jeju</w:t>
            </w:r>
          </w:p>
        </w:tc>
        <w:tc>
          <w:p>
            <w:pPr>
              <w:pStyle w:val="Compact"/>
              <w:jc w:val="right"/>
            </w:pPr>
            <w:r>
              <w:t xml:space="preserve">8,590</w:t>
            </w:r>
          </w:p>
        </w:tc>
      </w:tr>
      <w:tr>
        <w:tc>
          <w:p>
            <w:pPr>
              <w:pStyle w:val="Compact"/>
              <w:jc w:val="left"/>
            </w:pPr>
            <w:r>
              <w:t xml:space="preserve">Busan</w:t>
            </w:r>
          </w:p>
        </w:tc>
        <w:tc>
          <w:p>
            <w:pPr>
              <w:pStyle w:val="Compact"/>
              <w:jc w:val="left"/>
            </w:pPr>
            <w:r>
              <w:t xml:space="preserve">Busan, Gyeongnam, Ulsan</w:t>
            </w:r>
          </w:p>
        </w:tc>
        <w:tc>
          <w:p>
            <w:pPr>
              <w:pStyle w:val="Compact"/>
              <w:jc w:val="right"/>
            </w:pPr>
            <w:r>
              <w:t xml:space="preserve">15,520</w:t>
            </w:r>
          </w:p>
        </w:tc>
      </w:tr>
    </w:tbl>
    <w:p>
      <w:pPr>
        <w:pStyle w:val="BodyText"/>
      </w:pPr>
      <w:r>
        <w:t xml:space="preserve">Total allocated = 72,370 k tons = total 17-region demand (verification pass).</w:t>
      </w:r>
    </w:p>
    <w:bookmarkEnd w:id="72"/>
    <w:bookmarkStart w:id="73" w:name="strategic-trade-offs-시나리오별-트레이드오프"/>
    <w:p>
      <w:pPr>
        <w:pStyle w:val="Heading3"/>
      </w:pPr>
      <w:r>
        <w:t xml:space="preserve">10.4 Strategic Trade-offs / 시나리오별 트레이드오프</w:t>
      </w:r>
    </w:p>
    <w:p>
      <w:pPr>
        <w:pStyle w:val="FirstParagraph"/>
      </w:pPr>
      <w:r>
        <w:rPr>
          <w:bCs/>
          <w:b/>
        </w:rPr>
        <w:t xml:space="preserve">P=3 vs. P=5:</w:t>
      </w:r>
      <w:r>
        <w:t xml:space="preserve"> </w:t>
      </w:r>
      <w:r>
        <w:t xml:space="preserve">Increasing from 3 to 5 hubs reduces total cost by 12.4% but increases annual fixed costs by ~10M USD. Net benefit is highly positive.</w:t>
      </w:r>
    </w:p>
    <w:p>
      <w:pPr>
        <w:pStyle w:val="BodyText"/>
      </w:pPr>
      <w:r>
        <w:rPr>
          <w:bCs/>
          <w:b/>
        </w:rPr>
        <w:t xml:space="preserve">P=5 vs. P=7:</w:t>
      </w:r>
      <w:r>
        <w:t xml:space="preserve"> </w:t>
      </w:r>
      <w:r>
        <w:t xml:space="preserve">Increasing from 5 to 7 hubs reduces total cost by only 2.4% but adds ~10M USD in fixed costs. Marginal return is negative; 5 is the sweet spot.</w:t>
      </w:r>
    </w:p>
    <w:p>
      <w:pPr>
        <w:pStyle w:val="BodyText"/>
      </w:pPr>
      <w:r>
        <w:rPr>
          <w:bCs/>
          <w:b/>
        </w:rPr>
        <w:t xml:space="preserve">UFLP (4 hubs) vs. P=5:</w:t>
      </w:r>
      <w:r>
        <w:t xml:space="preserve"> </w:t>
      </w:r>
      <w:r>
        <w:t xml:space="preserve">UFLP is cheaper in total cost but service coverage drops to 89.5% (misses Southwest and Southeast).</w:t>
      </w:r>
    </w:p>
    <w:p>
      <w:pPr>
        <w:pStyle w:val="BodyText"/>
      </w:pPr>
      <w:r>
        <w:rPr>
          <w:bCs/>
          <w:b/>
        </w:rPr>
        <w:t xml:space="preserve">CFLP vs. P=5:</w:t>
      </w:r>
      <w:r>
        <w:t xml:space="preserve"> </w:t>
      </w:r>
      <w:r>
        <w:t xml:space="preserve">CFLP is highly similar to P=5 but balances hub utilization more safely.</w:t>
      </w:r>
    </w:p>
    <w:p>
      <w:r>
        <w:pict>
          <v:rect style="width:0;height:1.5pt" o:hralign="center" o:hrstd="t" o:hr="t"/>
        </w:pict>
      </w:r>
    </w:p>
    <w:bookmarkEnd w:id="73"/>
    <w:bookmarkEnd w:id="74"/>
    <w:bookmarkStart w:id="79" w:name="discussion-논의"/>
    <w:p>
      <w:pPr>
        <w:pStyle w:val="Heading2"/>
      </w:pPr>
      <w:r>
        <w:t xml:space="preserve">11. DISCUSSION / 논의</w:t>
      </w:r>
    </w:p>
    <w:bookmarkStart w:id="75" w:name="managerial-implications-경영적-시사점"/>
    <w:p>
      <w:pPr>
        <w:pStyle w:val="Heading3"/>
      </w:pPr>
      <w:r>
        <w:t xml:space="preserve">11.1 Managerial Implications / 경영적 시사점</w:t>
      </w:r>
    </w:p>
    <w:p>
      <w:pPr>
        <w:pStyle w:val="FirstParagraph"/>
      </w:pPr>
      <w:r>
        <w:t xml:space="preserve">For large nationwide enterprises (such as Samsung, LG, Hyundai), this study suggests that a</w:t>
      </w:r>
      <w:r>
        <w:t xml:space="preserve"> </w:t>
      </w:r>
      <w:r>
        <w:rPr>
          <w:bCs/>
          <w:b/>
        </w:rPr>
        <w:t xml:space="preserve">5-hub logistics network is the optimal strategic layout</w:t>
      </w:r>
      <w:r>
        <w:t xml:space="preserve">. Hubs should be positioned in: metropolitan (Gyeonggi), central (Daejeon), southeast (Daegu), southwest (Gwangju), and south (Busan).</w:t>
      </w:r>
    </w:p>
    <w:p>
      <w:pPr>
        <w:pStyle w:val="BodyText"/>
      </w:pPr>
      <w:r>
        <w:t xml:space="preserve">Firms running standard 3-hub networks suffer from severe congestion in Gyeonggi and high long-haul transport times to Gwangju and Busan.</w:t>
      </w:r>
    </w:p>
    <w:p>
      <w:pPr>
        <w:pStyle w:val="BodyText"/>
      </w:pPr>
      <w:r>
        <w:t xml:space="preserve">For firms with product-specific logistics (such as high value, sensitive SLA, security for chips/mobile, electronics, parts), consider adding 1 secure node for high-value items, creating a</w:t>
      </w:r>
      <w:r>
        <w:t xml:space="preserve"> </w:t>
      </w:r>
      <w:r>
        <w:rPr>
          <w:bCs/>
          <w:b/>
        </w:rPr>
        <w:t xml:space="preserve">6-node hybrid</w:t>
      </w:r>
      <w:r>
        <w:t xml:space="preserve"> </w:t>
      </w:r>
      <w:r>
        <w:t xml:space="preserve">instead of a pure 5-node layout (see Outcome_Sample_Samsung_Mobile_10Models.md for a 5-node lifecycle-split case study).</w:t>
      </w:r>
    </w:p>
    <w:bookmarkEnd w:id="75"/>
    <w:bookmarkStart w:id="76" w:name="policy-implications-정책적-시사점"/>
    <w:p>
      <w:pPr>
        <w:pStyle w:val="Heading3"/>
      </w:pPr>
      <w:r>
        <w:t xml:space="preserve">11.2 Policy Implications / 정책적 시사점</w:t>
      </w:r>
    </w:p>
    <w:p>
      <w:pPr>
        <w:pStyle w:val="FirstParagraph"/>
      </w:pPr>
      <w:r>
        <w:t xml:space="preserve">For public policy and the South Korean government, the study suggests:</w:t>
      </w:r>
    </w:p>
    <w:p>
      <w:pPr>
        <w:pStyle w:val="BodyText"/>
      </w:pPr>
      <w:r>
        <w:t xml:space="preserve">First, expand public logistics infrastructure in Daejeon and Gwangju hubs, which currently act as underused gateways.</w:t>
      </w:r>
    </w:p>
    <w:p>
      <w:pPr>
        <w:pStyle w:val="BodyText"/>
      </w:pPr>
      <w:r>
        <w:t xml:space="preserve">Second, improve Mainland-Jeju transport links to reduce island cargo bottlenecks.</w:t>
      </w:r>
    </w:p>
    <w:p>
      <w:pPr>
        <w:pStyle w:val="BodyText"/>
      </w:pPr>
      <w:r>
        <w:t xml:space="preserve">Third, update national Freight O/D surveys more frequently to capture rapid e-commerce developments.</w:t>
      </w:r>
    </w:p>
    <w:bookmarkEnd w:id="76"/>
    <w:bookmarkStart w:id="77" w:name="research-limitations-연구의-한계점"/>
    <w:p>
      <w:pPr>
        <w:pStyle w:val="Heading3"/>
      </w:pPr>
      <w:r>
        <w:t xml:space="preserve">11.3 Research Limitations / 연구의 한계점</w:t>
      </w:r>
    </w:p>
    <w:p>
      <w:pPr>
        <w:pStyle w:val="FirstParagraph"/>
      </w:pPr>
      <w:r>
        <w:rPr>
          <w:bCs/>
          <w:b/>
        </w:rPr>
        <w:t xml:space="preserve">Limitation 1 — Public O/D Proxy:</w:t>
      </w:r>
      <w:r>
        <w:t xml:space="preserve"> </w:t>
      </w:r>
      <w:r>
        <w:t xml:space="preserve">Public freight surveys do not segment flows by individual firms. Production deployment requires actual company shipment data.</w:t>
      </w:r>
    </w:p>
    <w:p>
      <w:pPr>
        <w:pStyle w:val="BodyText"/>
      </w:pPr>
      <w:r>
        <w:rPr>
          <w:bCs/>
          <w:b/>
        </w:rPr>
        <w:t xml:space="preserve">Limitation 2 — Benchmark Rates:</w:t>
      </w:r>
      <w:r>
        <w:t xml:space="preserve"> </w:t>
      </w:r>
      <w:r>
        <w:t xml:space="preserve">Transport rate (0.10 USD/ton-km) and lease rates are estimated via literature benchmarks.</w:t>
      </w:r>
    </w:p>
    <w:p>
      <w:pPr>
        <w:pStyle w:val="BodyText"/>
      </w:pPr>
      <w:r>
        <w:rPr>
          <w:bCs/>
          <w:b/>
        </w:rPr>
        <w:t xml:space="preserve">Limitation 3 — Granularity:</w:t>
      </w:r>
      <w:r>
        <w:t xml:space="preserve"> </w:t>
      </w:r>
      <w:r>
        <w:t xml:space="preserve">17-region resolution is suitable for strategic design, but tactical warehouse selection requires si/gun/gu-level details.</w:t>
      </w:r>
    </w:p>
    <w:p>
      <w:pPr>
        <w:pStyle w:val="BodyText"/>
      </w:pPr>
      <w:r>
        <w:rPr>
          <w:bCs/>
          <w:b/>
        </w:rPr>
        <w:t xml:space="preserve">Limitation 4 — Static Models:</w:t>
      </w:r>
      <w:r>
        <w:t xml:space="preserve"> </w:t>
      </w:r>
      <w:r>
        <w:t xml:space="preserve">Models solve location problems statically. Multi-period modeling is better for transition roadmaps.</w:t>
      </w:r>
    </w:p>
    <w:p>
      <w:pPr>
        <w:pStyle w:val="BodyText"/>
      </w:pPr>
      <w:r>
        <w:rPr>
          <w:bCs/>
          <w:b/>
        </w:rPr>
        <w:t xml:space="preserve">Limitation 5 — Disruption Risk:</w:t>
      </w:r>
      <w:r>
        <w:t xml:space="preserve"> </w:t>
      </w:r>
      <w:r>
        <w:t xml:space="preserve">Models assume a stable network; stochastic models are needed to incorporate network disruptions.</w:t>
      </w:r>
    </w:p>
    <w:bookmarkEnd w:id="77"/>
    <w:bookmarkStart w:id="78" w:name="future-research-directions-향후-연구-방향"/>
    <w:p>
      <w:pPr>
        <w:pStyle w:val="Heading3"/>
      </w:pPr>
      <w:r>
        <w:t xml:space="preserve">11.4 Future Research Directions / 향후 연구 방향</w:t>
      </w:r>
    </w:p>
    <w:p>
      <w:pPr>
        <w:pStyle w:val="FirstParagraph"/>
      </w:pPr>
      <w:r>
        <w:rPr>
          <w:bCs/>
          <w:b/>
        </w:rPr>
        <w:t xml:space="preserve">Future Path 1 — Case Studies:</w:t>
      </w:r>
      <w:r>
        <w:t xml:space="preserve"> </w:t>
      </w:r>
      <w:r>
        <w:t xml:space="preserve">Partner with real firms using confidential internal shipping data.</w:t>
      </w:r>
    </w:p>
    <w:p>
      <w:pPr>
        <w:pStyle w:val="BodyText"/>
      </w:pPr>
      <w:r>
        <w:rPr>
          <w:bCs/>
          <w:b/>
        </w:rPr>
        <w:t xml:space="preserve">Future Path 2 — Multi-period &amp; Stochastic:</w:t>
      </w:r>
      <w:r>
        <w:t xml:space="preserve"> </w:t>
      </w:r>
      <w:r>
        <w:t xml:space="preserve">Formulate multi-period MILPs to handle multi-year planning under demand uncertainty.</w:t>
      </w:r>
    </w:p>
    <w:p>
      <w:pPr>
        <w:pStyle w:val="BodyText"/>
      </w:pPr>
      <w:r>
        <w:rPr>
          <w:bCs/>
          <w:b/>
        </w:rPr>
        <w:t xml:space="preserve">Future Path 3 — Location-Inventory Optimization:</w:t>
      </w:r>
      <w:r>
        <w:t xml:space="preserve"> </w:t>
      </w:r>
      <w:r>
        <w:t xml:space="preserve">Co-optimize warehouse location and regional inventory levels (Daskin et al., 2002).</w:t>
      </w:r>
    </w:p>
    <w:p>
      <w:pPr>
        <w:pStyle w:val="BodyText"/>
      </w:pPr>
      <w:r>
        <w:rPr>
          <w:bCs/>
          <w:b/>
        </w:rPr>
        <w:t xml:space="preserve">Future Path 4 — Multi-product Lifecycle:</w:t>
      </w:r>
      <w:r>
        <w:t xml:space="preserve"> </w:t>
      </w:r>
      <w:r>
        <w:t xml:space="preserve">Incorporate product lifecycles (launch, steady, phase-out) directly into modeling.</w:t>
      </w:r>
    </w:p>
    <w:p>
      <w:pPr>
        <w:pStyle w:val="BodyText"/>
      </w:pPr>
      <w:r>
        <w:rPr>
          <w:bCs/>
          <w:b/>
        </w:rPr>
        <w:t xml:space="preserve">Future Path 5 — Last-mile Integration:</w:t>
      </w:r>
      <w:r>
        <w:t xml:space="preserve"> </w:t>
      </w:r>
      <w:r>
        <w:t xml:space="preserve">Combine facility location with vehicle routing problems (VRP) for last-mile logistics.</w:t>
      </w:r>
    </w:p>
    <w:p>
      <w:pPr>
        <w:pStyle w:val="BodyText"/>
      </w:pPr>
      <w:r>
        <w:rPr>
          <w:bCs/>
          <w:b/>
        </w:rPr>
        <w:t xml:space="preserve">Future Path 6 — Machine Learning:</w:t>
      </w:r>
      <w:r>
        <w:t xml:space="preserve"> </w:t>
      </w:r>
      <w:r>
        <w:t xml:space="preserve">Apply ML forecasts to model future demand spikes and reinforcement learning for real-time routing.</w:t>
      </w:r>
    </w:p>
    <w:p>
      <w:r>
        <w:pict>
          <v:rect style="width:0;height:1.5pt" o:hralign="center" o:hrstd="t" o:hr="t"/>
        </w:pict>
      </w:r>
    </w:p>
    <w:bookmarkEnd w:id="78"/>
    <w:bookmarkEnd w:id="79"/>
    <w:bookmarkStart w:id="80" w:name="conclusion-결론"/>
    <w:p>
      <w:pPr>
        <w:pStyle w:val="Heading2"/>
      </w:pPr>
      <w:r>
        <w:t xml:space="preserve">12. CONCLUSION / 결론</w:t>
      </w:r>
    </w:p>
    <w:p>
      <w:pPr>
        <w:pStyle w:val="FirstParagraph"/>
      </w:pPr>
      <w:r>
        <w:t xml:space="preserve">This study successfully developed an analytical and optimization engine for distribution networks in South Korea using public Freight O/D data.</w:t>
      </w:r>
    </w:p>
    <w:p>
      <w:pPr>
        <w:pStyle w:val="BodyText"/>
      </w:pPr>
      <w:r>
        <w:t xml:space="preserve">Key result: the 5-hub network is strategically optimal (Gyeonggi, Daejeon, Daegu, Gwangju, Busan), reducing cost by 24% vs. current 3-hub networks.</w:t>
      </w:r>
    </w:p>
    <w:p>
      <w:pPr>
        <w:pStyle w:val="BodyText"/>
      </w:pPr>
      <w:r>
        <w:t xml:space="preserve">This engine can be reused for specific enterprises by feeding actual shipping data without architecture changes.</w:t>
      </w:r>
    </w:p>
    <w:p>
      <w:pPr>
        <w:pStyle w:val="BodyText"/>
      </w:pPr>
      <w:r>
        <w:t xml:space="preserve">Main contributions: (1) 10-module end-to-end framework, (2) multi-scenario comparison on cost-coverage-utilization, (3) senior SCM manager reporting template, (4) production roadmap definition.</w:t>
      </w:r>
    </w:p>
    <w:p>
      <w:pPr>
        <w:pStyle w:val="BodyText"/>
      </w:pPr>
      <w:r>
        <w:t xml:space="preserve">Main limitations rest in public proxy data and industry benchmark cost rates. Future work includes pilot case studies and stochastic extensions.</w:t>
      </w:r>
    </w:p>
    <w:p>
      <w:pPr>
        <w:pStyle w:val="BodyText"/>
      </w:pPr>
      <w:r>
        <w:t xml:space="preserve">LogiHub Intelligence has the potential to become the standard decision-support system for distribution network design in Korea and Southeast Asia.</w:t>
      </w:r>
    </w:p>
    <w:p>
      <w:r>
        <w:pict>
          <v:rect style="width:0;height:1.5pt" o:hralign="center" o:hrstd="t" o:hr="t"/>
        </w:pict>
      </w:r>
    </w:p>
    <w:bookmarkEnd w:id="80"/>
    <w:bookmarkStart w:id="81" w:name="references-참고문헌"/>
    <w:p>
      <w:pPr>
        <w:pStyle w:val="Heading2"/>
      </w:pPr>
      <w:r>
        <w:t xml:space="preserve">REFERENCES / 참고문헌</w:t>
      </w:r>
    </w:p>
    <w:p>
      <w:pPr>
        <w:pStyle w:val="FirstParagraph"/>
      </w:pPr>
      <w:r>
        <w:t xml:space="preserve">Balinski, M. L. (1965). Integer programming: Methods, uses, computations.</w:t>
      </w:r>
      <w:r>
        <w:t xml:space="preserve"> </w:t>
      </w:r>
      <w:r>
        <w:rPr>
          <w:iCs/>
          <w:i/>
        </w:rPr>
        <w:t xml:space="preserve">Management Science</w:t>
      </w:r>
      <w:r>
        <w:t xml:space="preserve">, 12(3), 253-313.</w:t>
      </w:r>
    </w:p>
    <w:p>
      <w:pPr>
        <w:pStyle w:val="BodyText"/>
      </w:pPr>
      <w:r>
        <w:t xml:space="preserve">Bok, J., Kwak, S. K., &amp; Lee, J. (2019). Spatial mismatch between freight demand and warehouse infrastructure in Korea.</w:t>
      </w:r>
      <w:r>
        <w:t xml:space="preserve"> </w:t>
      </w:r>
      <w:r>
        <w:rPr>
          <w:iCs/>
          <w:i/>
        </w:rPr>
        <w:t xml:space="preserve">Journal of the Korean Society of Transportation</w:t>
      </w:r>
      <w:r>
        <w:t xml:space="preserve">, 37(4), 245-258.</w:t>
      </w:r>
    </w:p>
    <w:p>
      <w:pPr>
        <w:pStyle w:val="BodyText"/>
      </w:pPr>
      <w:r>
        <w:t xml:space="preserve">Bowersox, D. J., Closs, D. J., Cooper, M. B., &amp; Bowersox, J. C. (2013).</w:t>
      </w:r>
      <w:r>
        <w:t xml:space="preserve"> </w:t>
      </w:r>
      <w:r>
        <w:rPr>
          <w:iCs/>
          <w:i/>
        </w:rPr>
        <w:t xml:space="preserve">Supply chain logistics management</w:t>
      </w:r>
      <w:r>
        <w:t xml:space="preserve"> </w:t>
      </w:r>
      <w:r>
        <w:t xml:space="preserve">(4th ed.). McGraw-Hill.</w:t>
      </w:r>
    </w:p>
    <w:p>
      <w:pPr>
        <w:pStyle w:val="BodyText"/>
      </w:pPr>
      <w:r>
        <w:t xml:space="preserve">Chopra, S., &amp; Meindl, P. (2016).</w:t>
      </w:r>
      <w:r>
        <w:t xml:space="preserve"> </w:t>
      </w:r>
      <w:r>
        <w:rPr>
          <w:iCs/>
          <w:i/>
        </w:rPr>
        <w:t xml:space="preserve">Supply chain management: Strategy, planning, and operation</w:t>
      </w:r>
      <w:r>
        <w:t xml:space="preserve"> </w:t>
      </w:r>
      <w:r>
        <w:t xml:space="preserve">(6th ed.). Pearson.</w:t>
      </w:r>
    </w:p>
    <w:p>
      <w:pPr>
        <w:pStyle w:val="BodyText"/>
      </w:pPr>
      <w:r>
        <w:t xml:space="preserve">Christopher, M. (2016).</w:t>
      </w:r>
      <w:r>
        <w:t xml:space="preserve"> </w:t>
      </w:r>
      <w:r>
        <w:rPr>
          <w:iCs/>
          <w:i/>
        </w:rPr>
        <w:t xml:space="preserve">Logistics &amp; supply chain management</w:t>
      </w:r>
      <w:r>
        <w:t xml:space="preserve"> </w:t>
      </w:r>
      <w:r>
        <w:t xml:space="preserve">(5th ed.). Pearson.</w:t>
      </w:r>
    </w:p>
    <w:p>
      <w:pPr>
        <w:pStyle w:val="BodyText"/>
      </w:pPr>
      <w:r>
        <w:t xml:space="preserve">Daskin, M. S. (2013).</w:t>
      </w:r>
      <w:r>
        <w:t xml:space="preserve"> </w:t>
      </w:r>
      <w:r>
        <w:rPr>
          <w:iCs/>
          <w:i/>
        </w:rPr>
        <w:t xml:space="preserve">Network and discrete location: Models, algorithms, and applications</w:t>
      </w:r>
      <w:r>
        <w:t xml:space="preserve"> </w:t>
      </w:r>
      <w:r>
        <w:t xml:space="preserve">(2nd ed.). Wiley.</w:t>
      </w:r>
    </w:p>
    <w:p>
      <w:pPr>
        <w:pStyle w:val="BodyText"/>
      </w:pPr>
      <w:r>
        <w:t xml:space="preserve">Daskin, M. S., Coullard, C. R., &amp; Shen, Z. M. (2002). An inventory-location model: Formulation, solution algorithm and computational results.</w:t>
      </w:r>
      <w:r>
        <w:t xml:space="preserve"> </w:t>
      </w:r>
      <w:r>
        <w:rPr>
          <w:iCs/>
          <w:i/>
        </w:rPr>
        <w:t xml:space="preserve">Annals of Operations Research</w:t>
      </w:r>
      <w:r>
        <w:t xml:space="preserve">, 110(1), 83-106.</w:t>
      </w:r>
    </w:p>
    <w:p>
      <w:pPr>
        <w:pStyle w:val="BodyText"/>
      </w:pPr>
      <w:r>
        <w:t xml:space="preserve">Hakimi, S. L. (1964). Optimum locations of switching centers and the absolute centers and medians of a graph.</w:t>
      </w:r>
      <w:r>
        <w:t xml:space="preserve"> </w:t>
      </w:r>
      <w:r>
        <w:rPr>
          <w:iCs/>
          <w:i/>
        </w:rPr>
        <w:t xml:space="preserve">Operations Research</w:t>
      </w:r>
      <w:r>
        <w:t xml:space="preserve">, 12(3), 450-459.</w:t>
      </w:r>
    </w:p>
    <w:p>
      <w:pPr>
        <w:pStyle w:val="BodyText"/>
      </w:pPr>
      <w:r>
        <w:t xml:space="preserve">Klose, A., &amp; Drexl, A. (2005). Facility location models for distribution system design.</w:t>
      </w:r>
      <w:r>
        <w:t xml:space="preserve"> </w:t>
      </w:r>
      <w:r>
        <w:rPr>
          <w:iCs/>
          <w:i/>
        </w:rPr>
        <w:t xml:space="preserve">European Journal of Operational Research</w:t>
      </w:r>
      <w:r>
        <w:t xml:space="preserve">, 162(1), 4-29.</w:t>
      </w:r>
    </w:p>
    <w:p>
      <w:pPr>
        <w:pStyle w:val="BodyText"/>
      </w:pPr>
      <w:r>
        <w:t xml:space="preserve">Korea Logistics Institute. (2025).</w:t>
      </w:r>
      <w:r>
        <w:t xml:space="preserve"> </w:t>
      </w:r>
      <w:r>
        <w:rPr>
          <w:iCs/>
          <w:i/>
        </w:rPr>
        <w:t xml:space="preserve">Freight market reports 2025</w:t>
      </w:r>
      <w:r>
        <w:t xml:space="preserve">. Seoul: KLI.</w:t>
      </w:r>
    </w:p>
    <w:p>
      <w:pPr>
        <w:pStyle w:val="BodyText"/>
      </w:pPr>
      <w:r>
        <w:t xml:space="preserve">Korea Ministry of Land, Infrastructure and Transport (MOLIT). (2026).</w:t>
      </w:r>
      <w:r>
        <w:t xml:space="preserve"> </w:t>
      </w:r>
      <w:r>
        <w:rPr>
          <w:iCs/>
          <w:i/>
        </w:rPr>
        <w:t xml:space="preserve">Korean Freight O/D Survey 2023</w:t>
      </w:r>
      <w:r>
        <w:t xml:space="preserve"> </w:t>
      </w:r>
      <w:r>
        <w:t xml:space="preserve">[Data set]. Available at: https://www.molit.go.kr/.</w:t>
      </w:r>
    </w:p>
    <w:p>
      <w:pPr>
        <w:pStyle w:val="BodyText"/>
      </w:pPr>
      <w:r>
        <w:t xml:space="preserve">Korea Statistics (KOSTAT). (2024).</w:t>
      </w:r>
      <w:r>
        <w:t xml:space="preserve"> </w:t>
      </w:r>
      <w:r>
        <w:rPr>
          <w:iCs/>
          <w:i/>
        </w:rPr>
        <w:t xml:space="preserve">Korean administrative boundaries dataset 2024</w:t>
      </w:r>
      <w:r>
        <w:t xml:space="preserve"> </w:t>
      </w:r>
      <w:r>
        <w:t xml:space="preserve">[GIS data].</w:t>
      </w:r>
    </w:p>
    <w:p>
      <w:pPr>
        <w:pStyle w:val="BodyText"/>
      </w:pPr>
      <w:r>
        <w:t xml:space="preserve">Sheffi, Y. (1985).</w:t>
      </w:r>
      <w:r>
        <w:t xml:space="preserve"> </w:t>
      </w:r>
      <w:r>
        <w:rPr>
          <w:iCs/>
          <w:i/>
        </w:rPr>
        <w:t xml:space="preserve">Urban transportation networks: Equilibrium analysis with mathematical programming methods</w:t>
      </w:r>
      <w:r>
        <w:t xml:space="preserve">. Prentice Hall.</w:t>
      </w:r>
    </w:p>
    <w:p>
      <w:pPr>
        <w:pStyle w:val="BodyText"/>
      </w:pPr>
      <w:r>
        <w:t xml:space="preserve">Simchi-Levi, D., Kaminsky, P., &amp; Simchi-Levi, E. (2008).</w:t>
      </w:r>
      <w:r>
        <w:t xml:space="preserve"> </w:t>
      </w:r>
      <w:r>
        <w:rPr>
          <w:iCs/>
          <w:i/>
        </w:rPr>
        <w:t xml:space="preserve">Designing and managing the supply chain: Concepts, strategies and case studies</w:t>
      </w:r>
      <w:r>
        <w:t xml:space="preserve"> </w:t>
      </w:r>
      <w:r>
        <w:t xml:space="preserve">(3rd ed.). McGraw-Hill.</w:t>
      </w:r>
    </w:p>
    <w:p>
      <w:r>
        <w:pict>
          <v:rect style="width:0;height:1.5pt" o:hralign="center" o:hrstd="t" o:hr="t"/>
        </w:pict>
      </w:r>
    </w:p>
    <w:bookmarkEnd w:id="81"/>
    <w:bookmarkStart w:id="82" w:name="appendix-a-json-contract-schema-부록-a"/>
    <w:p>
      <w:pPr>
        <w:pStyle w:val="Heading2"/>
      </w:pPr>
      <w:r>
        <w:t xml:space="preserve">APPENDIX A — JSON CONTRACT SCHEMA / 부록 A</w:t>
      </w:r>
    </w:p>
    <w:p>
      <w:pPr>
        <w:pStyle w:val="FirstParagraph"/>
      </w:pPr>
      <w:r>
        <w:t xml:space="preserve">(See file engine_contract.schema.json and section 13 of LogiHub_Engine_v2_Redesign.md)</w:t>
      </w:r>
    </w:p>
    <w:bookmarkEnd w:id="82"/>
    <w:bookmarkStart w:id="83" w:name="appendix-b-sample-csv-output-부록-b"/>
    <w:p>
      <w:pPr>
        <w:pStyle w:val="Heading2"/>
      </w:pPr>
      <w:r>
        <w:t xml:space="preserve">APPENDIX B — SAMPLE CSV OUTPUT / 부록 B</w:t>
      </w:r>
    </w:p>
    <w:p>
      <w:pPr>
        <w:pStyle w:val="FirstParagraph"/>
      </w:pPr>
      <w:r>
        <w:t xml:space="preserve">(See files in output/tables/: regional_demand.csv, od_matrix_17_region.csv, top_od_lanes.csv, scenario_comparison.csv)</w:t>
      </w:r>
    </w:p>
    <w:bookmarkEnd w:id="83"/>
    <w:bookmarkStart w:id="84" w:name="appendix-c-sample-outcome-부록-c"/>
    <w:p>
      <w:pPr>
        <w:pStyle w:val="Heading2"/>
      </w:pPr>
      <w:r>
        <w:t xml:space="preserve">APPENDIX C — SAMPLE OUTCOME / 부록 C</w:t>
      </w:r>
    </w:p>
    <w:p>
      <w:pPr>
        <w:pStyle w:val="FirstParagraph"/>
      </w:pPr>
      <w:r>
        <w:t xml:space="preserve">(See file outcome_sample_full.md — the 12-15 page outcome analysis automatically generated by the engine)</w:t>
      </w:r>
    </w:p>
    <w:bookmarkEnd w:id="84"/>
    <w:bookmarkStart w:id="85" w:name="appendix-d-code-base-부록-d"/>
    <w:p>
      <w:pPr>
        <w:pStyle w:val="Heading2"/>
      </w:pPr>
      <w:r>
        <w:t xml:space="preserve">APPENDIX D — CODE BASE / 부록 D</w:t>
      </w:r>
    </w:p>
    <w:p>
      <w:pPr>
        <w:pStyle w:val="FirstParagraph"/>
      </w:pPr>
      <w:r>
        <w:t xml:space="preserve">Repository: logihub_application_code/backend/engine/ containing 17 Python modules.</w:t>
      </w:r>
    </w:p>
    <w:bookmarkEnd w:id="85"/>
    <w:bookmarkStart w:id="86" w:name="appendix-e-proxy-disclaimer-부록-e"/>
    <w:p>
      <w:pPr>
        <w:pStyle w:val="Heading2"/>
      </w:pPr>
      <w:r>
        <w:t xml:space="preserve">APPENDIX E — PROXY DISCLAIMER / 부록 E</w:t>
      </w:r>
    </w:p>
    <w:p>
      <w:pPr>
        <w:pStyle w:val="FirstParagraph"/>
      </w:pPr>
      <w:r>
        <w:rPr>
          <w:iCs/>
          <w:i/>
        </w:rPr>
        <w:t xml:space="preserve">This analysis is generated by the LogiHub Engine v1.0 running on the public Korean Freight O/D 2023 dataset as a proxy for actual enterprise shipment data.</w:t>
      </w:r>
    </w:p>
    <w:p>
      <w:r>
        <w:pict>
          <v:rect style="width:0;height:1.5pt" o:hralign="center" o:hrstd="t" o:hr="t"/>
        </w:pict>
      </w:r>
    </w:p>
    <w:p>
      <w:pPr>
        <w:pStyle w:val="FirstParagraph"/>
      </w:pPr>
      <w:r>
        <w:rPr>
          <w:iCs/>
          <w:i/>
        </w:rPr>
        <w:t xml:space="preserve">This report belongs to the LogiHub Intelligence research project — May 2026. Maintained in sync with canonical project resources.</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LogiHub Intelligence — Research Report (EN/KO)</dc:title>
  <dc:creator/>
  <dc:language>en</dc:language>
  <cp:keywords/>
  <dcterms:created xsi:type="dcterms:W3CDTF">2026-05-10T08:03:00Z</dcterms:created>
  <dcterms:modified xsi:type="dcterms:W3CDTF">2026-05-10T08:03:00Z</dcterms:modified>
</cp:coreProperties>
</file>

<file path=docProps/custom.xml><?xml version="1.0" encoding="utf-8"?>
<Properties xmlns="http://schemas.openxmlformats.org/officeDocument/2006/custom-properties" xmlns:vt="http://schemas.openxmlformats.org/officeDocument/2006/docPropsVTypes"/>
</file>