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LOGIHUB INTELLIGENCE</w:t>
      </w:r>
    </w:p>
    <w:p>
      <w:pPr>
        <w:jc w:val="center"/>
      </w:pPr>
      <w:r>
        <w:rPr>
          <w:rFonts w:ascii="Arial" w:hAnsi="Arial"/>
          <w:b/>
          <w:sz w:val="30"/>
        </w:rPr>
        <w:t>Báo cáo siêu chi tiết về Engine tối ưu chiến lược phân bổ kho bãi và logistics hub</w:t>
      </w:r>
    </w:p>
    <w:p>
      <w:pPr>
        <w:jc w:val="center"/>
      </w:pPr>
      <w:r>
        <w:rPr>
          <w:rFonts w:ascii="Arial" w:hAnsi="Arial"/>
          <w:sz w:val="24"/>
        </w:rPr>
        <w:t>Phiên bản nghiên cứu + sản phẩm | Có mở rộng seasonal demand</w:t>
      </w:r>
    </w:p>
    <w:p/>
    <w:tbl>
      <w:tblPr>
        <w:tblStyle w:val="TableGrid"/>
        <w:tblW w:type="auto" w:w="0"/>
        <w:tblLook w:firstColumn="1" w:firstRow="1" w:lastColumn="0" w:lastRow="0" w:noHBand="0" w:noVBand="1" w:val="04A0"/>
      </w:tblPr>
      <w:tblGrid>
        <w:gridCol w:w="5213"/>
        <w:gridCol w:w="5213"/>
      </w:tblGrid>
      <w:tr>
        <w:tc>
          <w:tcPr>
            <w:tcW w:type="dxa" w:w="5213"/>
            <w:shd w:fill="D9EAF7"/>
          </w:tcPr>
          <w:p>
            <w:r/>
            <w:r>
              <w:rPr>
                <w:rFonts w:ascii="Arial" w:hAnsi="Arial"/>
                <w:b/>
                <w:sz w:val="18"/>
                <w:rFonts w:ascii="Arial" w:hAnsi="Arial" w:eastAsia="Arial"/>
              </w:rPr>
              <w:t>Mục tiêu</w:t>
            </w:r>
          </w:p>
        </w:tc>
        <w:tc>
          <w:tcPr>
            <w:tcW w:type="dxa" w:w="5213"/>
          </w:tcPr>
          <w:p>
            <w:r/>
            <w:r>
              <w:rPr>
                <w:rFonts w:ascii="Arial" w:hAnsi="Arial"/>
                <w:b w:val="0"/>
                <w:sz w:val="18"/>
                <w:rFonts w:ascii="Arial" w:hAnsi="Arial" w:eastAsia="Arial"/>
              </w:rPr>
              <w:t>Biến dữ liệu logistics của doanh nghiệp thành chiến lược phân bổ kho bãi có thể hành động được.</w:t>
            </w:r>
          </w:p>
        </w:tc>
      </w:tr>
      <w:tr>
        <w:tc>
          <w:tcPr>
            <w:tcW w:type="dxa" w:w="5213"/>
            <w:shd w:fill="D9EAF7"/>
          </w:tcPr>
          <w:p>
            <w:r/>
            <w:r>
              <w:rPr>
                <w:rFonts w:ascii="Arial" w:hAnsi="Arial"/>
                <w:b/>
                <w:sz w:val="18"/>
                <w:rFonts w:ascii="Arial" w:hAnsi="Arial" w:eastAsia="Arial"/>
              </w:rPr>
              <w:t>Đối tượng người dùng</w:t>
            </w:r>
          </w:p>
        </w:tc>
        <w:tc>
          <w:tcPr>
            <w:tcW w:type="dxa" w:w="5213"/>
          </w:tcPr>
          <w:p>
            <w:r/>
            <w:r>
              <w:rPr>
                <w:rFonts w:ascii="Arial" w:hAnsi="Arial"/>
                <w:b w:val="0"/>
                <w:sz w:val="18"/>
                <w:rFonts w:ascii="Arial" w:hAnsi="Arial" w:eastAsia="Arial"/>
              </w:rPr>
              <w:t>Senior logistics manager, supply chain manager, network planner, finance reviewer.</w:t>
            </w:r>
          </w:p>
        </w:tc>
      </w:tr>
      <w:tr>
        <w:tc>
          <w:tcPr>
            <w:tcW w:type="dxa" w:w="5213"/>
            <w:shd w:fill="D9EAF7"/>
          </w:tcPr>
          <w:p>
            <w:r/>
            <w:r>
              <w:rPr>
                <w:rFonts w:ascii="Arial" w:hAnsi="Arial"/>
                <w:b/>
                <w:sz w:val="18"/>
                <w:rFonts w:ascii="Arial" w:hAnsi="Arial" w:eastAsia="Arial"/>
              </w:rPr>
              <w:t>Engine lõi</w:t>
            </w:r>
          </w:p>
        </w:tc>
        <w:tc>
          <w:tcPr>
            <w:tcW w:type="dxa" w:w="5213"/>
          </w:tcPr>
          <w:p>
            <w:r/>
            <w:r>
              <w:rPr>
                <w:rFonts w:ascii="Arial" w:hAnsi="Arial"/>
                <w:b w:val="0"/>
                <w:sz w:val="18"/>
                <w:rFonts w:ascii="Arial" w:hAnsi="Arial" w:eastAsia="Arial"/>
              </w:rPr>
              <w:t>O/D matrix construction, facility location optimization, capacity check, seasonal demand simulation, scenario comparison.</w:t>
            </w:r>
          </w:p>
        </w:tc>
      </w:tr>
      <w:tr>
        <w:tc>
          <w:tcPr>
            <w:tcW w:type="dxa" w:w="5213"/>
            <w:shd w:fill="D9EAF7"/>
          </w:tcPr>
          <w:p>
            <w:r/>
            <w:r>
              <w:rPr>
                <w:rFonts w:ascii="Arial" w:hAnsi="Arial"/>
                <w:b/>
                <w:sz w:val="18"/>
                <w:rFonts w:ascii="Arial" w:hAnsi="Arial" w:eastAsia="Arial"/>
              </w:rPr>
              <w:t>Model chính</w:t>
            </w:r>
          </w:p>
        </w:tc>
        <w:tc>
          <w:tcPr>
            <w:tcW w:type="dxa" w:w="5213"/>
          </w:tcPr>
          <w:p>
            <w:r/>
            <w:r>
              <w:rPr>
                <w:rFonts w:ascii="Arial" w:hAnsi="Arial"/>
                <w:b w:val="0"/>
                <w:sz w:val="18"/>
                <w:rFonts w:ascii="Arial" w:hAnsi="Arial" w:eastAsia="Arial"/>
              </w:rPr>
              <w:t>P-median, UFLP, CFLP, MCLP và multi-period seasonal extension.</w:t>
            </w:r>
          </w:p>
        </w:tc>
      </w:tr>
      <w:tr>
        <w:tc>
          <w:tcPr>
            <w:tcW w:type="dxa" w:w="5213"/>
            <w:shd w:fill="D9EAF7"/>
          </w:tcPr>
          <w:p>
            <w:r/>
            <w:r>
              <w:rPr>
                <w:rFonts w:ascii="Arial" w:hAnsi="Arial"/>
                <w:b/>
                <w:sz w:val="18"/>
                <w:rFonts w:ascii="Arial" w:hAnsi="Arial" w:eastAsia="Arial"/>
              </w:rPr>
              <w:t>Output cuối</w:t>
            </w:r>
          </w:p>
        </w:tc>
        <w:tc>
          <w:tcPr>
            <w:tcW w:type="dxa" w:w="5213"/>
          </w:tcPr>
          <w:p>
            <w:r/>
            <w:r>
              <w:rPr>
                <w:rFonts w:ascii="Arial" w:hAnsi="Arial"/>
                <w:b w:val="0"/>
                <w:sz w:val="18"/>
                <w:rFonts w:ascii="Arial" w:hAnsi="Arial" w:eastAsia="Arial"/>
              </w:rPr>
              <w:t>Selected hubs, demand allocation, cost-service trade-off, capacity risk, seasonal plan, implementation roadmap.</w:t>
            </w:r>
          </w:p>
        </w:tc>
      </w:tr>
    </w:tbl>
    <w:p>
      <w:r>
        <w:br w:type="page"/>
      </w:r>
    </w:p>
    <w:p>
      <w:pPr>
        <w:pStyle w:val="Heading1"/>
      </w:pPr>
      <w:r>
        <w:t>Mục lục</w:t>
      </w:r>
    </w:p>
    <w:p>
      <w:pPr>
        <w:pStyle w:val="ListBullet"/>
      </w:pPr>
      <w:r>
        <w:t>1. Executive Summary</w:t>
      </w:r>
    </w:p>
    <w:p>
      <w:pPr>
        <w:pStyle w:val="ListBullet"/>
      </w:pPr>
      <w:r>
        <w:t>2. Product Vision và bối cảnh quản trị</w:t>
      </w:r>
    </w:p>
    <w:p>
      <w:pPr>
        <w:pStyle w:val="ListBullet"/>
      </w:pPr>
      <w:r>
        <w:t>3. Research Direction và câu hỏi nghiên cứu</w:t>
      </w:r>
    </w:p>
    <w:p>
      <w:pPr>
        <w:pStyle w:val="ListBullet"/>
      </w:pPr>
      <w:r>
        <w:t>4. Data Architecture: từ dữ liệu khách hàng tới O/D matrix</w:t>
      </w:r>
    </w:p>
    <w:p>
      <w:pPr>
        <w:pStyle w:val="ListBullet"/>
      </w:pPr>
      <w:r>
        <w:t>5. Demand Analysis: 17 vùng và seasonal demand</w:t>
      </w:r>
    </w:p>
    <w:p>
      <w:pPr>
        <w:pStyle w:val="ListBullet"/>
      </w:pPr>
      <w:r>
        <w:t>6. Cost Model: transport, warehouse, handling, penalty</w:t>
      </w:r>
    </w:p>
    <w:p>
      <w:pPr>
        <w:pStyle w:val="ListBullet"/>
      </w:pPr>
      <w:r>
        <w:t>7. Optimization Engine: P-median, UFLP, CFLP, MCLP</w:t>
      </w:r>
    </w:p>
    <w:p>
      <w:pPr>
        <w:pStyle w:val="ListBullet"/>
      </w:pPr>
      <w:r>
        <w:t>8. Current Network Diagnosis</w:t>
      </w:r>
    </w:p>
    <w:p>
      <w:pPr>
        <w:pStyle w:val="ListBullet"/>
      </w:pPr>
      <w:r>
        <w:t>9. Candidate Hub Evaluation</w:t>
      </w:r>
    </w:p>
    <w:p>
      <w:pPr>
        <w:pStyle w:val="ListBullet"/>
      </w:pPr>
      <w:r>
        <w:t>10. Scenario Analysis và outcome chuẩn senior manager</w:t>
      </w:r>
    </w:p>
    <w:p>
      <w:pPr>
        <w:pStyle w:val="ListBullet"/>
      </w:pPr>
      <w:r>
        <w:t>11. Seasonal Demand Extension và kế hoạch peak season</w:t>
      </w:r>
    </w:p>
    <w:p>
      <w:pPr>
        <w:pStyle w:val="ListBullet"/>
      </w:pPr>
      <w:r>
        <w:t>12. Product Engine Output và Dashboard Requirements</w:t>
      </w:r>
    </w:p>
    <w:p>
      <w:pPr>
        <w:pStyle w:val="ListBullet"/>
      </w:pPr>
      <w:r>
        <w:t>13. Research &amp; Product Roadmap</w:t>
      </w:r>
    </w:p>
    <w:p>
      <w:pPr>
        <w:pStyle w:val="ListBullet"/>
      </w:pPr>
      <w:r>
        <w:t>14. Team Workplan cho 3 thành viên</w:t>
      </w:r>
    </w:p>
    <w:p>
      <w:pPr>
        <w:pStyle w:val="ListBullet"/>
      </w:pPr>
      <w:r>
        <w:t>15. Risks, assumptions và limitations</w:t>
      </w:r>
    </w:p>
    <w:p>
      <w:pPr>
        <w:pStyle w:val="ListBullet"/>
      </w:pPr>
      <w:r>
        <w:t>16. Conclusion</w:t>
      </w:r>
    </w:p>
    <w:p>
      <w:pPr>
        <w:pStyle w:val="ListBullet"/>
      </w:pPr>
      <w:r>
        <w:t>Appendix A. Data schema</w:t>
      </w:r>
    </w:p>
    <w:p>
      <w:pPr>
        <w:pStyle w:val="ListBullet"/>
      </w:pPr>
      <w:r>
        <w:t>Appendix B. Formula summary</w:t>
      </w:r>
    </w:p>
    <w:p>
      <w:pPr>
        <w:pStyle w:val="ListBullet"/>
      </w:pPr>
      <w:r>
        <w:t>Appendix C. Source references</w:t>
      </w:r>
    </w:p>
    <w:p>
      <w:r>
        <w:br w:type="page"/>
      </w:r>
    </w:p>
    <w:p>
      <w:pPr>
        <w:pStyle w:val="Heading1"/>
      </w:pPr>
      <w:r>
        <w:t>1. Executive Summary</w:t>
      </w:r>
    </w:p>
    <w:p>
      <w:r>
        <w:t>Báo cáo này định hình LogiHub Intelligence như một sản phẩm công nghệ hỗ trợ nhà quản lý logistics tự động hoạch định chiến lược phân bổ kho bãi và logistics hub. Sản phẩm không dừng ở việc hiển thị bản đồ hoặc chạy một mô hình tối ưu đơn lẻ; mục tiêu là tạo ra một engine ra quyết định có khả năng hiểu demand theo vùng, phân tích chi phí, kiểm tra capacity, mô phỏng seasonal demand, so sánh nhiều kịch bản và chuyển kết quả thành khuyến nghị triển khai.</w:t>
      </w:r>
    </w:p>
    <w:p>
      <w:r>
        <w:t>Trong giai đoạn nghiên cứu, nhóm có thể dùng public Freight O/D data và warehouse registration data của Hàn Quốc làm proxy. Trong sản phẩm thật, dữ liệu này sẽ được thay bằng dữ liệu nội bộ của khách hàng như shipment history, order records, factory locations, warehouse master, customer/dealer/service center locations, transportation cost, lead time và capacity. Engine sẽ chuyển dữ liệu thô đó thành enterprise-specific O/D matrix để chạy mô hình tối ưu.</w:t>
      </w:r>
    </w:p>
    <w:p>
      <w:pPr>
        <w:pStyle w:val="ListBullet"/>
      </w:pPr>
      <w:r>
        <w:t>Outcome chiến lược: đề xuất nên mở bao nhiêu hub, đặt ở đâu, vùng nào được phục vụ bởi hub nào.</w:t>
      </w:r>
    </w:p>
    <w:p>
      <w:pPr>
        <w:pStyle w:val="ListBullet"/>
      </w:pPr>
      <w:r>
        <w:t>Outcome tài chính: so sánh total logistics cost theo từng scenario, gồm transport cost, warehouse fixed cost, handling cost, penalty cost và seasonal temporary capacity cost.</w:t>
      </w:r>
    </w:p>
    <w:p>
      <w:pPr>
        <w:pStyle w:val="ListBullet"/>
      </w:pPr>
      <w:r>
        <w:t>Outcome vận hành: kiểm tra hub utilization, overload risk, service coverage và high-cost lanes.</w:t>
      </w:r>
    </w:p>
    <w:p>
      <w:pPr>
        <w:pStyle w:val="ListBullet"/>
      </w:pPr>
      <w:r>
        <w:t>Outcome seasonal: xác định peak-month capacity gap và đề xuất pre-positioning, temporary 3PL capacity hoặc seasonal cross-dock.</w:t>
      </w:r>
    </w:p>
    <w:p>
      <w:pPr>
        <w:pStyle w:val="ListBullet"/>
      </w:pPr>
      <w:r>
        <w:t>Outcome sản phẩm: dashboard, map, scenario comparison, recommendation summary và business case generator.</w:t>
      </w:r>
    </w:p>
    <w:p>
      <w:pPr>
        <w:pStyle w:val="Heading1"/>
      </w:pPr>
      <w:r>
        <w:t>2. Product Vision và bối cảnh quản trị</w:t>
      </w:r>
    </w:p>
    <w:p>
      <w:pPr>
        <w:pStyle w:val="Heading2"/>
      </w:pPr>
      <w:r>
        <w:t>2.1. Vấn đề của logistics manager</w:t>
      </w:r>
    </w:p>
    <w:p>
      <w:r>
        <w:t>Một senior supply chain manager không chỉ cần câu trả lời “hub nào tối ưu”. Họ cần một bản phân tích có đủ demand, cost, capacity, service và risk để trình bày với finance, operations và executive team. Nếu chỉ có map marker hoặc objective value, sản phẩm vẫn chỉ là demo kỹ thuật. Để trở thành sản phẩm doanh nghiệp, hệ thống phải trả lời được bảy câu hỏi quản trị:</w:t>
      </w:r>
    </w:p>
    <w:p>
      <w:pPr>
        <w:ind w:left="360" w:hanging="259"/>
      </w:pPr>
      <w:r>
        <w:rPr>
          <w:rFonts w:ascii="Arial" w:hAnsi="Arial"/>
          <w:sz w:val="19"/>
        </w:rPr>
        <w:t>1.  Demand thật của doanh nghiệp đang nằm ở đâu trong 17 vùng?</w:t>
      </w:r>
    </w:p>
    <w:p>
      <w:pPr>
        <w:ind w:left="360" w:hanging="259"/>
      </w:pPr>
      <w:r>
        <w:rPr>
          <w:rFonts w:ascii="Arial" w:hAnsi="Arial"/>
          <w:sz w:val="19"/>
        </w:rPr>
        <w:t>2.  Mạng lưới hiện tại đang tốn chi phí ở tuyến nào?</w:t>
      </w:r>
    </w:p>
    <w:p>
      <w:pPr>
        <w:ind w:left="360" w:hanging="259"/>
      </w:pPr>
      <w:r>
        <w:rPr>
          <w:rFonts w:ascii="Arial" w:hAnsi="Arial"/>
          <w:sz w:val="19"/>
        </w:rPr>
        <w:t>3.  Hub hiện tại có đang bị quá tải hoặc dư tải không?</w:t>
      </w:r>
    </w:p>
    <w:p>
      <w:pPr>
        <w:ind w:left="360" w:hanging="259"/>
      </w:pPr>
      <w:r>
        <w:rPr>
          <w:rFonts w:ascii="Arial" w:hAnsi="Arial"/>
          <w:sz w:val="19"/>
        </w:rPr>
        <w:t>4.  Nên mở bao nhiêu hub và đặt hub ở đâu?</w:t>
      </w:r>
    </w:p>
    <w:p>
      <w:pPr>
        <w:ind w:left="360" w:hanging="259"/>
      </w:pPr>
      <w:r>
        <w:rPr>
          <w:rFonts w:ascii="Arial" w:hAnsi="Arial"/>
          <w:sz w:val="19"/>
        </w:rPr>
        <w:t>5.  Mỗi vùng nên được phục vụ bởi hub nào?</w:t>
      </w:r>
    </w:p>
    <w:p>
      <w:pPr>
        <w:ind w:left="360" w:hanging="259"/>
      </w:pPr>
      <w:r>
        <w:rPr>
          <w:rFonts w:ascii="Arial" w:hAnsi="Arial"/>
          <w:sz w:val="19"/>
        </w:rPr>
        <w:t>6.  Seasonal demand làm thay đổi kết quả capacity và cost như thế nào?</w:t>
      </w:r>
    </w:p>
    <w:p>
      <w:pPr>
        <w:ind w:left="360" w:hanging="259"/>
      </w:pPr>
      <w:r>
        <w:rPr>
          <w:rFonts w:ascii="Arial" w:hAnsi="Arial"/>
          <w:sz w:val="19"/>
        </w:rPr>
        <w:t>7.  Scenario nào đáng triển khai nhất và roadmap triển khai là gì?</w:t>
      </w:r>
    </w:p>
    <w:p>
      <w:pPr>
        <w:pStyle w:val="Heading2"/>
      </w:pPr>
      <w:r>
        <w:t>2.2. Product one-liner</w:t>
      </w:r>
    </w:p>
    <w:p>
      <w:r>
        <w:t>LogiHub Intelligence converts logistics data into strategic warehouse and hub allocation decisions through optimization models and scenario-based planning.</w:t>
      </w:r>
    </w:p>
    <w:p>
      <w:r>
        <w:t>Tiếng Việt: LogiHub Intelligence biến dữ liệu logistics thành chiến lược phân bổ kho bãi và logistics hub thông qua mô hình tối ưu hóa và so sánh kịch bản.</w:t>
      </w:r>
    </w:p>
    <w:p>
      <w:pPr>
        <w:pStyle w:val="Heading2"/>
      </w:pPr>
      <w:r>
        <w:t>2.3. Sản phẩm hoàn thiện sẽ gồm các module</w:t>
      </w:r>
    </w:p>
    <w:p>
      <w:r>
        <w:rPr>
          <w:b/>
          <w:sz w:val="20"/>
        </w:rPr>
        <w:t>Bảng 1. Product module overview</w:t>
      </w:r>
    </w:p>
    <w:tbl>
      <w:tblPr>
        <w:tblStyle w:val="TableGrid"/>
        <w:tblW w:type="auto" w:w="0"/>
        <w:jc w:val="center"/>
        <w:tblLook w:firstColumn="1" w:firstRow="1" w:lastColumn="0" w:lastRow="0" w:noHBand="0" w:noVBand="1" w:val="04A0"/>
      </w:tblPr>
      <w:tblGrid>
        <w:gridCol w:w="5213"/>
        <w:gridCol w:w="5213"/>
      </w:tblGrid>
      <w:tr>
        <w:tc>
          <w:tcPr>
            <w:tcW w:type="dxa" w:w="5213"/>
            <w:shd w:fill="D9EAF7"/>
            <w:vAlign w:val="center"/>
          </w:tcPr>
          <w:p>
            <w:r/>
            <w:r>
              <w:rPr>
                <w:rFonts w:ascii="Arial" w:hAnsi="Arial"/>
                <w:b/>
                <w:sz w:val="17"/>
                <w:rFonts w:ascii="Arial" w:hAnsi="Arial" w:eastAsia="Arial"/>
              </w:rPr>
              <w:t>Module</w:t>
            </w:r>
          </w:p>
        </w:tc>
        <w:tc>
          <w:tcPr>
            <w:tcW w:type="dxa" w:w="5213"/>
            <w:shd w:fill="D9EAF7"/>
            <w:vAlign w:val="center"/>
          </w:tcPr>
          <w:p>
            <w:r/>
            <w:r>
              <w:rPr>
                <w:rFonts w:ascii="Arial" w:hAnsi="Arial"/>
                <w:b/>
                <w:sz w:val="17"/>
                <w:rFonts w:ascii="Arial" w:hAnsi="Arial" w:eastAsia="Arial"/>
              </w:rPr>
              <w:t>Purpose</w:t>
            </w:r>
          </w:p>
        </w:tc>
      </w:tr>
      <w:tr>
        <w:tc>
          <w:tcPr>
            <w:tcW w:type="dxa" w:w="5213"/>
            <w:vAlign w:val="center"/>
          </w:tcPr>
          <w:p>
            <w:r/>
            <w:r>
              <w:rPr>
                <w:rFonts w:ascii="Arial" w:hAnsi="Arial"/>
                <w:b w:val="0"/>
                <w:sz w:val="17"/>
                <w:rFonts w:ascii="Arial" w:hAnsi="Arial" w:eastAsia="Arial"/>
              </w:rPr>
              <w:t>Data Ingestion</w:t>
            </w:r>
          </w:p>
        </w:tc>
        <w:tc>
          <w:tcPr>
            <w:tcW w:type="dxa" w:w="5213"/>
            <w:vAlign w:val="center"/>
          </w:tcPr>
          <w:p>
            <w:r/>
            <w:r>
              <w:rPr>
                <w:rFonts w:ascii="Arial" w:hAnsi="Arial"/>
                <w:b w:val="0"/>
                <w:sz w:val="17"/>
                <w:rFonts w:ascii="Arial" w:hAnsi="Arial" w:eastAsia="Arial"/>
              </w:rPr>
              <w:t>Upload/kết nối shipment, order, warehouse, factory, customer, cost, lead time, capacity.</w:t>
            </w:r>
          </w:p>
        </w:tc>
      </w:tr>
      <w:tr>
        <w:tc>
          <w:tcPr>
            <w:tcW w:type="dxa" w:w="5213"/>
            <w:vAlign w:val="center"/>
          </w:tcPr>
          <w:p>
            <w:r/>
            <w:r>
              <w:rPr>
                <w:rFonts w:ascii="Arial" w:hAnsi="Arial"/>
                <w:b w:val="0"/>
                <w:sz w:val="17"/>
                <w:rFonts w:ascii="Arial" w:hAnsi="Arial" w:eastAsia="Arial"/>
              </w:rPr>
              <w:t>Network Diagnosis</w:t>
            </w:r>
          </w:p>
        </w:tc>
        <w:tc>
          <w:tcPr>
            <w:tcW w:type="dxa" w:w="5213"/>
            <w:vAlign w:val="center"/>
          </w:tcPr>
          <w:p>
            <w:r/>
            <w:r>
              <w:rPr>
                <w:rFonts w:ascii="Arial" w:hAnsi="Arial"/>
                <w:b w:val="0"/>
                <w:sz w:val="17"/>
                <w:rFonts w:ascii="Arial" w:hAnsi="Arial" w:eastAsia="Arial"/>
              </w:rPr>
              <w:t>Chẩn đoán current network: cost, lead time, utilization, coverage, bottleneck.</w:t>
            </w:r>
          </w:p>
        </w:tc>
      </w:tr>
      <w:tr>
        <w:tc>
          <w:tcPr>
            <w:tcW w:type="dxa" w:w="5213"/>
            <w:vAlign w:val="center"/>
          </w:tcPr>
          <w:p>
            <w:r/>
            <w:r>
              <w:rPr>
                <w:rFonts w:ascii="Arial" w:hAnsi="Arial"/>
                <w:b w:val="0"/>
                <w:sz w:val="17"/>
                <w:rFonts w:ascii="Arial" w:hAnsi="Arial" w:eastAsia="Arial"/>
              </w:rPr>
              <w:t>Freight Flow Analytics</w:t>
            </w:r>
          </w:p>
        </w:tc>
        <w:tc>
          <w:tcPr>
            <w:tcW w:type="dxa" w:w="5213"/>
            <w:vAlign w:val="center"/>
          </w:tcPr>
          <w:p>
            <w:r/>
            <w:r>
              <w:rPr>
                <w:rFonts w:ascii="Arial" w:hAnsi="Arial"/>
                <w:b w:val="0"/>
                <w:sz w:val="17"/>
                <w:rFonts w:ascii="Arial" w:hAnsi="Arial" w:eastAsia="Arial"/>
              </w:rPr>
              <w:t>Phân tích O/D flow, top lanes, regional demand clusters, imbalance.</w:t>
            </w:r>
          </w:p>
        </w:tc>
      </w:tr>
      <w:tr>
        <w:tc>
          <w:tcPr>
            <w:tcW w:type="dxa" w:w="5213"/>
            <w:vAlign w:val="center"/>
          </w:tcPr>
          <w:p>
            <w:r/>
            <w:r>
              <w:rPr>
                <w:rFonts w:ascii="Arial" w:hAnsi="Arial"/>
                <w:b w:val="0"/>
                <w:sz w:val="17"/>
                <w:rFonts w:ascii="Arial" w:hAnsi="Arial" w:eastAsia="Arial"/>
              </w:rPr>
              <w:t>Optimization Engine</w:t>
            </w:r>
          </w:p>
        </w:tc>
        <w:tc>
          <w:tcPr>
            <w:tcW w:type="dxa" w:w="5213"/>
            <w:vAlign w:val="center"/>
          </w:tcPr>
          <w:p>
            <w:r/>
            <w:r>
              <w:rPr>
                <w:rFonts w:ascii="Arial" w:hAnsi="Arial"/>
                <w:b w:val="0"/>
                <w:sz w:val="17"/>
                <w:rFonts w:ascii="Arial" w:hAnsi="Arial" w:eastAsia="Arial"/>
              </w:rPr>
              <w:t>Chạy P-median, UFLP, CFLP, MCLP và seasonal extension.</w:t>
            </w:r>
          </w:p>
        </w:tc>
      </w:tr>
      <w:tr>
        <w:tc>
          <w:tcPr>
            <w:tcW w:type="dxa" w:w="5213"/>
            <w:vAlign w:val="center"/>
          </w:tcPr>
          <w:p>
            <w:r/>
            <w:r>
              <w:rPr>
                <w:rFonts w:ascii="Arial" w:hAnsi="Arial"/>
                <w:b w:val="0"/>
                <w:sz w:val="17"/>
                <w:rFonts w:ascii="Arial" w:hAnsi="Arial" w:eastAsia="Arial"/>
              </w:rPr>
              <w:t>Scenario Simulator</w:t>
            </w:r>
          </w:p>
        </w:tc>
        <w:tc>
          <w:tcPr>
            <w:tcW w:type="dxa" w:w="5213"/>
            <w:vAlign w:val="center"/>
          </w:tcPr>
          <w:p>
            <w:r/>
            <w:r>
              <w:rPr>
                <w:rFonts w:ascii="Arial" w:hAnsi="Arial"/>
                <w:b w:val="0"/>
                <w:sz w:val="17"/>
                <w:rFonts w:ascii="Arial" w:hAnsi="Arial" w:eastAsia="Arial"/>
              </w:rPr>
              <w:t>So sánh current vs optimized; 3/5/7 hubs; capacity-constrained; seasonal peak.</w:t>
            </w:r>
          </w:p>
        </w:tc>
      </w:tr>
      <w:tr>
        <w:tc>
          <w:tcPr>
            <w:tcW w:type="dxa" w:w="5213"/>
            <w:vAlign w:val="center"/>
          </w:tcPr>
          <w:p>
            <w:r/>
            <w:r>
              <w:rPr>
                <w:rFonts w:ascii="Arial" w:hAnsi="Arial"/>
                <w:b w:val="0"/>
                <w:sz w:val="17"/>
                <w:rFonts w:ascii="Arial" w:hAnsi="Arial" w:eastAsia="Arial"/>
              </w:rPr>
              <w:t>Recommendation Engine</w:t>
            </w:r>
          </w:p>
        </w:tc>
        <w:tc>
          <w:tcPr>
            <w:tcW w:type="dxa" w:w="5213"/>
            <w:vAlign w:val="center"/>
          </w:tcPr>
          <w:p>
            <w:r/>
            <w:r>
              <w:rPr>
                <w:rFonts w:ascii="Arial" w:hAnsi="Arial"/>
                <w:b w:val="0"/>
                <w:sz w:val="17"/>
                <w:rFonts w:ascii="Arial" w:hAnsi="Arial" w:eastAsia="Arial"/>
              </w:rPr>
              <w:t>Giải thích phương án nên chọn, why selected, trade-off, action plan.</w:t>
            </w:r>
          </w:p>
        </w:tc>
      </w:tr>
      <w:tr>
        <w:tc>
          <w:tcPr>
            <w:tcW w:type="dxa" w:w="5213"/>
            <w:vAlign w:val="center"/>
          </w:tcPr>
          <w:p>
            <w:r/>
            <w:r>
              <w:rPr>
                <w:rFonts w:ascii="Arial" w:hAnsi="Arial"/>
                <w:b w:val="0"/>
                <w:sz w:val="17"/>
                <w:rFonts w:ascii="Arial" w:hAnsi="Arial" w:eastAsia="Arial"/>
              </w:rPr>
              <w:t>Business Case Generator</w:t>
            </w:r>
          </w:p>
        </w:tc>
        <w:tc>
          <w:tcPr>
            <w:tcW w:type="dxa" w:w="5213"/>
            <w:vAlign w:val="center"/>
          </w:tcPr>
          <w:p>
            <w:r/>
            <w:r>
              <w:rPr>
                <w:rFonts w:ascii="Arial" w:hAnsi="Arial"/>
                <w:b w:val="0"/>
                <w:sz w:val="17"/>
                <w:rFonts w:ascii="Arial" w:hAnsi="Arial" w:eastAsia="Arial"/>
              </w:rPr>
              <w:t>Tạo proposal cho logistics manager trình bày với finance/executive.</w:t>
            </w:r>
          </w:p>
        </w:tc>
      </w:tr>
      <w:tr>
        <w:tc>
          <w:tcPr>
            <w:tcW w:type="dxa" w:w="5213"/>
            <w:vAlign w:val="center"/>
          </w:tcPr>
          <w:p>
            <w:r/>
            <w:r>
              <w:rPr>
                <w:rFonts w:ascii="Arial" w:hAnsi="Arial"/>
                <w:b w:val="0"/>
                <w:sz w:val="17"/>
                <w:rFonts w:ascii="Arial" w:hAnsi="Arial" w:eastAsia="Arial"/>
              </w:rPr>
              <w:t>Dashboard &amp; Map</w:t>
            </w:r>
          </w:p>
        </w:tc>
        <w:tc>
          <w:tcPr>
            <w:tcW w:type="dxa" w:w="5213"/>
            <w:vAlign w:val="center"/>
          </w:tcPr>
          <w:p>
            <w:r/>
            <w:r>
              <w:rPr>
                <w:rFonts w:ascii="Arial" w:hAnsi="Arial"/>
                <w:b w:val="0"/>
                <w:sz w:val="17"/>
                <w:rFonts w:ascii="Arial" w:hAnsi="Arial" w:eastAsia="Arial"/>
              </w:rPr>
              <w:t>Hiển thị map, KPI, scenario table, hub drill-down, lane analytics.</w:t>
            </w:r>
          </w:p>
        </w:tc>
      </w:tr>
    </w:tbl>
    <w:p/>
    <w:p>
      <w:pPr>
        <w:pStyle w:val="Heading1"/>
      </w:pPr>
      <w:r>
        <w:t>3. Research Direction và câu hỏi nghiên cứu</w:t>
      </w:r>
    </w:p>
    <w:p>
      <w:r>
        <w:t>Hướng nghiên cứu chính là phát triển một optimization engine cho bài toán Optimal Logistics Hub Location and Freight Flow Allocation. Engine sẽ dùng dữ liệu O/D để biểu diễn demand, warehouse data để xây candidate hubs, cost/distance matrix để đo chi phí phục vụ từng vùng, và các mô hình facility location để chọn cấu hình network tối ưu.</w:t>
      </w:r>
    </w:p>
    <w:p>
      <w:pPr>
        <w:pStyle w:val="Heading2"/>
      </w:pPr>
      <w:r>
        <w:t>3.1. Main research question</w:t>
      </w:r>
    </w:p>
    <w:p>
      <w:r>
        <w:t>How can enterprise logistics data be transformed into an optimization engine that recommends warehouse and logistics hub allocation strategies under cost, service, capacity and seasonal demand considerations?</w:t>
      </w:r>
    </w:p>
    <w:p>
      <w:pPr>
        <w:pStyle w:val="Heading2"/>
      </w:pPr>
      <w:r>
        <w:t>3.2. Sub research questions</w:t>
      </w:r>
    </w:p>
    <w:p>
      <w:pPr>
        <w:ind w:left="360" w:hanging="259"/>
      </w:pPr>
      <w:r>
        <w:rPr>
          <w:rFonts w:ascii="Arial" w:hAnsi="Arial"/>
          <w:sz w:val="19"/>
        </w:rPr>
        <w:t>1.  How is enterprise demand distributed across the 17 Korean regions?</w:t>
      </w:r>
    </w:p>
    <w:p>
      <w:pPr>
        <w:ind w:left="360" w:hanging="259"/>
      </w:pPr>
      <w:r>
        <w:rPr>
          <w:rFonts w:ascii="Arial" w:hAnsi="Arial"/>
          <w:sz w:val="19"/>
        </w:rPr>
        <w:t>2.  How can raw shipment/order data be transformed into an enterprise-specific O/D matrix?</w:t>
      </w:r>
    </w:p>
    <w:p>
      <w:pPr>
        <w:ind w:left="360" w:hanging="259"/>
      </w:pPr>
      <w:r>
        <w:rPr>
          <w:rFonts w:ascii="Arial" w:hAnsi="Arial"/>
          <w:sz w:val="19"/>
        </w:rPr>
        <w:t>3.  Which candidate locations should be selected as logistics hubs under transportation cost and fixed warehouse cost trade-offs?</w:t>
      </w:r>
    </w:p>
    <w:p>
      <w:pPr>
        <w:ind w:left="360" w:hanging="259"/>
      </w:pPr>
      <w:r>
        <w:rPr>
          <w:rFonts w:ascii="Arial" w:hAnsi="Arial"/>
          <w:sz w:val="19"/>
        </w:rPr>
        <w:t>4.  How should regional demand be allocated to selected hubs?</w:t>
      </w:r>
    </w:p>
    <w:p>
      <w:pPr>
        <w:ind w:left="360" w:hanging="259"/>
      </w:pPr>
      <w:r>
        <w:rPr>
          <w:rFonts w:ascii="Arial" w:hAnsi="Arial"/>
          <w:sz w:val="19"/>
        </w:rPr>
        <w:t>5.  How do capacity constraints affect hub selection and allocation?</w:t>
      </w:r>
    </w:p>
    <w:p>
      <w:pPr>
        <w:ind w:left="360" w:hanging="259"/>
      </w:pPr>
      <w:r>
        <w:rPr>
          <w:rFonts w:ascii="Arial" w:hAnsi="Arial"/>
          <w:sz w:val="19"/>
        </w:rPr>
        <w:t>6.  How does seasonal demand change hub utilization, penalty cost and temporary capacity requirements?</w:t>
      </w:r>
    </w:p>
    <w:p>
      <w:pPr>
        <w:ind w:left="360" w:hanging="259"/>
      </w:pPr>
      <w:r>
        <w:rPr>
          <w:rFonts w:ascii="Arial" w:hAnsi="Arial"/>
          <w:sz w:val="19"/>
        </w:rPr>
        <w:t>7.  Which scenario provides the best balance between cost, service coverage, utilization, risk and implementation complexity?</w:t>
      </w:r>
    </w:p>
    <w:p>
      <w:pPr>
        <w:pStyle w:val="Heading1"/>
      </w:pPr>
      <w:r>
        <w:t>4. Data Architecture: từ dữ liệu khách hàng tới O/D matrix</w:t>
      </w:r>
    </w:p>
    <w:p>
      <w:r>
        <w:t>Trong sản phẩm thật, khách hàng có thể không đưa vào một file gọi là O/D data. Họ sẽ đưa vào shipment records, order history, customer locations, warehouse master, transportation cost hoặc lead time. Engine phải chuẩn hóa các dữ liệu này thành O/D matrix và các bảng input cho optimization model.</w:t>
      </w:r>
    </w:p>
    <w:p>
      <w:r>
        <w:rPr>
          <w:b/>
          <w:sz w:val="20"/>
        </w:rPr>
        <w:t>Bảng 2. Mapping từ dữ liệu khách hàng sang input cho engine</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5"/>
                <w:rFonts w:ascii="Arial" w:hAnsi="Arial" w:eastAsia="Arial"/>
              </w:rPr>
              <w:t>Customer data</w:t>
            </w:r>
          </w:p>
        </w:tc>
        <w:tc>
          <w:tcPr>
            <w:tcW w:type="dxa" w:w="3475"/>
            <w:shd w:fill="D9EAF7"/>
            <w:vAlign w:val="center"/>
          </w:tcPr>
          <w:p>
            <w:r/>
            <w:r>
              <w:rPr>
                <w:rFonts w:ascii="Arial" w:hAnsi="Arial"/>
                <w:b/>
                <w:sz w:val="15"/>
                <w:rFonts w:ascii="Arial" w:hAnsi="Arial" w:eastAsia="Arial"/>
              </w:rPr>
              <w:t>Example fields</w:t>
            </w:r>
          </w:p>
        </w:tc>
        <w:tc>
          <w:tcPr>
            <w:tcW w:type="dxa" w:w="3475"/>
            <w:shd w:fill="D9EAF7"/>
            <w:vAlign w:val="center"/>
          </w:tcPr>
          <w:p>
            <w:r/>
            <w:r>
              <w:rPr>
                <w:rFonts w:ascii="Arial" w:hAnsi="Arial"/>
                <w:b/>
                <w:sz w:val="15"/>
                <w:rFonts w:ascii="Arial" w:hAnsi="Arial" w:eastAsia="Arial"/>
              </w:rPr>
              <w:t>Engine output</w:t>
            </w:r>
          </w:p>
        </w:tc>
      </w:tr>
      <w:tr>
        <w:tc>
          <w:tcPr>
            <w:tcW w:type="dxa" w:w="3475"/>
            <w:vAlign w:val="center"/>
          </w:tcPr>
          <w:p>
            <w:r/>
            <w:r>
              <w:rPr>
                <w:rFonts w:ascii="Arial" w:hAnsi="Arial"/>
                <w:b w:val="0"/>
                <w:sz w:val="15"/>
                <w:rFonts w:ascii="Arial" w:hAnsi="Arial" w:eastAsia="Arial"/>
              </w:rPr>
              <w:t>Shipment history</w:t>
            </w:r>
          </w:p>
        </w:tc>
        <w:tc>
          <w:tcPr>
            <w:tcW w:type="dxa" w:w="3475"/>
            <w:vAlign w:val="center"/>
          </w:tcPr>
          <w:p>
            <w:r/>
            <w:r>
              <w:rPr>
                <w:rFonts w:ascii="Arial" w:hAnsi="Arial"/>
                <w:b w:val="0"/>
                <w:sz w:val="15"/>
                <w:rFonts w:ascii="Arial" w:hAnsi="Arial" w:eastAsia="Arial"/>
              </w:rPr>
              <w:t>shipment_id, origin, destination, quantity, weight, date, product</w:t>
            </w:r>
          </w:p>
        </w:tc>
        <w:tc>
          <w:tcPr>
            <w:tcW w:type="dxa" w:w="3475"/>
            <w:vAlign w:val="center"/>
          </w:tcPr>
          <w:p>
            <w:r/>
            <w:r>
              <w:rPr>
                <w:rFonts w:ascii="Arial" w:hAnsi="Arial"/>
                <w:b w:val="0"/>
                <w:sz w:val="15"/>
                <w:rFonts w:ascii="Arial" w:hAnsi="Arial" w:eastAsia="Arial"/>
              </w:rPr>
              <w:t>Enterprise O/D matrix, volume by region and period</w:t>
            </w:r>
          </w:p>
        </w:tc>
      </w:tr>
      <w:tr>
        <w:tc>
          <w:tcPr>
            <w:tcW w:type="dxa" w:w="3475"/>
            <w:vAlign w:val="center"/>
          </w:tcPr>
          <w:p>
            <w:r/>
            <w:r>
              <w:rPr>
                <w:rFonts w:ascii="Arial" w:hAnsi="Arial"/>
                <w:b w:val="0"/>
                <w:sz w:val="15"/>
                <w:rFonts w:ascii="Arial" w:hAnsi="Arial" w:eastAsia="Arial"/>
              </w:rPr>
              <w:t>Order data</w:t>
            </w:r>
          </w:p>
        </w:tc>
        <w:tc>
          <w:tcPr>
            <w:tcW w:type="dxa" w:w="3475"/>
            <w:vAlign w:val="center"/>
          </w:tcPr>
          <w:p>
            <w:r/>
            <w:r>
              <w:rPr>
                <w:rFonts w:ascii="Arial" w:hAnsi="Arial"/>
                <w:b w:val="0"/>
                <w:sz w:val="15"/>
                <w:rFonts w:ascii="Arial" w:hAnsi="Arial" w:eastAsia="Arial"/>
              </w:rPr>
              <w:t>order_id, customer, quantity, promised_date, channel</w:t>
            </w:r>
          </w:p>
        </w:tc>
        <w:tc>
          <w:tcPr>
            <w:tcW w:type="dxa" w:w="3475"/>
            <w:vAlign w:val="center"/>
          </w:tcPr>
          <w:p>
            <w:r/>
            <w:r>
              <w:rPr>
                <w:rFonts w:ascii="Arial" w:hAnsi="Arial"/>
                <w:b w:val="0"/>
                <w:sz w:val="15"/>
                <w:rFonts w:ascii="Arial" w:hAnsi="Arial" w:eastAsia="Arial"/>
              </w:rPr>
              <w:t>Demand by customer/region, service requirement</w:t>
            </w:r>
          </w:p>
        </w:tc>
      </w:tr>
      <w:tr>
        <w:tc>
          <w:tcPr>
            <w:tcW w:type="dxa" w:w="3475"/>
            <w:vAlign w:val="center"/>
          </w:tcPr>
          <w:p>
            <w:r/>
            <w:r>
              <w:rPr>
                <w:rFonts w:ascii="Arial" w:hAnsi="Arial"/>
                <w:b w:val="0"/>
                <w:sz w:val="15"/>
                <w:rFonts w:ascii="Arial" w:hAnsi="Arial" w:eastAsia="Arial"/>
              </w:rPr>
              <w:t>Warehouse master</w:t>
            </w:r>
          </w:p>
        </w:tc>
        <w:tc>
          <w:tcPr>
            <w:tcW w:type="dxa" w:w="3475"/>
            <w:vAlign w:val="center"/>
          </w:tcPr>
          <w:p>
            <w:r/>
            <w:r>
              <w:rPr>
                <w:rFonts w:ascii="Arial" w:hAnsi="Arial"/>
                <w:b w:val="0"/>
                <w:sz w:val="15"/>
                <w:rFonts w:ascii="Arial" w:hAnsi="Arial" w:eastAsia="Arial"/>
              </w:rPr>
              <w:t>warehouse_id, address, area, capacity, type, cost</w:t>
            </w:r>
          </w:p>
        </w:tc>
        <w:tc>
          <w:tcPr>
            <w:tcW w:type="dxa" w:w="3475"/>
            <w:vAlign w:val="center"/>
          </w:tcPr>
          <w:p>
            <w:r/>
            <w:r>
              <w:rPr>
                <w:rFonts w:ascii="Arial" w:hAnsi="Arial"/>
                <w:b w:val="0"/>
                <w:sz w:val="15"/>
                <w:rFonts w:ascii="Arial" w:hAnsi="Arial" w:eastAsia="Arial"/>
              </w:rPr>
              <w:t>Candidate hub set J, capacity Cap_j, fixed cost F_j</w:t>
            </w:r>
          </w:p>
        </w:tc>
      </w:tr>
      <w:tr>
        <w:tc>
          <w:tcPr>
            <w:tcW w:type="dxa" w:w="3475"/>
            <w:vAlign w:val="center"/>
          </w:tcPr>
          <w:p>
            <w:r/>
            <w:r>
              <w:rPr>
                <w:rFonts w:ascii="Arial" w:hAnsi="Arial"/>
                <w:b w:val="0"/>
                <w:sz w:val="15"/>
                <w:rFonts w:ascii="Arial" w:hAnsi="Arial" w:eastAsia="Arial"/>
              </w:rPr>
              <w:t>Factory/supplier data</w:t>
            </w:r>
          </w:p>
        </w:tc>
        <w:tc>
          <w:tcPr>
            <w:tcW w:type="dxa" w:w="3475"/>
            <w:vAlign w:val="center"/>
          </w:tcPr>
          <w:p>
            <w:r/>
            <w:r>
              <w:rPr>
                <w:rFonts w:ascii="Arial" w:hAnsi="Arial"/>
                <w:b w:val="0"/>
                <w:sz w:val="15"/>
                <w:rFonts w:ascii="Arial" w:hAnsi="Arial" w:eastAsia="Arial"/>
              </w:rPr>
              <w:t>factory_id, location, product line</w:t>
            </w:r>
          </w:p>
        </w:tc>
        <w:tc>
          <w:tcPr>
            <w:tcW w:type="dxa" w:w="3475"/>
            <w:vAlign w:val="center"/>
          </w:tcPr>
          <w:p>
            <w:r/>
            <w:r>
              <w:rPr>
                <w:rFonts w:ascii="Arial" w:hAnsi="Arial"/>
                <w:b w:val="0"/>
                <w:sz w:val="15"/>
                <w:rFonts w:ascii="Arial" w:hAnsi="Arial" w:eastAsia="Arial"/>
              </w:rPr>
              <w:t>Supply origin and production cluster</w:t>
            </w:r>
          </w:p>
        </w:tc>
      </w:tr>
      <w:tr>
        <w:tc>
          <w:tcPr>
            <w:tcW w:type="dxa" w:w="3475"/>
            <w:vAlign w:val="center"/>
          </w:tcPr>
          <w:p>
            <w:r/>
            <w:r>
              <w:rPr>
                <w:rFonts w:ascii="Arial" w:hAnsi="Arial"/>
                <w:b w:val="0"/>
                <w:sz w:val="15"/>
                <w:rFonts w:ascii="Arial" w:hAnsi="Arial" w:eastAsia="Arial"/>
              </w:rPr>
              <w:t>Customer/dealer/service center data</w:t>
            </w:r>
          </w:p>
        </w:tc>
        <w:tc>
          <w:tcPr>
            <w:tcW w:type="dxa" w:w="3475"/>
            <w:vAlign w:val="center"/>
          </w:tcPr>
          <w:p>
            <w:r/>
            <w:r>
              <w:rPr>
                <w:rFonts w:ascii="Arial" w:hAnsi="Arial"/>
                <w:b w:val="0"/>
                <w:sz w:val="15"/>
                <w:rFonts w:ascii="Arial" w:hAnsi="Arial" w:eastAsia="Arial"/>
              </w:rPr>
              <w:t>location_id, region, demand, SLA</w:t>
            </w:r>
          </w:p>
        </w:tc>
        <w:tc>
          <w:tcPr>
            <w:tcW w:type="dxa" w:w="3475"/>
            <w:vAlign w:val="center"/>
          </w:tcPr>
          <w:p>
            <w:r/>
            <w:r>
              <w:rPr>
                <w:rFonts w:ascii="Arial" w:hAnsi="Arial"/>
                <w:b w:val="0"/>
                <w:sz w:val="15"/>
                <w:rFonts w:ascii="Arial" w:hAnsi="Arial" w:eastAsia="Arial"/>
              </w:rPr>
              <w:t>Demand points I and service coverage</w:t>
            </w:r>
          </w:p>
        </w:tc>
      </w:tr>
      <w:tr>
        <w:tc>
          <w:tcPr>
            <w:tcW w:type="dxa" w:w="3475"/>
            <w:vAlign w:val="center"/>
          </w:tcPr>
          <w:p>
            <w:r/>
            <w:r>
              <w:rPr>
                <w:rFonts w:ascii="Arial" w:hAnsi="Arial"/>
                <w:b w:val="0"/>
                <w:sz w:val="15"/>
                <w:rFonts w:ascii="Arial" w:hAnsi="Arial" w:eastAsia="Arial"/>
              </w:rPr>
              <w:t>Transport cost table</w:t>
            </w:r>
          </w:p>
        </w:tc>
        <w:tc>
          <w:tcPr>
            <w:tcW w:type="dxa" w:w="3475"/>
            <w:vAlign w:val="center"/>
          </w:tcPr>
          <w:p>
            <w:r/>
            <w:r>
              <w:rPr>
                <w:rFonts w:ascii="Arial" w:hAnsi="Arial"/>
                <w:b w:val="0"/>
                <w:sz w:val="15"/>
                <w:rFonts w:ascii="Arial" w:hAnsi="Arial" w:eastAsia="Arial"/>
              </w:rPr>
              <w:t>origin, destination, mode, cost/unit, carrier</w:t>
            </w:r>
          </w:p>
        </w:tc>
        <w:tc>
          <w:tcPr>
            <w:tcW w:type="dxa" w:w="3475"/>
            <w:vAlign w:val="center"/>
          </w:tcPr>
          <w:p>
            <w:r/>
            <w:r>
              <w:rPr>
                <w:rFonts w:ascii="Arial" w:hAnsi="Arial"/>
                <w:b w:val="0"/>
                <w:sz w:val="15"/>
                <w:rFonts w:ascii="Arial" w:hAnsi="Arial" w:eastAsia="Arial"/>
              </w:rPr>
              <w:t>Cost matrix C_ij or lane-specific cost</w:t>
            </w:r>
          </w:p>
        </w:tc>
      </w:tr>
      <w:tr>
        <w:tc>
          <w:tcPr>
            <w:tcW w:type="dxa" w:w="3475"/>
            <w:vAlign w:val="center"/>
          </w:tcPr>
          <w:p>
            <w:r/>
            <w:r>
              <w:rPr>
                <w:rFonts w:ascii="Arial" w:hAnsi="Arial"/>
                <w:b w:val="0"/>
                <w:sz w:val="15"/>
                <w:rFonts w:ascii="Arial" w:hAnsi="Arial" w:eastAsia="Arial"/>
              </w:rPr>
              <w:t>Lead time table</w:t>
            </w:r>
          </w:p>
        </w:tc>
        <w:tc>
          <w:tcPr>
            <w:tcW w:type="dxa" w:w="3475"/>
            <w:vAlign w:val="center"/>
          </w:tcPr>
          <w:p>
            <w:r/>
            <w:r>
              <w:rPr>
                <w:rFonts w:ascii="Arial" w:hAnsi="Arial"/>
                <w:b w:val="0"/>
                <w:sz w:val="15"/>
                <w:rFonts w:ascii="Arial" w:hAnsi="Arial" w:eastAsia="Arial"/>
              </w:rPr>
              <w:t>origin, destination, mode, average lead time</w:t>
            </w:r>
          </w:p>
        </w:tc>
        <w:tc>
          <w:tcPr>
            <w:tcW w:type="dxa" w:w="3475"/>
            <w:vAlign w:val="center"/>
          </w:tcPr>
          <w:p>
            <w:r/>
            <w:r>
              <w:rPr>
                <w:rFonts w:ascii="Arial" w:hAnsi="Arial"/>
                <w:b w:val="0"/>
                <w:sz w:val="15"/>
                <w:rFonts w:ascii="Arial" w:hAnsi="Arial" w:eastAsia="Arial"/>
              </w:rPr>
              <w:t>Service matrix and SLA risk</w:t>
            </w:r>
          </w:p>
        </w:tc>
      </w:tr>
      <w:tr>
        <w:tc>
          <w:tcPr>
            <w:tcW w:type="dxa" w:w="3475"/>
            <w:vAlign w:val="center"/>
          </w:tcPr>
          <w:p>
            <w:r/>
            <w:r>
              <w:rPr>
                <w:rFonts w:ascii="Arial" w:hAnsi="Arial"/>
                <w:b w:val="0"/>
                <w:sz w:val="15"/>
                <w:rFonts w:ascii="Arial" w:hAnsi="Arial" w:eastAsia="Arial"/>
              </w:rPr>
              <w:t>Seasonal forecast</w:t>
            </w:r>
          </w:p>
        </w:tc>
        <w:tc>
          <w:tcPr>
            <w:tcW w:type="dxa" w:w="3475"/>
            <w:vAlign w:val="center"/>
          </w:tcPr>
          <w:p>
            <w:r/>
            <w:r>
              <w:rPr>
                <w:rFonts w:ascii="Arial" w:hAnsi="Arial"/>
                <w:b w:val="0"/>
                <w:sz w:val="15"/>
                <w:rFonts w:ascii="Arial" w:hAnsi="Arial" w:eastAsia="Arial"/>
              </w:rPr>
              <w:t>region, month, forecast volume, promo/launch flag</w:t>
            </w:r>
          </w:p>
        </w:tc>
        <w:tc>
          <w:tcPr>
            <w:tcW w:type="dxa" w:w="3475"/>
            <w:vAlign w:val="center"/>
          </w:tcPr>
          <w:p>
            <w:r/>
            <w:r>
              <w:rPr>
                <w:rFonts w:ascii="Arial" w:hAnsi="Arial"/>
                <w:b w:val="0"/>
                <w:sz w:val="15"/>
                <w:rFonts w:ascii="Arial" w:hAnsi="Arial" w:eastAsia="Arial"/>
              </w:rPr>
              <w:t>Multi-period demand D_it</w:t>
            </w:r>
          </w:p>
        </w:tc>
      </w:tr>
    </w:tbl>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Customer raw data -&gt; cleaned shipment/order records -&gt; enterprise O/D matrix</w:t>
            </w:r>
          </w:p>
          <w:p>
            <w:r>
              <w:rPr>
                <w:rFonts w:ascii="Consolas" w:hAnsi="Consolas"/>
                <w:sz w:val="18"/>
              </w:rPr>
              <w:t>O/D matrix -&gt; regional demand h_i or period-specific demand D_i,t</w:t>
            </w:r>
          </w:p>
          <w:p>
            <w:r>
              <w:rPr>
                <w:rFonts w:ascii="Consolas" w:hAnsi="Consolas"/>
                <w:sz w:val="18"/>
              </w:rPr>
              <w:t>Warehouse data -&gt; candidate hubs J, fixed cost f_j, capacity Cap_j</w:t>
            </w:r>
          </w:p>
          <w:p>
            <w:r>
              <w:rPr>
                <w:rFonts w:ascii="Consolas" w:hAnsi="Consolas"/>
                <w:sz w:val="18"/>
              </w:rPr>
              <w:t>Distance/cost data -&gt; cost matrix c_i,j</w:t>
            </w:r>
          </w:p>
          <w:p>
            <w:r>
              <w:rPr>
                <w:rFonts w:ascii="Consolas" w:hAnsi="Consolas"/>
                <w:sz w:val="18"/>
              </w:rPr>
              <w:t>h_i + J + f_j + c_i,j + Cap_j -&gt; optimization engine -&gt; strategy recommendation</w:t>
            </w:r>
          </w:p>
        </w:tc>
      </w:tr>
    </w:tbl>
    <w:p/>
    <w:p>
      <w:pPr>
        <w:pStyle w:val="Heading1"/>
      </w:pPr>
      <w:r>
        <w:t>5. Demand Analysis: 17 vùng và seasonal demand</w:t>
      </w:r>
    </w:p>
    <w:p>
      <w:pPr>
        <w:pStyle w:val="Heading2"/>
      </w:pPr>
      <w:r>
        <w:t>5.1. Annual demand by 17 regions</w:t>
      </w:r>
    </w:p>
    <w:p>
      <w:r>
        <w:t>Bảng dưới đây là mock enterprise demand profile, dùng để minh họa outcome mà sản phẩm phải tạo được. Khi có dữ liệu thật, annual demand sẽ được tính từ shipment/order data của doanh nghiệp.</w:t>
      </w:r>
    </w:p>
    <w:p>
      <w:r>
        <w:rPr>
          <w:b/>
          <w:sz w:val="20"/>
        </w:rPr>
        <w:t>Bảng 3. Demand profile theo 17 vùng</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AF7"/>
            <w:vAlign w:val="center"/>
          </w:tcPr>
          <w:p>
            <w:r/>
            <w:r>
              <w:rPr>
                <w:rFonts w:ascii="Arial" w:hAnsi="Arial"/>
                <w:b/>
                <w:sz w:val="15"/>
                <w:rFonts w:ascii="Arial" w:hAnsi="Arial" w:eastAsia="Arial"/>
              </w:rPr>
              <w:t>Region</w:t>
            </w:r>
          </w:p>
        </w:tc>
        <w:tc>
          <w:tcPr>
            <w:tcW w:type="dxa" w:w="2606"/>
            <w:shd w:fill="D9EAF7"/>
            <w:vAlign w:val="center"/>
          </w:tcPr>
          <w:p>
            <w:r/>
            <w:r>
              <w:rPr>
                <w:rFonts w:ascii="Arial" w:hAnsi="Arial"/>
                <w:b/>
                <w:sz w:val="15"/>
                <w:rFonts w:ascii="Arial" w:hAnsi="Arial" w:eastAsia="Arial"/>
              </w:rPr>
              <w:t>Annual demand</w:t>
            </w:r>
          </w:p>
        </w:tc>
        <w:tc>
          <w:tcPr>
            <w:tcW w:type="dxa" w:w="2606"/>
            <w:shd w:fill="D9EAF7"/>
            <w:vAlign w:val="center"/>
          </w:tcPr>
          <w:p>
            <w:r/>
            <w:r>
              <w:rPr>
                <w:rFonts w:ascii="Arial" w:hAnsi="Arial"/>
                <w:b/>
                <w:sz w:val="15"/>
                <w:rFonts w:ascii="Arial" w:hAnsi="Arial" w:eastAsia="Arial"/>
              </w:rPr>
              <w:t>Share</w:t>
            </w:r>
          </w:p>
        </w:tc>
        <w:tc>
          <w:tcPr>
            <w:tcW w:type="dxa" w:w="2606"/>
            <w:shd w:fill="D9EAF7"/>
            <w:vAlign w:val="center"/>
          </w:tcPr>
          <w:p>
            <w:r/>
            <w:r>
              <w:rPr>
                <w:rFonts w:ascii="Arial" w:hAnsi="Arial"/>
                <w:b/>
                <w:sz w:val="15"/>
                <w:rFonts w:ascii="Arial" w:hAnsi="Arial" w:eastAsia="Arial"/>
              </w:rPr>
              <w:t>Characteristic</w:t>
            </w:r>
          </w:p>
        </w:tc>
      </w:tr>
      <w:tr>
        <w:tc>
          <w:tcPr>
            <w:tcW w:type="dxa" w:w="2606"/>
            <w:vAlign w:val="center"/>
          </w:tcPr>
          <w:p>
            <w:r/>
            <w:r>
              <w:rPr>
                <w:rFonts w:ascii="Arial" w:hAnsi="Arial"/>
                <w:b w:val="0"/>
                <w:sz w:val="15"/>
                <w:rFonts w:ascii="Arial" w:hAnsi="Arial" w:eastAsia="Arial"/>
              </w:rPr>
              <w:t>Seoul</w:t>
            </w:r>
          </w:p>
        </w:tc>
        <w:tc>
          <w:tcPr>
            <w:tcW w:type="dxa" w:w="2606"/>
            <w:vAlign w:val="center"/>
          </w:tcPr>
          <w:p>
            <w:r/>
            <w:r>
              <w:rPr>
                <w:rFonts w:ascii="Arial" w:hAnsi="Arial"/>
                <w:b w:val="0"/>
                <w:sz w:val="15"/>
                <w:rFonts w:ascii="Arial" w:hAnsi="Arial" w:eastAsia="Arial"/>
              </w:rPr>
              <w:t>140,000</w:t>
            </w:r>
          </w:p>
        </w:tc>
        <w:tc>
          <w:tcPr>
            <w:tcW w:type="dxa" w:w="2606"/>
            <w:vAlign w:val="center"/>
          </w:tcPr>
          <w:p>
            <w:r/>
            <w:r>
              <w:rPr>
                <w:rFonts w:ascii="Arial" w:hAnsi="Arial"/>
                <w:b w:val="0"/>
                <w:sz w:val="15"/>
                <w:rFonts w:ascii="Arial" w:hAnsi="Arial" w:eastAsia="Arial"/>
              </w:rPr>
              <w:t>11.7%</w:t>
            </w:r>
          </w:p>
        </w:tc>
        <w:tc>
          <w:tcPr>
            <w:tcW w:type="dxa" w:w="2606"/>
            <w:vAlign w:val="center"/>
          </w:tcPr>
          <w:p>
            <w:r/>
            <w:r>
              <w:rPr>
                <w:rFonts w:ascii="Arial" w:hAnsi="Arial"/>
                <w:b w:val="0"/>
                <w:sz w:val="15"/>
                <w:rFonts w:ascii="Arial" w:hAnsi="Arial" w:eastAsia="Arial"/>
              </w:rPr>
              <w:t>High urban demand</w:t>
            </w:r>
          </w:p>
        </w:tc>
      </w:tr>
      <w:tr>
        <w:tc>
          <w:tcPr>
            <w:tcW w:type="dxa" w:w="2606"/>
            <w:vAlign w:val="center"/>
          </w:tcPr>
          <w:p>
            <w:r/>
            <w:r>
              <w:rPr>
                <w:rFonts w:ascii="Arial" w:hAnsi="Arial"/>
                <w:b w:val="0"/>
                <w:sz w:val="15"/>
                <w:rFonts w:ascii="Arial" w:hAnsi="Arial" w:eastAsia="Arial"/>
              </w:rPr>
              <w:t>Busan</w:t>
            </w:r>
          </w:p>
        </w:tc>
        <w:tc>
          <w:tcPr>
            <w:tcW w:type="dxa" w:w="2606"/>
            <w:vAlign w:val="center"/>
          </w:tcPr>
          <w:p>
            <w:r/>
            <w:r>
              <w:rPr>
                <w:rFonts w:ascii="Arial" w:hAnsi="Arial"/>
                <w:b w:val="0"/>
                <w:sz w:val="15"/>
                <w:rFonts w:ascii="Arial" w:hAnsi="Arial" w:eastAsia="Arial"/>
              </w:rPr>
              <w:t>90,000</w:t>
            </w:r>
          </w:p>
        </w:tc>
        <w:tc>
          <w:tcPr>
            <w:tcW w:type="dxa" w:w="2606"/>
            <w:vAlign w:val="center"/>
          </w:tcPr>
          <w:p>
            <w:r/>
            <w:r>
              <w:rPr>
                <w:rFonts w:ascii="Arial" w:hAnsi="Arial"/>
                <w:b w:val="0"/>
                <w:sz w:val="15"/>
                <w:rFonts w:ascii="Arial" w:hAnsi="Arial" w:eastAsia="Arial"/>
              </w:rPr>
              <w:t>7.5%</w:t>
            </w:r>
          </w:p>
        </w:tc>
        <w:tc>
          <w:tcPr>
            <w:tcW w:type="dxa" w:w="2606"/>
            <w:vAlign w:val="center"/>
          </w:tcPr>
          <w:p>
            <w:r/>
            <w:r>
              <w:rPr>
                <w:rFonts w:ascii="Arial" w:hAnsi="Arial"/>
                <w:b w:val="0"/>
                <w:sz w:val="15"/>
                <w:rFonts w:ascii="Arial" w:hAnsi="Arial" w:eastAsia="Arial"/>
              </w:rPr>
              <w:t>Southern demand + port-related</w:t>
            </w:r>
          </w:p>
        </w:tc>
      </w:tr>
      <w:tr>
        <w:tc>
          <w:tcPr>
            <w:tcW w:type="dxa" w:w="2606"/>
            <w:vAlign w:val="center"/>
          </w:tcPr>
          <w:p>
            <w:r/>
            <w:r>
              <w:rPr>
                <w:rFonts w:ascii="Arial" w:hAnsi="Arial"/>
                <w:b w:val="0"/>
                <w:sz w:val="15"/>
                <w:rFonts w:ascii="Arial" w:hAnsi="Arial" w:eastAsia="Arial"/>
              </w:rPr>
              <w:t>Daegu</w:t>
            </w:r>
          </w:p>
        </w:tc>
        <w:tc>
          <w:tcPr>
            <w:tcW w:type="dxa" w:w="2606"/>
            <w:vAlign w:val="center"/>
          </w:tcPr>
          <w:p>
            <w:r/>
            <w:r>
              <w:rPr>
                <w:rFonts w:ascii="Arial" w:hAnsi="Arial"/>
                <w:b w:val="0"/>
                <w:sz w:val="15"/>
                <w:rFonts w:ascii="Arial" w:hAnsi="Arial" w:eastAsia="Arial"/>
              </w:rPr>
              <w:t>65,000</w:t>
            </w:r>
          </w:p>
        </w:tc>
        <w:tc>
          <w:tcPr>
            <w:tcW w:type="dxa" w:w="2606"/>
            <w:vAlign w:val="center"/>
          </w:tcPr>
          <w:p>
            <w:r/>
            <w:r>
              <w:rPr>
                <w:rFonts w:ascii="Arial" w:hAnsi="Arial"/>
                <w:b w:val="0"/>
                <w:sz w:val="15"/>
                <w:rFonts w:ascii="Arial" w:hAnsi="Arial" w:eastAsia="Arial"/>
              </w:rPr>
              <w:t>5.4%</w:t>
            </w:r>
          </w:p>
        </w:tc>
        <w:tc>
          <w:tcPr>
            <w:tcW w:type="dxa" w:w="2606"/>
            <w:vAlign w:val="center"/>
          </w:tcPr>
          <w:p>
            <w:r/>
            <w:r>
              <w:rPr>
                <w:rFonts w:ascii="Arial" w:hAnsi="Arial"/>
                <w:b w:val="0"/>
                <w:sz w:val="15"/>
                <w:rFonts w:ascii="Arial" w:hAnsi="Arial" w:eastAsia="Arial"/>
              </w:rPr>
              <w:t>Inland industrial demand</w:t>
            </w:r>
          </w:p>
        </w:tc>
      </w:tr>
      <w:tr>
        <w:tc>
          <w:tcPr>
            <w:tcW w:type="dxa" w:w="2606"/>
            <w:vAlign w:val="center"/>
          </w:tcPr>
          <w:p>
            <w:r/>
            <w:r>
              <w:rPr>
                <w:rFonts w:ascii="Arial" w:hAnsi="Arial"/>
                <w:b w:val="0"/>
                <w:sz w:val="15"/>
                <w:rFonts w:ascii="Arial" w:hAnsi="Arial" w:eastAsia="Arial"/>
              </w:rPr>
              <w:t>Incheon</w:t>
            </w:r>
          </w:p>
        </w:tc>
        <w:tc>
          <w:tcPr>
            <w:tcW w:type="dxa" w:w="2606"/>
            <w:vAlign w:val="center"/>
          </w:tcPr>
          <w:p>
            <w:r/>
            <w:r>
              <w:rPr>
                <w:rFonts w:ascii="Arial" w:hAnsi="Arial"/>
                <w:b w:val="0"/>
                <w:sz w:val="15"/>
                <w:rFonts w:ascii="Arial" w:hAnsi="Arial" w:eastAsia="Arial"/>
              </w:rPr>
              <w:t>80,000</w:t>
            </w:r>
          </w:p>
        </w:tc>
        <w:tc>
          <w:tcPr>
            <w:tcW w:type="dxa" w:w="2606"/>
            <w:vAlign w:val="center"/>
          </w:tcPr>
          <w:p>
            <w:r/>
            <w:r>
              <w:rPr>
                <w:rFonts w:ascii="Arial" w:hAnsi="Arial"/>
                <w:b w:val="0"/>
                <w:sz w:val="15"/>
                <w:rFonts w:ascii="Arial" w:hAnsi="Arial" w:eastAsia="Arial"/>
              </w:rPr>
              <w:t>6.7%</w:t>
            </w:r>
          </w:p>
        </w:tc>
        <w:tc>
          <w:tcPr>
            <w:tcW w:type="dxa" w:w="2606"/>
            <w:vAlign w:val="center"/>
          </w:tcPr>
          <w:p>
            <w:r/>
            <w:r>
              <w:rPr>
                <w:rFonts w:ascii="Arial" w:hAnsi="Arial"/>
                <w:b w:val="0"/>
                <w:sz w:val="15"/>
                <w:rFonts w:ascii="Arial" w:hAnsi="Arial" w:eastAsia="Arial"/>
              </w:rPr>
              <w:t>Airport/port + metro demand</w:t>
            </w:r>
          </w:p>
        </w:tc>
      </w:tr>
      <w:tr>
        <w:tc>
          <w:tcPr>
            <w:tcW w:type="dxa" w:w="2606"/>
            <w:vAlign w:val="center"/>
          </w:tcPr>
          <w:p>
            <w:r/>
            <w:r>
              <w:rPr>
                <w:rFonts w:ascii="Arial" w:hAnsi="Arial"/>
                <w:b w:val="0"/>
                <w:sz w:val="15"/>
                <w:rFonts w:ascii="Arial" w:hAnsi="Arial" w:eastAsia="Arial"/>
              </w:rPr>
              <w:t>Gwangju</w:t>
            </w:r>
          </w:p>
        </w:tc>
        <w:tc>
          <w:tcPr>
            <w:tcW w:type="dxa" w:w="2606"/>
            <w:vAlign w:val="center"/>
          </w:tcPr>
          <w:p>
            <w:r/>
            <w:r>
              <w:rPr>
                <w:rFonts w:ascii="Arial" w:hAnsi="Arial"/>
                <w:b w:val="0"/>
                <w:sz w:val="15"/>
                <w:rFonts w:ascii="Arial" w:hAnsi="Arial" w:eastAsia="Arial"/>
              </w:rPr>
              <w:t>45,000</w:t>
            </w:r>
          </w:p>
        </w:tc>
        <w:tc>
          <w:tcPr>
            <w:tcW w:type="dxa" w:w="2606"/>
            <w:vAlign w:val="center"/>
          </w:tcPr>
          <w:p>
            <w:r/>
            <w:r>
              <w:rPr>
                <w:rFonts w:ascii="Arial" w:hAnsi="Arial"/>
                <w:b w:val="0"/>
                <w:sz w:val="15"/>
                <w:rFonts w:ascii="Arial" w:hAnsi="Arial" w:eastAsia="Arial"/>
              </w:rPr>
              <w:t>3.8%</w:t>
            </w:r>
          </w:p>
        </w:tc>
        <w:tc>
          <w:tcPr>
            <w:tcW w:type="dxa" w:w="2606"/>
            <w:vAlign w:val="center"/>
          </w:tcPr>
          <w:p>
            <w:r/>
            <w:r>
              <w:rPr>
                <w:rFonts w:ascii="Arial" w:hAnsi="Arial"/>
                <w:b w:val="0"/>
                <w:sz w:val="15"/>
                <w:rFonts w:ascii="Arial" w:hAnsi="Arial" w:eastAsia="Arial"/>
              </w:rPr>
              <w:t>Southwest regional demand</w:t>
            </w:r>
          </w:p>
        </w:tc>
      </w:tr>
      <w:tr>
        <w:tc>
          <w:tcPr>
            <w:tcW w:type="dxa" w:w="2606"/>
            <w:vAlign w:val="center"/>
          </w:tcPr>
          <w:p>
            <w:r/>
            <w:r>
              <w:rPr>
                <w:rFonts w:ascii="Arial" w:hAnsi="Arial"/>
                <w:b w:val="0"/>
                <w:sz w:val="15"/>
                <w:rFonts w:ascii="Arial" w:hAnsi="Arial" w:eastAsia="Arial"/>
              </w:rPr>
              <w:t>Daejeon</w:t>
            </w:r>
          </w:p>
        </w:tc>
        <w:tc>
          <w:tcPr>
            <w:tcW w:type="dxa" w:w="2606"/>
            <w:vAlign w:val="center"/>
          </w:tcPr>
          <w:p>
            <w:r/>
            <w:r>
              <w:rPr>
                <w:rFonts w:ascii="Arial" w:hAnsi="Arial"/>
                <w:b w:val="0"/>
                <w:sz w:val="15"/>
                <w:rFonts w:ascii="Arial" w:hAnsi="Arial" w:eastAsia="Arial"/>
              </w:rPr>
              <w:t>50,000</w:t>
            </w:r>
          </w:p>
        </w:tc>
        <w:tc>
          <w:tcPr>
            <w:tcW w:type="dxa" w:w="2606"/>
            <w:vAlign w:val="center"/>
          </w:tcPr>
          <w:p>
            <w:r/>
            <w:r>
              <w:rPr>
                <w:rFonts w:ascii="Arial" w:hAnsi="Arial"/>
                <w:b w:val="0"/>
                <w:sz w:val="15"/>
                <w:rFonts w:ascii="Arial" w:hAnsi="Arial" w:eastAsia="Arial"/>
              </w:rPr>
              <w:t>4.2%</w:t>
            </w:r>
          </w:p>
        </w:tc>
        <w:tc>
          <w:tcPr>
            <w:tcW w:type="dxa" w:w="2606"/>
            <w:vAlign w:val="center"/>
          </w:tcPr>
          <w:p>
            <w:r/>
            <w:r>
              <w:rPr>
                <w:rFonts w:ascii="Arial" w:hAnsi="Arial"/>
                <w:b w:val="0"/>
                <w:sz w:val="15"/>
                <w:rFonts w:ascii="Arial" w:hAnsi="Arial" w:eastAsia="Arial"/>
              </w:rPr>
              <w:t>Central demand</w:t>
            </w:r>
          </w:p>
        </w:tc>
      </w:tr>
      <w:tr>
        <w:tc>
          <w:tcPr>
            <w:tcW w:type="dxa" w:w="2606"/>
            <w:vAlign w:val="center"/>
          </w:tcPr>
          <w:p>
            <w:r/>
            <w:r>
              <w:rPr>
                <w:rFonts w:ascii="Arial" w:hAnsi="Arial"/>
                <w:b w:val="0"/>
                <w:sz w:val="15"/>
                <w:rFonts w:ascii="Arial" w:hAnsi="Arial" w:eastAsia="Arial"/>
              </w:rPr>
              <w:t>Ulsan</w:t>
            </w:r>
          </w:p>
        </w:tc>
        <w:tc>
          <w:tcPr>
            <w:tcW w:type="dxa" w:w="2606"/>
            <w:vAlign w:val="center"/>
          </w:tcPr>
          <w:p>
            <w:r/>
            <w:r>
              <w:rPr>
                <w:rFonts w:ascii="Arial" w:hAnsi="Arial"/>
                <w:b w:val="0"/>
                <w:sz w:val="15"/>
                <w:rFonts w:ascii="Arial" w:hAnsi="Arial" w:eastAsia="Arial"/>
              </w:rPr>
              <w:t>55,000</w:t>
            </w:r>
          </w:p>
        </w:tc>
        <w:tc>
          <w:tcPr>
            <w:tcW w:type="dxa" w:w="2606"/>
            <w:vAlign w:val="center"/>
          </w:tcPr>
          <w:p>
            <w:r/>
            <w:r>
              <w:rPr>
                <w:rFonts w:ascii="Arial" w:hAnsi="Arial"/>
                <w:b w:val="0"/>
                <w:sz w:val="15"/>
                <w:rFonts w:ascii="Arial" w:hAnsi="Arial" w:eastAsia="Arial"/>
              </w:rPr>
              <w:t>4.6%</w:t>
            </w:r>
          </w:p>
        </w:tc>
        <w:tc>
          <w:tcPr>
            <w:tcW w:type="dxa" w:w="2606"/>
            <w:vAlign w:val="center"/>
          </w:tcPr>
          <w:p>
            <w:r/>
            <w:r>
              <w:rPr>
                <w:rFonts w:ascii="Arial" w:hAnsi="Arial"/>
                <w:b w:val="0"/>
                <w:sz w:val="15"/>
                <w:rFonts w:ascii="Arial" w:hAnsi="Arial" w:eastAsia="Arial"/>
              </w:rPr>
              <w:t>Industrial demand</w:t>
            </w:r>
          </w:p>
        </w:tc>
      </w:tr>
      <w:tr>
        <w:tc>
          <w:tcPr>
            <w:tcW w:type="dxa" w:w="2606"/>
            <w:vAlign w:val="center"/>
          </w:tcPr>
          <w:p>
            <w:r/>
            <w:r>
              <w:rPr>
                <w:rFonts w:ascii="Arial" w:hAnsi="Arial"/>
                <w:b w:val="0"/>
                <w:sz w:val="15"/>
                <w:rFonts w:ascii="Arial" w:hAnsi="Arial" w:eastAsia="Arial"/>
              </w:rPr>
              <w:t>Sejong</w:t>
            </w:r>
          </w:p>
        </w:tc>
        <w:tc>
          <w:tcPr>
            <w:tcW w:type="dxa" w:w="2606"/>
            <w:vAlign w:val="center"/>
          </w:tcPr>
          <w:p>
            <w:r/>
            <w:r>
              <w:rPr>
                <w:rFonts w:ascii="Arial" w:hAnsi="Arial"/>
                <w:b w:val="0"/>
                <w:sz w:val="15"/>
                <w:rFonts w:ascii="Arial" w:hAnsi="Arial" w:eastAsia="Arial"/>
              </w:rPr>
              <w:t>20,000</w:t>
            </w:r>
          </w:p>
        </w:tc>
        <w:tc>
          <w:tcPr>
            <w:tcW w:type="dxa" w:w="2606"/>
            <w:vAlign w:val="center"/>
          </w:tcPr>
          <w:p>
            <w:r/>
            <w:r>
              <w:rPr>
                <w:rFonts w:ascii="Arial" w:hAnsi="Arial"/>
                <w:b w:val="0"/>
                <w:sz w:val="15"/>
                <w:rFonts w:ascii="Arial" w:hAnsi="Arial" w:eastAsia="Arial"/>
              </w:rPr>
              <w:t>1.7%</w:t>
            </w:r>
          </w:p>
        </w:tc>
        <w:tc>
          <w:tcPr>
            <w:tcW w:type="dxa" w:w="2606"/>
            <w:vAlign w:val="center"/>
          </w:tcPr>
          <w:p>
            <w:r/>
            <w:r>
              <w:rPr>
                <w:rFonts w:ascii="Arial" w:hAnsi="Arial"/>
                <w:b w:val="0"/>
                <w:sz w:val="15"/>
                <w:rFonts w:ascii="Arial" w:hAnsi="Arial" w:eastAsia="Arial"/>
              </w:rPr>
              <w:t>Small but central</w:t>
            </w:r>
          </w:p>
        </w:tc>
      </w:tr>
      <w:tr>
        <w:tc>
          <w:tcPr>
            <w:tcW w:type="dxa" w:w="2606"/>
            <w:vAlign w:val="center"/>
          </w:tcPr>
          <w:p>
            <w:r/>
            <w:r>
              <w:rPr>
                <w:rFonts w:ascii="Arial" w:hAnsi="Arial"/>
                <w:b w:val="0"/>
                <w:sz w:val="15"/>
                <w:rFonts w:ascii="Arial" w:hAnsi="Arial" w:eastAsia="Arial"/>
              </w:rPr>
              <w:t>Gyeonggi</w:t>
            </w:r>
          </w:p>
        </w:tc>
        <w:tc>
          <w:tcPr>
            <w:tcW w:type="dxa" w:w="2606"/>
            <w:vAlign w:val="center"/>
          </w:tcPr>
          <w:p>
            <w:r/>
            <w:r>
              <w:rPr>
                <w:rFonts w:ascii="Arial" w:hAnsi="Arial"/>
                <w:b w:val="0"/>
                <w:sz w:val="15"/>
                <w:rFonts w:ascii="Arial" w:hAnsi="Arial" w:eastAsia="Arial"/>
              </w:rPr>
              <w:t>240,000</w:t>
            </w:r>
          </w:p>
        </w:tc>
        <w:tc>
          <w:tcPr>
            <w:tcW w:type="dxa" w:w="2606"/>
            <w:vAlign w:val="center"/>
          </w:tcPr>
          <w:p>
            <w:r/>
            <w:r>
              <w:rPr>
                <w:rFonts w:ascii="Arial" w:hAnsi="Arial"/>
                <w:b w:val="0"/>
                <w:sz w:val="15"/>
                <w:rFonts w:ascii="Arial" w:hAnsi="Arial" w:eastAsia="Arial"/>
              </w:rPr>
              <w:t>20.0%</w:t>
            </w:r>
          </w:p>
        </w:tc>
        <w:tc>
          <w:tcPr>
            <w:tcW w:type="dxa" w:w="2606"/>
            <w:vAlign w:val="center"/>
          </w:tcPr>
          <w:p>
            <w:r/>
            <w:r>
              <w:rPr>
                <w:rFonts w:ascii="Arial" w:hAnsi="Arial"/>
                <w:b w:val="0"/>
                <w:sz w:val="15"/>
                <w:rFonts w:ascii="Arial" w:hAnsi="Arial" w:eastAsia="Arial"/>
              </w:rPr>
              <w:t>Largest demand cluster</w:t>
            </w:r>
          </w:p>
        </w:tc>
      </w:tr>
      <w:tr>
        <w:tc>
          <w:tcPr>
            <w:tcW w:type="dxa" w:w="2606"/>
            <w:vAlign w:val="center"/>
          </w:tcPr>
          <w:p>
            <w:r/>
            <w:r>
              <w:rPr>
                <w:rFonts w:ascii="Arial" w:hAnsi="Arial"/>
                <w:b w:val="0"/>
                <w:sz w:val="15"/>
                <w:rFonts w:ascii="Arial" w:hAnsi="Arial" w:eastAsia="Arial"/>
              </w:rPr>
              <w:t>Gangwon</w:t>
            </w:r>
          </w:p>
        </w:tc>
        <w:tc>
          <w:tcPr>
            <w:tcW w:type="dxa" w:w="2606"/>
            <w:vAlign w:val="center"/>
          </w:tcPr>
          <w:p>
            <w:r/>
            <w:r>
              <w:rPr>
                <w:rFonts w:ascii="Arial" w:hAnsi="Arial"/>
                <w:b w:val="0"/>
                <w:sz w:val="15"/>
                <w:rFonts w:ascii="Arial" w:hAnsi="Arial" w:eastAsia="Arial"/>
              </w:rPr>
              <w:t>35,000</w:t>
            </w:r>
          </w:p>
        </w:tc>
        <w:tc>
          <w:tcPr>
            <w:tcW w:type="dxa" w:w="2606"/>
            <w:vAlign w:val="center"/>
          </w:tcPr>
          <w:p>
            <w:r/>
            <w:r>
              <w:rPr>
                <w:rFonts w:ascii="Arial" w:hAnsi="Arial"/>
                <w:b w:val="0"/>
                <w:sz w:val="15"/>
                <w:rFonts w:ascii="Arial" w:hAnsi="Arial" w:eastAsia="Arial"/>
              </w:rPr>
              <w:t>2.9%</w:t>
            </w:r>
          </w:p>
        </w:tc>
        <w:tc>
          <w:tcPr>
            <w:tcW w:type="dxa" w:w="2606"/>
            <w:vAlign w:val="center"/>
          </w:tcPr>
          <w:p>
            <w:r/>
            <w:r>
              <w:rPr>
                <w:rFonts w:ascii="Arial" w:hAnsi="Arial"/>
                <w:b w:val="0"/>
                <w:sz w:val="15"/>
                <w:rFonts w:ascii="Arial" w:hAnsi="Arial" w:eastAsia="Arial"/>
              </w:rPr>
              <w:t>Low density, long distance risk</w:t>
            </w:r>
          </w:p>
        </w:tc>
      </w:tr>
      <w:tr>
        <w:tc>
          <w:tcPr>
            <w:tcW w:type="dxa" w:w="2606"/>
            <w:vAlign w:val="center"/>
          </w:tcPr>
          <w:p>
            <w:r/>
            <w:r>
              <w:rPr>
                <w:rFonts w:ascii="Arial" w:hAnsi="Arial"/>
                <w:b w:val="0"/>
                <w:sz w:val="15"/>
                <w:rFonts w:ascii="Arial" w:hAnsi="Arial" w:eastAsia="Arial"/>
              </w:rPr>
              <w:t>Chungbuk</w:t>
            </w:r>
          </w:p>
        </w:tc>
        <w:tc>
          <w:tcPr>
            <w:tcW w:type="dxa" w:w="2606"/>
            <w:vAlign w:val="center"/>
          </w:tcPr>
          <w:p>
            <w:r/>
            <w:r>
              <w:rPr>
                <w:rFonts w:ascii="Arial" w:hAnsi="Arial"/>
                <w:b w:val="0"/>
                <w:sz w:val="15"/>
                <w:rFonts w:ascii="Arial" w:hAnsi="Arial" w:eastAsia="Arial"/>
              </w:rPr>
              <w:t>50,000</w:t>
            </w:r>
          </w:p>
        </w:tc>
        <w:tc>
          <w:tcPr>
            <w:tcW w:type="dxa" w:w="2606"/>
            <w:vAlign w:val="center"/>
          </w:tcPr>
          <w:p>
            <w:r/>
            <w:r>
              <w:rPr>
                <w:rFonts w:ascii="Arial" w:hAnsi="Arial"/>
                <w:b w:val="0"/>
                <w:sz w:val="15"/>
                <w:rFonts w:ascii="Arial" w:hAnsi="Arial" w:eastAsia="Arial"/>
              </w:rPr>
              <w:t>4.2%</w:t>
            </w:r>
          </w:p>
        </w:tc>
        <w:tc>
          <w:tcPr>
            <w:tcW w:type="dxa" w:w="2606"/>
            <w:vAlign w:val="center"/>
          </w:tcPr>
          <w:p>
            <w:r/>
            <w:r>
              <w:rPr>
                <w:rFonts w:ascii="Arial" w:hAnsi="Arial"/>
                <w:b w:val="0"/>
                <w:sz w:val="15"/>
                <w:rFonts w:ascii="Arial" w:hAnsi="Arial" w:eastAsia="Arial"/>
              </w:rPr>
              <w:t>Central logistics corridor</w:t>
            </w:r>
          </w:p>
        </w:tc>
      </w:tr>
      <w:tr>
        <w:tc>
          <w:tcPr>
            <w:tcW w:type="dxa" w:w="2606"/>
            <w:vAlign w:val="center"/>
          </w:tcPr>
          <w:p>
            <w:r/>
            <w:r>
              <w:rPr>
                <w:rFonts w:ascii="Arial" w:hAnsi="Arial"/>
                <w:b w:val="0"/>
                <w:sz w:val="15"/>
                <w:rFonts w:ascii="Arial" w:hAnsi="Arial" w:eastAsia="Arial"/>
              </w:rPr>
              <w:t>Chungnam</w:t>
            </w:r>
          </w:p>
        </w:tc>
        <w:tc>
          <w:tcPr>
            <w:tcW w:type="dxa" w:w="2606"/>
            <w:vAlign w:val="center"/>
          </w:tcPr>
          <w:p>
            <w:r/>
            <w:r>
              <w:rPr>
                <w:rFonts w:ascii="Arial" w:hAnsi="Arial"/>
                <w:b w:val="0"/>
                <w:sz w:val="15"/>
                <w:rFonts w:ascii="Arial" w:hAnsi="Arial" w:eastAsia="Arial"/>
              </w:rPr>
              <w:t>65,000</w:t>
            </w:r>
          </w:p>
        </w:tc>
        <w:tc>
          <w:tcPr>
            <w:tcW w:type="dxa" w:w="2606"/>
            <w:vAlign w:val="center"/>
          </w:tcPr>
          <w:p>
            <w:r/>
            <w:r>
              <w:rPr>
                <w:rFonts w:ascii="Arial" w:hAnsi="Arial"/>
                <w:b w:val="0"/>
                <w:sz w:val="15"/>
                <w:rFonts w:ascii="Arial" w:hAnsi="Arial" w:eastAsia="Arial"/>
              </w:rPr>
              <w:t>5.4%</w:t>
            </w:r>
          </w:p>
        </w:tc>
        <w:tc>
          <w:tcPr>
            <w:tcW w:type="dxa" w:w="2606"/>
            <w:vAlign w:val="center"/>
          </w:tcPr>
          <w:p>
            <w:r/>
            <w:r>
              <w:rPr>
                <w:rFonts w:ascii="Arial" w:hAnsi="Arial"/>
                <w:b w:val="0"/>
                <w:sz w:val="15"/>
                <w:rFonts w:ascii="Arial" w:hAnsi="Arial" w:eastAsia="Arial"/>
              </w:rPr>
              <w:t>Industrial + central-west demand</w:t>
            </w:r>
          </w:p>
        </w:tc>
      </w:tr>
      <w:tr>
        <w:tc>
          <w:tcPr>
            <w:tcW w:type="dxa" w:w="2606"/>
            <w:vAlign w:val="center"/>
          </w:tcPr>
          <w:p>
            <w:r/>
            <w:r>
              <w:rPr>
                <w:rFonts w:ascii="Arial" w:hAnsi="Arial"/>
                <w:b w:val="0"/>
                <w:sz w:val="15"/>
                <w:rFonts w:ascii="Arial" w:hAnsi="Arial" w:eastAsia="Arial"/>
              </w:rPr>
              <w:t>Jeonbuk</w:t>
            </w:r>
          </w:p>
        </w:tc>
        <w:tc>
          <w:tcPr>
            <w:tcW w:type="dxa" w:w="2606"/>
            <w:vAlign w:val="center"/>
          </w:tcPr>
          <w:p>
            <w:r/>
            <w:r>
              <w:rPr>
                <w:rFonts w:ascii="Arial" w:hAnsi="Arial"/>
                <w:b w:val="0"/>
                <w:sz w:val="15"/>
                <w:rFonts w:ascii="Arial" w:hAnsi="Arial" w:eastAsia="Arial"/>
              </w:rPr>
              <w:t>40,000</w:t>
            </w:r>
          </w:p>
        </w:tc>
        <w:tc>
          <w:tcPr>
            <w:tcW w:type="dxa" w:w="2606"/>
            <w:vAlign w:val="center"/>
          </w:tcPr>
          <w:p>
            <w:r/>
            <w:r>
              <w:rPr>
                <w:rFonts w:ascii="Arial" w:hAnsi="Arial"/>
                <w:b w:val="0"/>
                <w:sz w:val="15"/>
                <w:rFonts w:ascii="Arial" w:hAnsi="Arial" w:eastAsia="Arial"/>
              </w:rPr>
              <w:t>3.3%</w:t>
            </w:r>
          </w:p>
        </w:tc>
        <w:tc>
          <w:tcPr>
            <w:tcW w:type="dxa" w:w="2606"/>
            <w:vAlign w:val="center"/>
          </w:tcPr>
          <w:p>
            <w:r/>
            <w:r>
              <w:rPr>
                <w:rFonts w:ascii="Arial" w:hAnsi="Arial"/>
                <w:b w:val="0"/>
                <w:sz w:val="15"/>
                <w:rFonts w:ascii="Arial" w:hAnsi="Arial" w:eastAsia="Arial"/>
              </w:rPr>
              <w:t>Southwest demand</w:t>
            </w:r>
          </w:p>
        </w:tc>
      </w:tr>
      <w:tr>
        <w:tc>
          <w:tcPr>
            <w:tcW w:type="dxa" w:w="2606"/>
            <w:vAlign w:val="center"/>
          </w:tcPr>
          <w:p>
            <w:r/>
            <w:r>
              <w:rPr>
                <w:rFonts w:ascii="Arial" w:hAnsi="Arial"/>
                <w:b w:val="0"/>
                <w:sz w:val="15"/>
                <w:rFonts w:ascii="Arial" w:hAnsi="Arial" w:eastAsia="Arial"/>
              </w:rPr>
              <w:t>Jeonnam</w:t>
            </w:r>
          </w:p>
        </w:tc>
        <w:tc>
          <w:tcPr>
            <w:tcW w:type="dxa" w:w="2606"/>
            <w:vAlign w:val="center"/>
          </w:tcPr>
          <w:p>
            <w:r/>
            <w:r>
              <w:rPr>
                <w:rFonts w:ascii="Arial" w:hAnsi="Arial"/>
                <w:b w:val="0"/>
                <w:sz w:val="15"/>
                <w:rFonts w:ascii="Arial" w:hAnsi="Arial" w:eastAsia="Arial"/>
              </w:rPr>
              <w:t>45,000</w:t>
            </w:r>
          </w:p>
        </w:tc>
        <w:tc>
          <w:tcPr>
            <w:tcW w:type="dxa" w:w="2606"/>
            <w:vAlign w:val="center"/>
          </w:tcPr>
          <w:p>
            <w:r/>
            <w:r>
              <w:rPr>
                <w:rFonts w:ascii="Arial" w:hAnsi="Arial"/>
                <w:b w:val="0"/>
                <w:sz w:val="15"/>
                <w:rFonts w:ascii="Arial" w:hAnsi="Arial" w:eastAsia="Arial"/>
              </w:rPr>
              <w:t>3.8%</w:t>
            </w:r>
          </w:p>
        </w:tc>
        <w:tc>
          <w:tcPr>
            <w:tcW w:type="dxa" w:w="2606"/>
            <w:vAlign w:val="center"/>
          </w:tcPr>
          <w:p>
            <w:r/>
            <w:r>
              <w:rPr>
                <w:rFonts w:ascii="Arial" w:hAnsi="Arial"/>
                <w:b w:val="0"/>
                <w:sz w:val="15"/>
                <w:rFonts w:ascii="Arial" w:hAnsi="Arial" w:eastAsia="Arial"/>
              </w:rPr>
              <w:t>Southwest + port/industrial</w:t>
            </w:r>
          </w:p>
        </w:tc>
      </w:tr>
      <w:tr>
        <w:tc>
          <w:tcPr>
            <w:tcW w:type="dxa" w:w="2606"/>
            <w:vAlign w:val="center"/>
          </w:tcPr>
          <w:p>
            <w:r/>
            <w:r>
              <w:rPr>
                <w:rFonts w:ascii="Arial" w:hAnsi="Arial"/>
                <w:b w:val="0"/>
                <w:sz w:val="15"/>
                <w:rFonts w:ascii="Arial" w:hAnsi="Arial" w:eastAsia="Arial"/>
              </w:rPr>
              <w:t>Gyeongbuk</w:t>
            </w:r>
          </w:p>
        </w:tc>
        <w:tc>
          <w:tcPr>
            <w:tcW w:type="dxa" w:w="2606"/>
            <w:vAlign w:val="center"/>
          </w:tcPr>
          <w:p>
            <w:r/>
            <w:r>
              <w:rPr>
                <w:rFonts w:ascii="Arial" w:hAnsi="Arial"/>
                <w:b w:val="0"/>
                <w:sz w:val="15"/>
                <w:rFonts w:ascii="Arial" w:hAnsi="Arial" w:eastAsia="Arial"/>
              </w:rPr>
              <w:t>75,000</w:t>
            </w:r>
          </w:p>
        </w:tc>
        <w:tc>
          <w:tcPr>
            <w:tcW w:type="dxa" w:w="2606"/>
            <w:vAlign w:val="center"/>
          </w:tcPr>
          <w:p>
            <w:r/>
            <w:r>
              <w:rPr>
                <w:rFonts w:ascii="Arial" w:hAnsi="Arial"/>
                <w:b w:val="0"/>
                <w:sz w:val="15"/>
                <w:rFonts w:ascii="Arial" w:hAnsi="Arial" w:eastAsia="Arial"/>
              </w:rPr>
              <w:t>6.2%</w:t>
            </w:r>
          </w:p>
        </w:tc>
        <w:tc>
          <w:tcPr>
            <w:tcW w:type="dxa" w:w="2606"/>
            <w:vAlign w:val="center"/>
          </w:tcPr>
          <w:p>
            <w:r/>
            <w:r>
              <w:rPr>
                <w:rFonts w:ascii="Arial" w:hAnsi="Arial"/>
                <w:b w:val="0"/>
                <w:sz w:val="15"/>
                <w:rFonts w:ascii="Arial" w:hAnsi="Arial" w:eastAsia="Arial"/>
              </w:rPr>
              <w:t>Inland industrial demand</w:t>
            </w:r>
          </w:p>
        </w:tc>
      </w:tr>
      <w:tr>
        <w:tc>
          <w:tcPr>
            <w:tcW w:type="dxa" w:w="2606"/>
            <w:vAlign w:val="center"/>
          </w:tcPr>
          <w:p>
            <w:r/>
            <w:r>
              <w:rPr>
                <w:rFonts w:ascii="Arial" w:hAnsi="Arial"/>
                <w:b w:val="0"/>
                <w:sz w:val="15"/>
                <w:rFonts w:ascii="Arial" w:hAnsi="Arial" w:eastAsia="Arial"/>
              </w:rPr>
              <w:t>Gyeongnam</w:t>
            </w:r>
          </w:p>
        </w:tc>
        <w:tc>
          <w:tcPr>
            <w:tcW w:type="dxa" w:w="2606"/>
            <w:vAlign w:val="center"/>
          </w:tcPr>
          <w:p>
            <w:r/>
            <w:r>
              <w:rPr>
                <w:rFonts w:ascii="Arial" w:hAnsi="Arial"/>
                <w:b w:val="0"/>
                <w:sz w:val="15"/>
                <w:rFonts w:ascii="Arial" w:hAnsi="Arial" w:eastAsia="Arial"/>
              </w:rPr>
              <w:t>90,000</w:t>
            </w:r>
          </w:p>
        </w:tc>
        <w:tc>
          <w:tcPr>
            <w:tcW w:type="dxa" w:w="2606"/>
            <w:vAlign w:val="center"/>
          </w:tcPr>
          <w:p>
            <w:r/>
            <w:r>
              <w:rPr>
                <w:rFonts w:ascii="Arial" w:hAnsi="Arial"/>
                <w:b w:val="0"/>
                <w:sz w:val="15"/>
                <w:rFonts w:ascii="Arial" w:hAnsi="Arial" w:eastAsia="Arial"/>
              </w:rPr>
              <w:t>7.5%</w:t>
            </w:r>
          </w:p>
        </w:tc>
        <w:tc>
          <w:tcPr>
            <w:tcW w:type="dxa" w:w="2606"/>
            <w:vAlign w:val="center"/>
          </w:tcPr>
          <w:p>
            <w:r/>
            <w:r>
              <w:rPr>
                <w:rFonts w:ascii="Arial" w:hAnsi="Arial"/>
                <w:b w:val="0"/>
                <w:sz w:val="15"/>
                <w:rFonts w:ascii="Arial" w:hAnsi="Arial" w:eastAsia="Arial"/>
              </w:rPr>
              <w:t>Southern industrial demand</w:t>
            </w:r>
          </w:p>
        </w:tc>
      </w:tr>
      <w:tr>
        <w:tc>
          <w:tcPr>
            <w:tcW w:type="dxa" w:w="2606"/>
            <w:vAlign w:val="center"/>
          </w:tcPr>
          <w:p>
            <w:r/>
            <w:r>
              <w:rPr>
                <w:rFonts w:ascii="Arial" w:hAnsi="Arial"/>
                <w:b w:val="0"/>
                <w:sz w:val="15"/>
                <w:rFonts w:ascii="Arial" w:hAnsi="Arial" w:eastAsia="Arial"/>
              </w:rPr>
              <w:t>Jeju</w:t>
            </w:r>
          </w:p>
        </w:tc>
        <w:tc>
          <w:tcPr>
            <w:tcW w:type="dxa" w:w="2606"/>
            <w:vAlign w:val="center"/>
          </w:tcPr>
          <w:p>
            <w:r/>
            <w:r>
              <w:rPr>
                <w:rFonts w:ascii="Arial" w:hAnsi="Arial"/>
                <w:b w:val="0"/>
                <w:sz w:val="15"/>
                <w:rFonts w:ascii="Arial" w:hAnsi="Arial" w:eastAsia="Arial"/>
              </w:rPr>
              <w:t>15,000</w:t>
            </w:r>
          </w:p>
        </w:tc>
        <w:tc>
          <w:tcPr>
            <w:tcW w:type="dxa" w:w="2606"/>
            <w:vAlign w:val="center"/>
          </w:tcPr>
          <w:p>
            <w:r/>
            <w:r>
              <w:rPr>
                <w:rFonts w:ascii="Arial" w:hAnsi="Arial"/>
                <w:b w:val="0"/>
                <w:sz w:val="15"/>
                <w:rFonts w:ascii="Arial" w:hAnsi="Arial" w:eastAsia="Arial"/>
              </w:rPr>
              <w:t>1.2%</w:t>
            </w:r>
          </w:p>
        </w:tc>
        <w:tc>
          <w:tcPr>
            <w:tcW w:type="dxa" w:w="2606"/>
            <w:vAlign w:val="center"/>
          </w:tcPr>
          <w:p>
            <w:r/>
            <w:r>
              <w:rPr>
                <w:rFonts w:ascii="Arial" w:hAnsi="Arial"/>
                <w:b w:val="0"/>
                <w:sz w:val="15"/>
                <w:rFonts w:ascii="Arial" w:hAnsi="Arial" w:eastAsia="Arial"/>
              </w:rPr>
              <w:t>Special island handling</w:t>
            </w:r>
          </w:p>
        </w:tc>
      </w:tr>
    </w:tbl>
    <w:p/>
    <w:p>
      <w:r>
        <w:drawing>
          <wp:inline xmlns:a="http://schemas.openxmlformats.org/drawingml/2006/main" xmlns:pic="http://schemas.openxmlformats.org/drawingml/2006/picture">
            <wp:extent cx="5943600" cy="3169920"/>
            <wp:docPr id="1" name="Picture 1"/>
            <wp:cNvGraphicFramePr>
              <a:graphicFrameLocks noChangeAspect="1"/>
            </wp:cNvGraphicFramePr>
            <a:graphic>
              <a:graphicData uri="http://schemas.openxmlformats.org/drawingml/2006/picture">
                <pic:pic>
                  <pic:nvPicPr>
                    <pic:cNvPr id="0" name="demand_by_region.png"/>
                    <pic:cNvPicPr/>
                  </pic:nvPicPr>
                  <pic:blipFill>
                    <a:blip r:embed="rId10"/>
                    <a:stretch>
                      <a:fillRect/>
                    </a:stretch>
                  </pic:blipFill>
                  <pic:spPr>
                    <a:xfrm>
                      <a:off x="0" y="0"/>
                      <a:ext cx="5943600" cy="3169920"/>
                    </a:xfrm>
                    <a:prstGeom prst="rect"/>
                  </pic:spPr>
                </pic:pic>
              </a:graphicData>
            </a:graphic>
          </wp:inline>
        </w:drawing>
      </w:r>
    </w:p>
    <w:p>
      <w:pPr>
        <w:jc w:val="center"/>
      </w:pPr>
      <w:r>
        <w:rPr>
          <w:rFonts w:ascii="Arial" w:hAnsi="Arial"/>
          <w:i/>
          <w:sz w:val="17"/>
        </w:rPr>
        <w:t>Hình 1. Demand by 17 Korean regions</w:t>
      </w:r>
    </w:p>
    <w:p>
      <w:pPr>
        <w:pStyle w:val="Heading2"/>
      </w:pPr>
      <w:r>
        <w:t>5.2. Senior manager interpretation</w:t>
      </w:r>
    </w:p>
    <w:p>
      <w:pPr>
        <w:pStyle w:val="ListBullet"/>
      </w:pPr>
      <w:r>
        <w:t>Seoul-Gyeonggi-Incheon chiếm khoảng 38.3% demand. Đây là demand cluster lớn nhất và cần một metro/national demand hub.</w:t>
      </w:r>
    </w:p>
    <w:p>
      <w:pPr>
        <w:pStyle w:val="ListBullet"/>
      </w:pPr>
      <w:r>
        <w:t>Busan-Ulsan-Gyeongnam chiếm khoảng 19.6% demand. Southern demand đủ lớn để cần hub riêng, không nên phục vụ phần lớn từ Gyeonggi.</w:t>
      </w:r>
    </w:p>
    <w:p>
      <w:pPr>
        <w:pStyle w:val="ListBullet"/>
      </w:pPr>
      <w:r>
        <w:t>Daegu-Gyeongbuk chiếm khoảng 11.7% demand và phù hợp với inland industrial hub.</w:t>
      </w:r>
    </w:p>
    <w:p>
      <w:pPr>
        <w:pStyle w:val="ListBullet"/>
      </w:pPr>
      <w:r>
        <w:t>Gwangju-Jeolla-Jeju có demand nhỏ hơn nhưng nếu không có southwest hub sẽ tạo service coverage kém và long-haul lanes.</w:t>
      </w:r>
    </w:p>
    <w:p>
      <w:pPr>
        <w:pStyle w:val="Heading2"/>
      </w:pPr>
      <w:r>
        <w:t>5.3. Seasonal demand model</w:t>
      </w:r>
    </w:p>
    <w:p>
      <w:r>
        <w:t>Annual network design chưa đủ. Một mạng lưới có thể nhìn hợp lý theo tổng năm nhưng lại vỡ capacity trong tháng cao điểm. Vì vậy engine cần thêm seasonal demand. Ta định nghĩa monthly demand theo vùng như sau:</w:t>
      </w:r>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D_i,t = AnnualDemand_i / 12 x SeasonalIndex_t x RegionalSeasonFactor_i</w:t>
            </w:r>
          </w:p>
          <w:p>
            <w:r>
              <w:rPr>
                <w:rFonts w:ascii="Consolas" w:hAnsi="Consolas"/>
                <w:sz w:val="18"/>
              </w:rPr>
              <w:t>SeasonalIndex_t &gt; 1: tháng cao hơn trung bình</w:t>
            </w:r>
          </w:p>
          <w:p>
            <w:r>
              <w:rPr>
                <w:rFonts w:ascii="Consolas" w:hAnsi="Consolas"/>
                <w:sz w:val="18"/>
              </w:rPr>
              <w:t>SeasonalIndex_t &lt; 1: tháng thấp hơn trung bình</w:t>
            </w:r>
          </w:p>
          <w:p>
            <w:r>
              <w:rPr>
                <w:rFonts w:ascii="Consolas" w:hAnsi="Consolas"/>
                <w:sz w:val="18"/>
              </w:rPr>
              <w:t>Peak utilization_j,t = AssignedDemand_j,t / MonthlyCapacity_j,t</w:t>
            </w:r>
          </w:p>
        </w:tc>
      </w:tr>
    </w:tbl>
    <w:p/>
    <w:p>
      <w:r>
        <w:rPr>
          <w:b/>
          <w:sz w:val="20"/>
        </w:rPr>
        <w:t>Bảng 4. Seasonal demand index và monthly demand toàn network</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Month</w:t>
            </w:r>
          </w:p>
        </w:tc>
        <w:tc>
          <w:tcPr>
            <w:tcW w:type="dxa" w:w="3475"/>
            <w:shd w:fill="D9EAF7"/>
            <w:vAlign w:val="center"/>
          </w:tcPr>
          <w:p>
            <w:r/>
            <w:r>
              <w:rPr>
                <w:rFonts w:ascii="Arial" w:hAnsi="Arial"/>
                <w:b/>
                <w:sz w:val="16"/>
                <w:rFonts w:ascii="Arial" w:hAnsi="Arial" w:eastAsia="Arial"/>
              </w:rPr>
              <w:t>Seasonal index</w:t>
            </w:r>
          </w:p>
        </w:tc>
        <w:tc>
          <w:tcPr>
            <w:tcW w:type="dxa" w:w="3475"/>
            <w:shd w:fill="D9EAF7"/>
            <w:vAlign w:val="center"/>
          </w:tcPr>
          <w:p>
            <w:r/>
            <w:r>
              <w:rPr>
                <w:rFonts w:ascii="Arial" w:hAnsi="Arial"/>
                <w:b/>
                <w:sz w:val="16"/>
                <w:rFonts w:ascii="Arial" w:hAnsi="Arial" w:eastAsia="Arial"/>
              </w:rPr>
              <w:t>Monthly demand</w:t>
            </w:r>
          </w:p>
        </w:tc>
      </w:tr>
      <w:tr>
        <w:tc>
          <w:tcPr>
            <w:tcW w:type="dxa" w:w="3475"/>
            <w:vAlign w:val="center"/>
          </w:tcPr>
          <w:p>
            <w:r/>
            <w:r>
              <w:rPr>
                <w:rFonts w:ascii="Arial" w:hAnsi="Arial"/>
                <w:b w:val="0"/>
                <w:sz w:val="16"/>
                <w:rFonts w:ascii="Arial" w:hAnsi="Arial" w:eastAsia="Arial"/>
              </w:rPr>
              <w:t>Jan</w:t>
            </w:r>
          </w:p>
        </w:tc>
        <w:tc>
          <w:tcPr>
            <w:tcW w:type="dxa" w:w="3475"/>
            <w:vAlign w:val="center"/>
          </w:tcPr>
          <w:p>
            <w:r/>
            <w:r>
              <w:rPr>
                <w:rFonts w:ascii="Arial" w:hAnsi="Arial"/>
                <w:b w:val="0"/>
                <w:sz w:val="16"/>
                <w:rFonts w:ascii="Arial" w:hAnsi="Arial" w:eastAsia="Arial"/>
              </w:rPr>
              <w:t>0.8</w:t>
            </w:r>
          </w:p>
        </w:tc>
        <w:tc>
          <w:tcPr>
            <w:tcW w:type="dxa" w:w="3475"/>
            <w:vAlign w:val="center"/>
          </w:tcPr>
          <w:p>
            <w:r/>
            <w:r>
              <w:rPr>
                <w:rFonts w:ascii="Arial" w:hAnsi="Arial"/>
                <w:b w:val="0"/>
                <w:sz w:val="16"/>
                <w:rFonts w:ascii="Arial" w:hAnsi="Arial" w:eastAsia="Arial"/>
              </w:rPr>
              <w:t>77,480</w:t>
            </w:r>
          </w:p>
        </w:tc>
      </w:tr>
      <w:tr>
        <w:tc>
          <w:tcPr>
            <w:tcW w:type="dxa" w:w="3475"/>
            <w:vAlign w:val="center"/>
          </w:tcPr>
          <w:p>
            <w:r/>
            <w:r>
              <w:rPr>
                <w:rFonts w:ascii="Arial" w:hAnsi="Arial"/>
                <w:b w:val="0"/>
                <w:sz w:val="16"/>
                <w:rFonts w:ascii="Arial" w:hAnsi="Arial" w:eastAsia="Arial"/>
              </w:rPr>
              <w:t>Feb</w:t>
            </w:r>
          </w:p>
        </w:tc>
        <w:tc>
          <w:tcPr>
            <w:tcW w:type="dxa" w:w="3475"/>
            <w:vAlign w:val="center"/>
          </w:tcPr>
          <w:p>
            <w:r/>
            <w:r>
              <w:rPr>
                <w:rFonts w:ascii="Arial" w:hAnsi="Arial"/>
                <w:b w:val="0"/>
                <w:sz w:val="16"/>
                <w:rFonts w:ascii="Arial" w:hAnsi="Arial" w:eastAsia="Arial"/>
              </w:rPr>
              <w:t>0.7</w:t>
            </w:r>
          </w:p>
        </w:tc>
        <w:tc>
          <w:tcPr>
            <w:tcW w:type="dxa" w:w="3475"/>
            <w:vAlign w:val="center"/>
          </w:tcPr>
          <w:p>
            <w:r/>
            <w:r>
              <w:rPr>
                <w:rFonts w:ascii="Arial" w:hAnsi="Arial"/>
                <w:b w:val="0"/>
                <w:sz w:val="16"/>
                <w:rFonts w:ascii="Arial" w:hAnsi="Arial" w:eastAsia="Arial"/>
              </w:rPr>
              <w:t>73,700</w:t>
            </w:r>
          </w:p>
        </w:tc>
      </w:tr>
      <w:tr>
        <w:tc>
          <w:tcPr>
            <w:tcW w:type="dxa" w:w="3475"/>
            <w:vAlign w:val="center"/>
          </w:tcPr>
          <w:p>
            <w:r/>
            <w:r>
              <w:rPr>
                <w:rFonts w:ascii="Arial" w:hAnsi="Arial"/>
                <w:b w:val="0"/>
                <w:sz w:val="16"/>
                <w:rFonts w:ascii="Arial" w:hAnsi="Arial" w:eastAsia="Arial"/>
              </w:rPr>
              <w:t>Mar</w:t>
            </w:r>
          </w:p>
        </w:tc>
        <w:tc>
          <w:tcPr>
            <w:tcW w:type="dxa" w:w="3475"/>
            <w:vAlign w:val="center"/>
          </w:tcPr>
          <w:p>
            <w:r/>
            <w:r>
              <w:rPr>
                <w:rFonts w:ascii="Arial" w:hAnsi="Arial"/>
                <w:b w:val="0"/>
                <w:sz w:val="16"/>
                <w:rFonts w:ascii="Arial" w:hAnsi="Arial" w:eastAsia="Arial"/>
              </w:rPr>
              <w:t>0.9</w:t>
            </w:r>
          </w:p>
        </w:tc>
        <w:tc>
          <w:tcPr>
            <w:tcW w:type="dxa" w:w="3475"/>
            <w:vAlign w:val="center"/>
          </w:tcPr>
          <w:p>
            <w:r/>
            <w:r>
              <w:rPr>
                <w:rFonts w:ascii="Arial" w:hAnsi="Arial"/>
                <w:b w:val="0"/>
                <w:sz w:val="16"/>
                <w:rFonts w:ascii="Arial" w:hAnsi="Arial" w:eastAsia="Arial"/>
              </w:rPr>
              <w:t>86,929</w:t>
            </w:r>
          </w:p>
        </w:tc>
      </w:tr>
      <w:tr>
        <w:tc>
          <w:tcPr>
            <w:tcW w:type="dxa" w:w="3475"/>
            <w:vAlign w:val="center"/>
          </w:tcPr>
          <w:p>
            <w:r/>
            <w:r>
              <w:rPr>
                <w:rFonts w:ascii="Arial" w:hAnsi="Arial"/>
                <w:b w:val="0"/>
                <w:sz w:val="16"/>
                <w:rFonts w:ascii="Arial" w:hAnsi="Arial" w:eastAsia="Arial"/>
              </w:rPr>
              <w:t>Apr</w:t>
            </w:r>
          </w:p>
        </w:tc>
        <w:tc>
          <w:tcPr>
            <w:tcW w:type="dxa" w:w="3475"/>
            <w:vAlign w:val="center"/>
          </w:tcPr>
          <w:p>
            <w:r/>
            <w:r>
              <w:rPr>
                <w:rFonts w:ascii="Arial" w:hAnsi="Arial"/>
                <w:b w:val="0"/>
                <w:sz w:val="16"/>
                <w:rFonts w:ascii="Arial" w:hAnsi="Arial" w:eastAsia="Arial"/>
              </w:rPr>
              <w:t>0.9</w:t>
            </w:r>
          </w:p>
        </w:tc>
        <w:tc>
          <w:tcPr>
            <w:tcW w:type="dxa" w:w="3475"/>
            <w:vAlign w:val="center"/>
          </w:tcPr>
          <w:p>
            <w:r/>
            <w:r>
              <w:rPr>
                <w:rFonts w:ascii="Arial" w:hAnsi="Arial"/>
                <w:b w:val="0"/>
                <w:sz w:val="16"/>
                <w:rFonts w:ascii="Arial" w:hAnsi="Arial" w:eastAsia="Arial"/>
              </w:rPr>
              <w:t>92,598</w:t>
            </w:r>
          </w:p>
        </w:tc>
      </w:tr>
      <w:tr>
        <w:tc>
          <w:tcPr>
            <w:tcW w:type="dxa" w:w="3475"/>
            <w:vAlign w:val="center"/>
          </w:tcPr>
          <w:p>
            <w:r/>
            <w:r>
              <w:rPr>
                <w:rFonts w:ascii="Arial" w:hAnsi="Arial"/>
                <w:b w:val="0"/>
                <w:sz w:val="16"/>
                <w:rFonts w:ascii="Arial" w:hAnsi="Arial" w:eastAsia="Arial"/>
              </w:rPr>
              <w:t>May</w:t>
            </w:r>
          </w:p>
        </w:tc>
        <w:tc>
          <w:tcPr>
            <w:tcW w:type="dxa" w:w="3475"/>
            <w:vAlign w:val="center"/>
          </w:tcPr>
          <w:p>
            <w:r/>
            <w:r>
              <w:rPr>
                <w:rFonts w:ascii="Arial" w:hAnsi="Arial"/>
                <w:b w:val="0"/>
                <w:sz w:val="16"/>
                <w:rFonts w:ascii="Arial" w:hAnsi="Arial" w:eastAsia="Arial"/>
              </w:rPr>
              <w:t>0.9</w:t>
            </w:r>
          </w:p>
        </w:tc>
        <w:tc>
          <w:tcPr>
            <w:tcW w:type="dxa" w:w="3475"/>
            <w:vAlign w:val="center"/>
          </w:tcPr>
          <w:p>
            <w:r/>
            <w:r>
              <w:rPr>
                <w:rFonts w:ascii="Arial" w:hAnsi="Arial"/>
                <w:b w:val="0"/>
                <w:sz w:val="16"/>
                <w:rFonts w:ascii="Arial" w:hAnsi="Arial" w:eastAsia="Arial"/>
              </w:rPr>
              <w:t>94,488</w:t>
            </w:r>
          </w:p>
        </w:tc>
      </w:tr>
      <w:tr>
        <w:tc>
          <w:tcPr>
            <w:tcW w:type="dxa" w:w="3475"/>
            <w:vAlign w:val="center"/>
          </w:tcPr>
          <w:p>
            <w:r/>
            <w:r>
              <w:rPr>
                <w:rFonts w:ascii="Arial" w:hAnsi="Arial"/>
                <w:b w:val="0"/>
                <w:sz w:val="16"/>
                <w:rFonts w:ascii="Arial" w:hAnsi="Arial" w:eastAsia="Arial"/>
              </w:rPr>
              <w:t>Jun</w:t>
            </w:r>
          </w:p>
        </w:tc>
        <w:tc>
          <w:tcPr>
            <w:tcW w:type="dxa" w:w="3475"/>
            <w:vAlign w:val="center"/>
          </w:tcPr>
          <w:p>
            <w:r/>
            <w:r>
              <w:rPr>
                <w:rFonts w:ascii="Arial" w:hAnsi="Arial"/>
                <w:b w:val="0"/>
                <w:sz w:val="16"/>
                <w:rFonts w:ascii="Arial" w:hAnsi="Arial" w:eastAsia="Arial"/>
              </w:rPr>
              <w:t>1.0</w:t>
            </w:r>
          </w:p>
        </w:tc>
        <w:tc>
          <w:tcPr>
            <w:tcW w:type="dxa" w:w="3475"/>
            <w:vAlign w:val="center"/>
          </w:tcPr>
          <w:p>
            <w:r/>
            <w:r>
              <w:rPr>
                <w:rFonts w:ascii="Arial" w:hAnsi="Arial"/>
                <w:b w:val="0"/>
                <w:sz w:val="16"/>
                <w:rFonts w:ascii="Arial" w:hAnsi="Arial" w:eastAsia="Arial"/>
              </w:rPr>
              <w:t>96,377</w:t>
            </w:r>
          </w:p>
        </w:tc>
      </w:tr>
      <w:tr>
        <w:tc>
          <w:tcPr>
            <w:tcW w:type="dxa" w:w="3475"/>
            <w:vAlign w:val="center"/>
          </w:tcPr>
          <w:p>
            <w:r/>
            <w:r>
              <w:rPr>
                <w:rFonts w:ascii="Arial" w:hAnsi="Arial"/>
                <w:b w:val="0"/>
                <w:sz w:val="16"/>
                <w:rFonts w:ascii="Arial" w:hAnsi="Arial" w:eastAsia="Arial"/>
              </w:rPr>
              <w:t>Jul</w:t>
            </w:r>
          </w:p>
        </w:tc>
        <w:tc>
          <w:tcPr>
            <w:tcW w:type="dxa" w:w="3475"/>
            <w:vAlign w:val="center"/>
          </w:tcPr>
          <w:p>
            <w:r/>
            <w:r>
              <w:rPr>
                <w:rFonts w:ascii="Arial" w:hAnsi="Arial"/>
                <w:b w:val="0"/>
                <w:sz w:val="16"/>
                <w:rFonts w:ascii="Arial" w:hAnsi="Arial" w:eastAsia="Arial"/>
              </w:rPr>
              <w:t>1.0</w:t>
            </w:r>
          </w:p>
        </w:tc>
        <w:tc>
          <w:tcPr>
            <w:tcW w:type="dxa" w:w="3475"/>
            <w:vAlign w:val="center"/>
          </w:tcPr>
          <w:p>
            <w:r/>
            <w:r>
              <w:rPr>
                <w:rFonts w:ascii="Arial" w:hAnsi="Arial"/>
                <w:b w:val="0"/>
                <w:sz w:val="16"/>
                <w:rFonts w:ascii="Arial" w:hAnsi="Arial" w:eastAsia="Arial"/>
              </w:rPr>
              <w:t>102,047</w:t>
            </w:r>
          </w:p>
        </w:tc>
      </w:tr>
      <w:tr>
        <w:tc>
          <w:tcPr>
            <w:tcW w:type="dxa" w:w="3475"/>
            <w:vAlign w:val="center"/>
          </w:tcPr>
          <w:p>
            <w:r/>
            <w:r>
              <w:rPr>
                <w:rFonts w:ascii="Arial" w:hAnsi="Arial"/>
                <w:b w:val="0"/>
                <w:sz w:val="16"/>
                <w:rFonts w:ascii="Arial" w:hAnsi="Arial" w:eastAsia="Arial"/>
              </w:rPr>
              <w:t>Aug</w:t>
            </w:r>
          </w:p>
        </w:tc>
        <w:tc>
          <w:tcPr>
            <w:tcW w:type="dxa" w:w="3475"/>
            <w:vAlign w:val="center"/>
          </w:tcPr>
          <w:p>
            <w:r/>
            <w:r>
              <w:rPr>
                <w:rFonts w:ascii="Arial" w:hAnsi="Arial"/>
                <w:b w:val="0"/>
                <w:sz w:val="16"/>
                <w:rFonts w:ascii="Arial" w:hAnsi="Arial" w:eastAsia="Arial"/>
              </w:rPr>
              <w:t>1.0</w:t>
            </w:r>
          </w:p>
        </w:tc>
        <w:tc>
          <w:tcPr>
            <w:tcW w:type="dxa" w:w="3475"/>
            <w:vAlign w:val="center"/>
          </w:tcPr>
          <w:p>
            <w:r/>
            <w:r>
              <w:rPr>
                <w:rFonts w:ascii="Arial" w:hAnsi="Arial"/>
                <w:b w:val="0"/>
                <w:sz w:val="16"/>
                <w:rFonts w:ascii="Arial" w:hAnsi="Arial" w:eastAsia="Arial"/>
              </w:rPr>
              <w:t>103,937</w:t>
            </w:r>
          </w:p>
        </w:tc>
      </w:tr>
      <w:tr>
        <w:tc>
          <w:tcPr>
            <w:tcW w:type="dxa" w:w="3475"/>
            <w:vAlign w:val="center"/>
          </w:tcPr>
          <w:p>
            <w:r/>
            <w:r>
              <w:rPr>
                <w:rFonts w:ascii="Arial" w:hAnsi="Arial"/>
                <w:b w:val="0"/>
                <w:sz w:val="16"/>
                <w:rFonts w:ascii="Arial" w:hAnsi="Arial" w:eastAsia="Arial"/>
              </w:rPr>
              <w:t>Sep</w:t>
            </w:r>
          </w:p>
        </w:tc>
        <w:tc>
          <w:tcPr>
            <w:tcW w:type="dxa" w:w="3475"/>
            <w:vAlign w:val="center"/>
          </w:tcPr>
          <w:p>
            <w:r/>
            <w:r>
              <w:rPr>
                <w:rFonts w:ascii="Arial" w:hAnsi="Arial"/>
                <w:b w:val="0"/>
                <w:sz w:val="16"/>
                <w:rFonts w:ascii="Arial" w:hAnsi="Arial" w:eastAsia="Arial"/>
              </w:rPr>
              <w:t>1.1</w:t>
            </w:r>
          </w:p>
        </w:tc>
        <w:tc>
          <w:tcPr>
            <w:tcW w:type="dxa" w:w="3475"/>
            <w:vAlign w:val="center"/>
          </w:tcPr>
          <w:p>
            <w:r/>
            <w:r>
              <w:rPr>
                <w:rFonts w:ascii="Arial" w:hAnsi="Arial"/>
                <w:b w:val="0"/>
                <w:sz w:val="16"/>
                <w:rFonts w:ascii="Arial" w:hAnsi="Arial" w:eastAsia="Arial"/>
              </w:rPr>
              <w:t>108,661</w:t>
            </w:r>
          </w:p>
        </w:tc>
      </w:tr>
      <w:tr>
        <w:tc>
          <w:tcPr>
            <w:tcW w:type="dxa" w:w="3475"/>
            <w:vAlign w:val="center"/>
          </w:tcPr>
          <w:p>
            <w:r/>
            <w:r>
              <w:rPr>
                <w:rFonts w:ascii="Arial" w:hAnsi="Arial"/>
                <w:b w:val="0"/>
                <w:sz w:val="16"/>
                <w:rFonts w:ascii="Arial" w:hAnsi="Arial" w:eastAsia="Arial"/>
              </w:rPr>
              <w:t>Oct</w:t>
            </w:r>
          </w:p>
        </w:tc>
        <w:tc>
          <w:tcPr>
            <w:tcW w:type="dxa" w:w="3475"/>
            <w:vAlign w:val="center"/>
          </w:tcPr>
          <w:p>
            <w:r/>
            <w:r>
              <w:rPr>
                <w:rFonts w:ascii="Arial" w:hAnsi="Arial"/>
                <w:b w:val="0"/>
                <w:sz w:val="16"/>
                <w:rFonts w:ascii="Arial" w:hAnsi="Arial" w:eastAsia="Arial"/>
              </w:rPr>
              <w:t>1.1</w:t>
            </w:r>
          </w:p>
        </w:tc>
        <w:tc>
          <w:tcPr>
            <w:tcW w:type="dxa" w:w="3475"/>
            <w:vAlign w:val="center"/>
          </w:tcPr>
          <w:p>
            <w:r/>
            <w:r>
              <w:rPr>
                <w:rFonts w:ascii="Arial" w:hAnsi="Arial"/>
                <w:b w:val="0"/>
                <w:sz w:val="16"/>
                <w:rFonts w:ascii="Arial" w:hAnsi="Arial" w:eastAsia="Arial"/>
              </w:rPr>
              <w:t>115,275</w:t>
            </w:r>
          </w:p>
        </w:tc>
      </w:tr>
      <w:tr>
        <w:tc>
          <w:tcPr>
            <w:tcW w:type="dxa" w:w="3475"/>
            <w:vAlign w:val="center"/>
          </w:tcPr>
          <w:p>
            <w:r/>
            <w:r>
              <w:rPr>
                <w:rFonts w:ascii="Arial" w:hAnsi="Arial"/>
                <w:b w:val="0"/>
                <w:sz w:val="16"/>
                <w:rFonts w:ascii="Arial" w:hAnsi="Arial" w:eastAsia="Arial"/>
              </w:rPr>
              <w:t>Nov</w:t>
            </w:r>
          </w:p>
        </w:tc>
        <w:tc>
          <w:tcPr>
            <w:tcW w:type="dxa" w:w="3475"/>
            <w:vAlign w:val="center"/>
          </w:tcPr>
          <w:p>
            <w:r/>
            <w:r>
              <w:rPr>
                <w:rFonts w:ascii="Arial" w:hAnsi="Arial"/>
                <w:b w:val="0"/>
                <w:sz w:val="16"/>
                <w:rFonts w:ascii="Arial" w:hAnsi="Arial" w:eastAsia="Arial"/>
              </w:rPr>
              <w:t>1.1</w:t>
            </w:r>
          </w:p>
        </w:tc>
        <w:tc>
          <w:tcPr>
            <w:tcW w:type="dxa" w:w="3475"/>
            <w:vAlign w:val="center"/>
          </w:tcPr>
          <w:p>
            <w:r/>
            <w:r>
              <w:rPr>
                <w:rFonts w:ascii="Arial" w:hAnsi="Arial"/>
                <w:b w:val="0"/>
                <w:sz w:val="16"/>
                <w:rFonts w:ascii="Arial" w:hAnsi="Arial" w:eastAsia="Arial"/>
              </w:rPr>
              <w:t>111,496</w:t>
            </w:r>
          </w:p>
        </w:tc>
      </w:tr>
      <w:tr>
        <w:tc>
          <w:tcPr>
            <w:tcW w:type="dxa" w:w="3475"/>
            <w:vAlign w:val="center"/>
          </w:tcPr>
          <w:p>
            <w:r/>
            <w:r>
              <w:rPr>
                <w:rFonts w:ascii="Arial" w:hAnsi="Arial"/>
                <w:b w:val="0"/>
                <w:sz w:val="16"/>
                <w:rFonts w:ascii="Arial" w:hAnsi="Arial" w:eastAsia="Arial"/>
              </w:rPr>
              <w:t>Dec</w:t>
            </w:r>
          </w:p>
        </w:tc>
        <w:tc>
          <w:tcPr>
            <w:tcW w:type="dxa" w:w="3475"/>
            <w:vAlign w:val="center"/>
          </w:tcPr>
          <w:p>
            <w:r/>
            <w:r>
              <w:rPr>
                <w:rFonts w:ascii="Arial" w:hAnsi="Arial"/>
                <w:b w:val="0"/>
                <w:sz w:val="16"/>
                <w:rFonts w:ascii="Arial" w:hAnsi="Arial" w:eastAsia="Arial"/>
              </w:rPr>
              <w:t>1.4</w:t>
            </w:r>
          </w:p>
        </w:tc>
        <w:tc>
          <w:tcPr>
            <w:tcW w:type="dxa" w:w="3475"/>
            <w:vAlign w:val="center"/>
          </w:tcPr>
          <w:p>
            <w:r/>
            <w:r>
              <w:rPr>
                <w:rFonts w:ascii="Arial" w:hAnsi="Arial"/>
                <w:b w:val="0"/>
                <w:sz w:val="16"/>
                <w:rFonts w:ascii="Arial" w:hAnsi="Arial" w:eastAsia="Arial"/>
              </w:rPr>
              <w:t>137,007</w:t>
            </w:r>
          </w:p>
        </w:tc>
      </w:tr>
    </w:tbl>
    <w:p/>
    <w:p>
      <w:r>
        <w:drawing>
          <wp:inline xmlns:a="http://schemas.openxmlformats.org/drawingml/2006/main" xmlns:pic="http://schemas.openxmlformats.org/drawingml/2006/picture">
            <wp:extent cx="5577840" cy="3067812"/>
            <wp:docPr id="2" name="Picture 2"/>
            <wp:cNvGraphicFramePr>
              <a:graphicFrameLocks noChangeAspect="1"/>
            </wp:cNvGraphicFramePr>
            <a:graphic>
              <a:graphicData uri="http://schemas.openxmlformats.org/drawingml/2006/picture">
                <pic:pic>
                  <pic:nvPicPr>
                    <pic:cNvPr id="0" name="seasonal_index.png"/>
                    <pic:cNvPicPr/>
                  </pic:nvPicPr>
                  <pic:blipFill>
                    <a:blip r:embed="rId11"/>
                    <a:stretch>
                      <a:fillRect/>
                    </a:stretch>
                  </pic:blipFill>
                  <pic:spPr>
                    <a:xfrm>
                      <a:off x="0" y="0"/>
                      <a:ext cx="5577840" cy="3067812"/>
                    </a:xfrm>
                    <a:prstGeom prst="rect"/>
                  </pic:spPr>
                </pic:pic>
              </a:graphicData>
            </a:graphic>
          </wp:inline>
        </w:drawing>
      </w:r>
    </w:p>
    <w:p>
      <w:pPr>
        <w:jc w:val="center"/>
      </w:pPr>
      <w:r>
        <w:rPr>
          <w:rFonts w:ascii="Arial" w:hAnsi="Arial"/>
          <w:i/>
          <w:sz w:val="17"/>
        </w:rPr>
        <w:t>Hình 2. Seasonal demand index (average month = 1.0)</w:t>
      </w:r>
    </w:p>
    <w:p>
      <w:pPr>
        <w:pStyle w:val="Heading1"/>
      </w:pPr>
      <w:r>
        <w:t>6. Cost Model: transport, warehouse, handling, penalty</w:t>
      </w:r>
    </w:p>
    <w:p>
      <w:r>
        <w:t>Một outcome phân tích chuẩn senior manager phải quy đổi network design thành financial impact. Do đó engine cần tính tổng chi phí theo nhiều cost component, không chỉ distance.</w:t>
      </w:r>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Total Network Cost = Transport Cost + Warehouse Fixed Cost + Handling Cost + Inventory/Seasonal Cost + SLA/Expedite Penalty</w:t>
            </w:r>
          </w:p>
          <w:p>
            <w:r>
              <w:rPr>
                <w:rFonts w:ascii="Consolas" w:hAnsi="Consolas"/>
                <w:sz w:val="18"/>
              </w:rPr>
              <w:t>TransportCost = sum_i sum_j D_i x c_i,j x y_i,j</w:t>
            </w:r>
          </w:p>
          <w:p>
            <w:r>
              <w:rPr>
                <w:rFonts w:ascii="Consolas" w:hAnsi="Consolas"/>
                <w:sz w:val="18"/>
              </w:rPr>
              <w:t>WarehouseFixedCost = sum_j f_j x_j</w:t>
            </w:r>
          </w:p>
          <w:p>
            <w:r>
              <w:rPr>
                <w:rFonts w:ascii="Consolas" w:hAnsi="Consolas"/>
                <w:sz w:val="18"/>
              </w:rPr>
              <w:t>HandlingCost = sum_i sum_j D_i x H_j x y_i,j</w:t>
            </w:r>
          </w:p>
          <w:p>
            <w:r>
              <w:rPr>
                <w:rFonts w:ascii="Consolas" w:hAnsi="Consolas"/>
                <w:sz w:val="18"/>
              </w:rPr>
              <w:t>OverloadPenalty = sum_j max(0, AssignedDemand_j - TargetUtilization x Cap_j) x PenaltyRate</w:t>
            </w:r>
          </w:p>
        </w:tc>
      </w:tr>
    </w:tbl>
    <w:p/>
    <w:p>
      <w:r>
        <w:rPr>
          <w:b/>
          <w:sz w:val="20"/>
        </w:rPr>
        <w:t>Bảng 5. Cost assumptions for outcome analysis</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5"/>
                <w:rFonts w:ascii="Arial" w:hAnsi="Arial" w:eastAsia="Arial"/>
              </w:rPr>
              <w:t>Cost item</w:t>
            </w:r>
          </w:p>
        </w:tc>
        <w:tc>
          <w:tcPr>
            <w:tcW w:type="dxa" w:w="3475"/>
            <w:shd w:fill="D9EAF7"/>
            <w:vAlign w:val="center"/>
          </w:tcPr>
          <w:p>
            <w:r/>
            <w:r>
              <w:rPr>
                <w:rFonts w:ascii="Arial" w:hAnsi="Arial"/>
                <w:b/>
                <w:sz w:val="15"/>
                <w:rFonts w:ascii="Arial" w:hAnsi="Arial" w:eastAsia="Arial"/>
              </w:rPr>
              <w:t>Assumption</w:t>
            </w:r>
          </w:p>
        </w:tc>
        <w:tc>
          <w:tcPr>
            <w:tcW w:type="dxa" w:w="3475"/>
            <w:shd w:fill="D9EAF7"/>
            <w:vAlign w:val="center"/>
          </w:tcPr>
          <w:p>
            <w:r/>
            <w:r>
              <w:rPr>
                <w:rFonts w:ascii="Arial" w:hAnsi="Arial"/>
                <w:b/>
                <w:sz w:val="15"/>
                <w:rFonts w:ascii="Arial" w:hAnsi="Arial" w:eastAsia="Arial"/>
              </w:rPr>
              <w:t>Managerial meaning</w:t>
            </w:r>
          </w:p>
        </w:tc>
      </w:tr>
      <w:tr>
        <w:tc>
          <w:tcPr>
            <w:tcW w:type="dxa" w:w="3475"/>
            <w:vAlign w:val="center"/>
          </w:tcPr>
          <w:p>
            <w:r/>
            <w:r>
              <w:rPr>
                <w:rFonts w:ascii="Arial" w:hAnsi="Arial"/>
                <w:b w:val="0"/>
                <w:sz w:val="15"/>
                <w:rFonts w:ascii="Arial" w:hAnsi="Arial" w:eastAsia="Arial"/>
              </w:rPr>
              <w:t>Base transport rate</w:t>
            </w:r>
          </w:p>
        </w:tc>
        <w:tc>
          <w:tcPr>
            <w:tcW w:type="dxa" w:w="3475"/>
            <w:vAlign w:val="center"/>
          </w:tcPr>
          <w:p>
            <w:r/>
            <w:r>
              <w:rPr>
                <w:rFonts w:ascii="Arial" w:hAnsi="Arial"/>
                <w:b w:val="0"/>
                <w:sz w:val="15"/>
                <w:rFonts w:ascii="Arial" w:hAnsi="Arial" w:eastAsia="Arial"/>
              </w:rPr>
              <w:t>KRW 650 / pallet-km</w:t>
            </w:r>
          </w:p>
        </w:tc>
        <w:tc>
          <w:tcPr>
            <w:tcW w:type="dxa" w:w="3475"/>
            <w:vAlign w:val="center"/>
          </w:tcPr>
          <w:p>
            <w:r/>
            <w:r>
              <w:rPr>
                <w:rFonts w:ascii="Arial" w:hAnsi="Arial"/>
                <w:b w:val="0"/>
                <w:sz w:val="15"/>
                <w:rFonts w:ascii="Arial" w:hAnsi="Arial" w:eastAsia="Arial"/>
              </w:rPr>
              <w:t>MVP assumption; can be replaced by customer lane cost</w:t>
            </w:r>
          </w:p>
        </w:tc>
      </w:tr>
      <w:tr>
        <w:tc>
          <w:tcPr>
            <w:tcW w:type="dxa" w:w="3475"/>
            <w:vAlign w:val="center"/>
          </w:tcPr>
          <w:p>
            <w:r/>
            <w:r>
              <w:rPr>
                <w:rFonts w:ascii="Arial" w:hAnsi="Arial"/>
                <w:b w:val="0"/>
                <w:sz w:val="15"/>
                <w:rFonts w:ascii="Arial" w:hAnsi="Arial" w:eastAsia="Arial"/>
              </w:rPr>
              <w:t>Long-haul surcharge</w:t>
            </w:r>
          </w:p>
        </w:tc>
        <w:tc>
          <w:tcPr>
            <w:tcW w:type="dxa" w:w="3475"/>
            <w:vAlign w:val="center"/>
          </w:tcPr>
          <w:p>
            <w:r/>
            <w:r>
              <w:rPr>
                <w:rFonts w:ascii="Arial" w:hAnsi="Arial"/>
                <w:b w:val="0"/>
                <w:sz w:val="15"/>
                <w:rFonts w:ascii="Arial" w:hAnsi="Arial" w:eastAsia="Arial"/>
              </w:rPr>
              <w:t>+8% if distance &gt; 300 km</w:t>
            </w:r>
          </w:p>
        </w:tc>
        <w:tc>
          <w:tcPr>
            <w:tcW w:type="dxa" w:w="3475"/>
            <w:vAlign w:val="center"/>
          </w:tcPr>
          <w:p>
            <w:r/>
            <w:r>
              <w:rPr>
                <w:rFonts w:ascii="Arial" w:hAnsi="Arial"/>
                <w:b w:val="0"/>
                <w:sz w:val="15"/>
                <w:rFonts w:ascii="Arial" w:hAnsi="Arial" w:eastAsia="Arial"/>
              </w:rPr>
              <w:t>Reflects long-haul handling and carrier premium</w:t>
            </w:r>
          </w:p>
        </w:tc>
      </w:tr>
      <w:tr>
        <w:tc>
          <w:tcPr>
            <w:tcW w:type="dxa" w:w="3475"/>
            <w:vAlign w:val="center"/>
          </w:tcPr>
          <w:p>
            <w:r/>
            <w:r>
              <w:rPr>
                <w:rFonts w:ascii="Arial" w:hAnsi="Arial"/>
                <w:b w:val="0"/>
                <w:sz w:val="15"/>
                <w:rFonts w:ascii="Arial" w:hAnsi="Arial" w:eastAsia="Arial"/>
              </w:rPr>
              <w:t>Jeju special surcharge</w:t>
            </w:r>
          </w:p>
        </w:tc>
        <w:tc>
          <w:tcPr>
            <w:tcW w:type="dxa" w:w="3475"/>
            <w:vAlign w:val="center"/>
          </w:tcPr>
          <w:p>
            <w:r/>
            <w:r>
              <w:rPr>
                <w:rFonts w:ascii="Arial" w:hAnsi="Arial"/>
                <w:b w:val="0"/>
                <w:sz w:val="15"/>
                <w:rFonts w:ascii="Arial" w:hAnsi="Arial" w:eastAsia="Arial"/>
              </w:rPr>
              <w:t>+35%</w:t>
            </w:r>
          </w:p>
        </w:tc>
        <w:tc>
          <w:tcPr>
            <w:tcW w:type="dxa" w:w="3475"/>
            <w:vAlign w:val="center"/>
          </w:tcPr>
          <w:p>
            <w:r/>
            <w:r>
              <w:rPr>
                <w:rFonts w:ascii="Arial" w:hAnsi="Arial"/>
                <w:b w:val="0"/>
                <w:sz w:val="15"/>
                <w:rFonts w:ascii="Arial" w:hAnsi="Arial" w:eastAsia="Arial"/>
              </w:rPr>
              <w:t>Island/seaport handling</w:t>
            </w:r>
          </w:p>
        </w:tc>
      </w:tr>
      <w:tr>
        <w:tc>
          <w:tcPr>
            <w:tcW w:type="dxa" w:w="3475"/>
            <w:vAlign w:val="center"/>
          </w:tcPr>
          <w:p>
            <w:r/>
            <w:r>
              <w:rPr>
                <w:rFonts w:ascii="Arial" w:hAnsi="Arial"/>
                <w:b w:val="0"/>
                <w:sz w:val="15"/>
                <w:rFonts w:ascii="Arial" w:hAnsi="Arial" w:eastAsia="Arial"/>
              </w:rPr>
              <w:t>Emergency expedite cost</w:t>
            </w:r>
          </w:p>
        </w:tc>
        <w:tc>
          <w:tcPr>
            <w:tcW w:type="dxa" w:w="3475"/>
            <w:vAlign w:val="center"/>
          </w:tcPr>
          <w:p>
            <w:r/>
            <w:r>
              <w:rPr>
                <w:rFonts w:ascii="Arial" w:hAnsi="Arial"/>
                <w:b w:val="0"/>
                <w:sz w:val="15"/>
                <w:rFonts w:ascii="Arial" w:hAnsi="Arial" w:eastAsia="Arial"/>
              </w:rPr>
              <w:t>KRW 25,000 / pallet</w:t>
            </w:r>
          </w:p>
        </w:tc>
        <w:tc>
          <w:tcPr>
            <w:tcW w:type="dxa" w:w="3475"/>
            <w:vAlign w:val="center"/>
          </w:tcPr>
          <w:p>
            <w:r/>
            <w:r>
              <w:rPr>
                <w:rFonts w:ascii="Arial" w:hAnsi="Arial"/>
                <w:b w:val="0"/>
                <w:sz w:val="15"/>
                <w:rFonts w:ascii="Arial" w:hAnsi="Arial" w:eastAsia="Arial"/>
              </w:rPr>
              <w:t>Applied when SLA miss risk is high</w:t>
            </w:r>
          </w:p>
        </w:tc>
      </w:tr>
      <w:tr>
        <w:tc>
          <w:tcPr>
            <w:tcW w:type="dxa" w:w="3475"/>
            <w:vAlign w:val="center"/>
          </w:tcPr>
          <w:p>
            <w:r/>
            <w:r>
              <w:rPr>
                <w:rFonts w:ascii="Arial" w:hAnsi="Arial"/>
                <w:b w:val="0"/>
                <w:sz w:val="15"/>
                <w:rFonts w:ascii="Arial" w:hAnsi="Arial" w:eastAsia="Arial"/>
              </w:rPr>
              <w:t>National hub fixed cost</w:t>
            </w:r>
          </w:p>
        </w:tc>
        <w:tc>
          <w:tcPr>
            <w:tcW w:type="dxa" w:w="3475"/>
            <w:vAlign w:val="center"/>
          </w:tcPr>
          <w:p>
            <w:r/>
            <w:r>
              <w:rPr>
                <w:rFonts w:ascii="Arial" w:hAnsi="Arial"/>
                <w:b w:val="0"/>
                <w:sz w:val="15"/>
                <w:rFonts w:ascii="Arial" w:hAnsi="Arial" w:eastAsia="Arial"/>
              </w:rPr>
              <w:t>KRW 8.0B/year</w:t>
            </w:r>
          </w:p>
        </w:tc>
        <w:tc>
          <w:tcPr>
            <w:tcW w:type="dxa" w:w="3475"/>
            <w:vAlign w:val="center"/>
          </w:tcPr>
          <w:p>
            <w:r/>
            <w:r>
              <w:rPr>
                <w:rFonts w:ascii="Arial" w:hAnsi="Arial"/>
                <w:b w:val="0"/>
                <w:sz w:val="15"/>
                <w:rFonts w:ascii="Arial" w:hAnsi="Arial" w:eastAsia="Arial"/>
              </w:rPr>
              <w:t>Large DC or strategic hub</w:t>
            </w:r>
          </w:p>
        </w:tc>
      </w:tr>
      <w:tr>
        <w:tc>
          <w:tcPr>
            <w:tcW w:type="dxa" w:w="3475"/>
            <w:vAlign w:val="center"/>
          </w:tcPr>
          <w:p>
            <w:r/>
            <w:r>
              <w:rPr>
                <w:rFonts w:ascii="Arial" w:hAnsi="Arial"/>
                <w:b w:val="0"/>
                <w:sz w:val="15"/>
                <w:rFonts w:ascii="Arial" w:hAnsi="Arial" w:eastAsia="Arial"/>
              </w:rPr>
              <w:t>Regional hub fixed cost</w:t>
            </w:r>
          </w:p>
        </w:tc>
        <w:tc>
          <w:tcPr>
            <w:tcW w:type="dxa" w:w="3475"/>
            <w:vAlign w:val="center"/>
          </w:tcPr>
          <w:p>
            <w:r/>
            <w:r>
              <w:rPr>
                <w:rFonts w:ascii="Arial" w:hAnsi="Arial"/>
                <w:b w:val="0"/>
                <w:sz w:val="15"/>
                <w:rFonts w:ascii="Arial" w:hAnsi="Arial" w:eastAsia="Arial"/>
              </w:rPr>
              <w:t>KRW 4.5-6.5B/year</w:t>
            </w:r>
          </w:p>
        </w:tc>
        <w:tc>
          <w:tcPr>
            <w:tcW w:type="dxa" w:w="3475"/>
            <w:vAlign w:val="center"/>
          </w:tcPr>
          <w:p>
            <w:r/>
            <w:r>
              <w:rPr>
                <w:rFonts w:ascii="Arial" w:hAnsi="Arial"/>
                <w:b w:val="0"/>
                <w:sz w:val="15"/>
                <w:rFonts w:ascii="Arial" w:hAnsi="Arial" w:eastAsia="Arial"/>
              </w:rPr>
              <w:t>Regional warehouse or 3PL hub</w:t>
            </w:r>
          </w:p>
        </w:tc>
      </w:tr>
      <w:tr>
        <w:tc>
          <w:tcPr>
            <w:tcW w:type="dxa" w:w="3475"/>
            <w:vAlign w:val="center"/>
          </w:tcPr>
          <w:p>
            <w:r/>
            <w:r>
              <w:rPr>
                <w:rFonts w:ascii="Arial" w:hAnsi="Arial"/>
                <w:b w:val="0"/>
                <w:sz w:val="15"/>
                <w:rFonts w:ascii="Arial" w:hAnsi="Arial" w:eastAsia="Arial"/>
              </w:rPr>
              <w:t>Handling cost</w:t>
            </w:r>
          </w:p>
        </w:tc>
        <w:tc>
          <w:tcPr>
            <w:tcW w:type="dxa" w:w="3475"/>
            <w:vAlign w:val="center"/>
          </w:tcPr>
          <w:p>
            <w:r/>
            <w:r>
              <w:rPr>
                <w:rFonts w:ascii="Arial" w:hAnsi="Arial"/>
                <w:b w:val="0"/>
                <w:sz w:val="15"/>
                <w:rFonts w:ascii="Arial" w:hAnsi="Arial" w:eastAsia="Arial"/>
              </w:rPr>
              <w:t>KRW 7,500-8,600 / pallet</w:t>
            </w:r>
          </w:p>
        </w:tc>
        <w:tc>
          <w:tcPr>
            <w:tcW w:type="dxa" w:w="3475"/>
            <w:vAlign w:val="center"/>
          </w:tcPr>
          <w:p>
            <w:r/>
            <w:r>
              <w:rPr>
                <w:rFonts w:ascii="Arial" w:hAnsi="Arial"/>
                <w:b w:val="0"/>
                <w:sz w:val="15"/>
                <w:rFonts w:ascii="Arial" w:hAnsi="Arial" w:eastAsia="Arial"/>
              </w:rPr>
              <w:t>Receiving, picking, staging, loading</w:t>
            </w:r>
          </w:p>
        </w:tc>
      </w:tr>
      <w:tr>
        <w:tc>
          <w:tcPr>
            <w:tcW w:type="dxa" w:w="3475"/>
            <w:vAlign w:val="center"/>
          </w:tcPr>
          <w:p>
            <w:r/>
            <w:r>
              <w:rPr>
                <w:rFonts w:ascii="Arial" w:hAnsi="Arial"/>
                <w:b w:val="0"/>
                <w:sz w:val="15"/>
                <w:rFonts w:ascii="Arial" w:hAnsi="Arial" w:eastAsia="Arial"/>
              </w:rPr>
              <w:t>Target utilization</w:t>
            </w:r>
          </w:p>
        </w:tc>
        <w:tc>
          <w:tcPr>
            <w:tcW w:type="dxa" w:w="3475"/>
            <w:vAlign w:val="center"/>
          </w:tcPr>
          <w:p>
            <w:r/>
            <w:r>
              <w:rPr>
                <w:rFonts w:ascii="Arial" w:hAnsi="Arial"/>
                <w:b w:val="0"/>
                <w:sz w:val="15"/>
                <w:rFonts w:ascii="Arial" w:hAnsi="Arial" w:eastAsia="Arial"/>
              </w:rPr>
              <w:t>75-90%</w:t>
            </w:r>
          </w:p>
        </w:tc>
        <w:tc>
          <w:tcPr>
            <w:tcW w:type="dxa" w:w="3475"/>
            <w:vAlign w:val="center"/>
          </w:tcPr>
          <w:p>
            <w:r/>
            <w:r>
              <w:rPr>
                <w:rFonts w:ascii="Arial" w:hAnsi="Arial"/>
                <w:b w:val="0"/>
                <w:sz w:val="15"/>
                <w:rFonts w:ascii="Arial" w:hAnsi="Arial" w:eastAsia="Arial"/>
              </w:rPr>
              <w:t>Healthy operating range</w:t>
            </w:r>
          </w:p>
        </w:tc>
      </w:tr>
      <w:tr>
        <w:tc>
          <w:tcPr>
            <w:tcW w:type="dxa" w:w="3475"/>
            <w:vAlign w:val="center"/>
          </w:tcPr>
          <w:p>
            <w:r/>
            <w:r>
              <w:rPr>
                <w:rFonts w:ascii="Arial" w:hAnsi="Arial"/>
                <w:b w:val="0"/>
                <w:sz w:val="15"/>
                <w:rFonts w:ascii="Arial" w:hAnsi="Arial" w:eastAsia="Arial"/>
              </w:rPr>
              <w:t>Critical utilization threshold</w:t>
            </w:r>
          </w:p>
        </w:tc>
        <w:tc>
          <w:tcPr>
            <w:tcW w:type="dxa" w:w="3475"/>
            <w:vAlign w:val="center"/>
          </w:tcPr>
          <w:p>
            <w:r/>
            <w:r>
              <w:rPr>
                <w:rFonts w:ascii="Arial" w:hAnsi="Arial"/>
                <w:b w:val="0"/>
                <w:sz w:val="15"/>
                <w:rFonts w:ascii="Arial" w:hAnsi="Arial" w:eastAsia="Arial"/>
              </w:rPr>
              <w:t>&gt;95%</w:t>
            </w:r>
          </w:p>
        </w:tc>
        <w:tc>
          <w:tcPr>
            <w:tcW w:type="dxa" w:w="3475"/>
            <w:vAlign w:val="center"/>
          </w:tcPr>
          <w:p>
            <w:r/>
            <w:r>
              <w:rPr>
                <w:rFonts w:ascii="Arial" w:hAnsi="Arial"/>
                <w:b w:val="0"/>
                <w:sz w:val="15"/>
                <w:rFonts w:ascii="Arial" w:hAnsi="Arial" w:eastAsia="Arial"/>
              </w:rPr>
              <w:t>Watchlist; seasonal buffer required</w:t>
            </w:r>
          </w:p>
        </w:tc>
      </w:tr>
      <w:tr>
        <w:tc>
          <w:tcPr>
            <w:tcW w:type="dxa" w:w="3475"/>
            <w:vAlign w:val="center"/>
          </w:tcPr>
          <w:p>
            <w:r/>
            <w:r>
              <w:rPr>
                <w:rFonts w:ascii="Arial" w:hAnsi="Arial"/>
                <w:b w:val="0"/>
                <w:sz w:val="15"/>
                <w:rFonts w:ascii="Arial" w:hAnsi="Arial" w:eastAsia="Arial"/>
              </w:rPr>
              <w:t>Overload threshold</w:t>
            </w:r>
          </w:p>
        </w:tc>
        <w:tc>
          <w:tcPr>
            <w:tcW w:type="dxa" w:w="3475"/>
            <w:vAlign w:val="center"/>
          </w:tcPr>
          <w:p>
            <w:r/>
            <w:r>
              <w:rPr>
                <w:rFonts w:ascii="Arial" w:hAnsi="Arial"/>
                <w:b w:val="0"/>
                <w:sz w:val="15"/>
                <w:rFonts w:ascii="Arial" w:hAnsi="Arial" w:eastAsia="Arial"/>
              </w:rPr>
              <w:t>&gt;110%</w:t>
            </w:r>
          </w:p>
        </w:tc>
        <w:tc>
          <w:tcPr>
            <w:tcW w:type="dxa" w:w="3475"/>
            <w:vAlign w:val="center"/>
          </w:tcPr>
          <w:p>
            <w:r/>
            <w:r>
              <w:rPr>
                <w:rFonts w:ascii="Arial" w:hAnsi="Arial"/>
                <w:b w:val="0"/>
                <w:sz w:val="15"/>
                <w:rFonts w:ascii="Arial" w:hAnsi="Arial" w:eastAsia="Arial"/>
              </w:rPr>
              <w:t>Operational risk; overtime/overflow likely</w:t>
            </w:r>
          </w:p>
        </w:tc>
      </w:tr>
    </w:tbl>
    <w:p/>
    <w:p>
      <w:pPr>
        <w:pStyle w:val="Heading1"/>
      </w:pPr>
      <w:r>
        <w:t>7. Optimization Engine: P-median, UFLP, CFLP, MCLP</w:t>
      </w:r>
    </w:p>
    <w:p>
      <w:pPr>
        <w:pStyle w:val="Heading2"/>
      </w:pPr>
      <w:r>
        <w:t>7.1. P-median</w:t>
      </w:r>
    </w:p>
    <w:p>
      <w:r>
        <w:t>Dùng khi doanh nghiệp muốn mở đúng P hub và tối thiểu hóa demand-weighted transportation distance/cost.</w:t>
      </w:r>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Minimize sum_i sum_j h_i c_i,j y_i,j</w:t>
            </w:r>
          </w:p>
          <w:p>
            <w:r>
              <w:rPr>
                <w:rFonts w:ascii="Consolas" w:hAnsi="Consolas"/>
                <w:sz w:val="18"/>
              </w:rPr>
              <w:t>s.t. sum_j y_i,j = 1 for all i</w:t>
            </w:r>
          </w:p>
          <w:p>
            <w:r>
              <w:rPr>
                <w:rFonts w:ascii="Consolas" w:hAnsi="Consolas"/>
                <w:sz w:val="18"/>
              </w:rPr>
              <w:t>y_i,j &lt;= x_j for all i,j</w:t>
            </w:r>
          </w:p>
          <w:p>
            <w:r>
              <w:rPr>
                <w:rFonts w:ascii="Consolas" w:hAnsi="Consolas"/>
                <w:sz w:val="18"/>
              </w:rPr>
              <w:t>sum_j x_j = P</w:t>
            </w:r>
          </w:p>
          <w:p>
            <w:r>
              <w:rPr>
                <w:rFonts w:ascii="Consolas" w:hAnsi="Consolas"/>
                <w:sz w:val="18"/>
              </w:rPr>
              <w:t>x_j, y_i,j in {0,1}</w:t>
            </w:r>
          </w:p>
        </w:tc>
      </w:tr>
    </w:tbl>
    <w:p/>
    <w:p>
      <w:pPr>
        <w:pStyle w:val="Heading2"/>
      </w:pPr>
      <w:r>
        <w:t>7.2. UFLP</w:t>
      </w:r>
    </w:p>
    <w:p>
      <w:r>
        <w:t>Dùng khi số lượng hub không cố định. Model tự quyết định mở bao nhiêu hub dựa trên trade-off giữa fixed cost và transport cost.</w:t>
      </w:r>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Minimize sum_j f_j x_j + sum_i sum_j h_i c_i,j y_i,j</w:t>
            </w:r>
          </w:p>
          <w:p>
            <w:r>
              <w:rPr>
                <w:rFonts w:ascii="Consolas" w:hAnsi="Consolas"/>
                <w:sz w:val="18"/>
              </w:rPr>
              <w:t>s.t. sum_j y_i,j = 1 for all i</w:t>
            </w:r>
          </w:p>
          <w:p>
            <w:r>
              <w:rPr>
                <w:rFonts w:ascii="Consolas" w:hAnsi="Consolas"/>
                <w:sz w:val="18"/>
              </w:rPr>
              <w:t>y_i,j &lt;= x_j for all i,j</w:t>
            </w:r>
          </w:p>
          <w:p>
            <w:r>
              <w:rPr>
                <w:rFonts w:ascii="Consolas" w:hAnsi="Consolas"/>
                <w:sz w:val="18"/>
              </w:rPr>
              <w:t>x_j, y_i,j in {0,1}</w:t>
            </w:r>
          </w:p>
        </w:tc>
      </w:tr>
    </w:tbl>
    <w:p/>
    <w:p>
      <w:pPr>
        <w:pStyle w:val="Heading2"/>
      </w:pPr>
      <w:r>
        <w:t>7.3. CFLP</w:t>
      </w:r>
    </w:p>
    <w:p>
      <w:r>
        <w:t>Dùng khi hub có capacity giới hạn, phù hợp hơn với sản phẩm thực tế.</w:t>
      </w:r>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Minimize sum_j f_j x_j + sum_i sum_j h_i c_i,j y_i,j</w:t>
            </w:r>
          </w:p>
          <w:p>
            <w:r>
              <w:rPr>
                <w:rFonts w:ascii="Consolas" w:hAnsi="Consolas"/>
                <w:sz w:val="18"/>
              </w:rPr>
              <w:t>s.t. sum_j y_i,j = 1 for all i</w:t>
            </w:r>
          </w:p>
          <w:p>
            <w:r>
              <w:rPr>
                <w:rFonts w:ascii="Consolas" w:hAnsi="Consolas"/>
                <w:sz w:val="18"/>
              </w:rPr>
              <w:t>y_i,j &lt;= x_j for all i,j</w:t>
            </w:r>
          </w:p>
          <w:p>
            <w:r>
              <w:rPr>
                <w:rFonts w:ascii="Consolas" w:hAnsi="Consolas"/>
                <w:sz w:val="18"/>
              </w:rPr>
              <w:t>sum_i h_i y_i,j &lt;= Cap_j x_j for all j</w:t>
            </w:r>
          </w:p>
          <w:p>
            <w:r>
              <w:rPr>
                <w:rFonts w:ascii="Consolas" w:hAnsi="Consolas"/>
                <w:sz w:val="18"/>
              </w:rPr>
              <w:t>x_j, y_i,j in {0,1}</w:t>
            </w:r>
          </w:p>
        </w:tc>
      </w:tr>
    </w:tbl>
    <w:p/>
    <w:p>
      <w:pPr>
        <w:pStyle w:val="Heading2"/>
      </w:pPr>
      <w:r>
        <w:t>7.4. Seasonal multi-period extension</w:t>
      </w:r>
    </w:p>
    <w:p>
      <w:r>
        <w:t>Để xử lý seasonal demand, engine cần mở rộng model theo kỳ t, ví dụ tháng hoặc quý.</w:t>
      </w:r>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Minimize sum_j f_j x_j + sum_t sum_i sum_j D_i,t c_i,j y_i,j,t + sum_t sum_j TempCost_j,t u_j,t + Penalty_j,t</w:t>
            </w:r>
          </w:p>
          <w:p>
            <w:r>
              <w:rPr>
                <w:rFonts w:ascii="Consolas" w:hAnsi="Consolas"/>
                <w:sz w:val="18"/>
              </w:rPr>
              <w:t>s.t. sum_j y_i,j,t = 1 for all i,t</w:t>
            </w:r>
          </w:p>
          <w:p>
            <w:r>
              <w:rPr>
                <w:rFonts w:ascii="Consolas" w:hAnsi="Consolas"/>
                <w:sz w:val="18"/>
              </w:rPr>
              <w:t>y_i,j,t &lt;= x_j for all i,j,t</w:t>
            </w:r>
          </w:p>
          <w:p>
            <w:r>
              <w:rPr>
                <w:rFonts w:ascii="Consolas" w:hAnsi="Consolas"/>
                <w:sz w:val="18"/>
              </w:rPr>
              <w:t>sum_i D_i,t y_i,j,t &lt;= Cap_j,t x_j + u_j,t for all j,t</w:t>
            </w:r>
          </w:p>
          <w:p>
            <w:r>
              <w:rPr>
                <w:rFonts w:ascii="Consolas" w:hAnsi="Consolas"/>
                <w:sz w:val="18"/>
              </w:rPr>
              <w:t>u_j,t &gt;= 0: temporary capacity purchased in period t</w:t>
            </w:r>
          </w:p>
        </w:tc>
      </w:tr>
    </w:tbl>
    <w:p/>
    <w:p>
      <w:pPr>
        <w:pStyle w:val="Heading1"/>
      </w:pPr>
      <w:r>
        <w:t>8. Current Network Diagnosis</w:t>
      </w:r>
    </w:p>
    <w:p>
      <w:r>
        <w:t>Giả định current network của doanh nghiệp có 3 hub chính: Gyeonggi, Busan và Daegu. Đây là baseline để so sánh với network tối ưu.</w:t>
      </w:r>
    </w:p>
    <w:p>
      <w:r>
        <w:rPr>
          <w:b/>
          <w:sz w:val="20"/>
        </w:rPr>
        <w:t>Bảng 6. Current hub utilization baseline</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fill="D9EAF7"/>
            <w:vAlign w:val="center"/>
          </w:tcPr>
          <w:p>
            <w:r/>
            <w:r>
              <w:rPr>
                <w:rFonts w:ascii="Arial" w:hAnsi="Arial"/>
                <w:b/>
                <w:sz w:val="16"/>
                <w:rFonts w:ascii="Arial" w:hAnsi="Arial" w:eastAsia="Arial"/>
              </w:rPr>
              <w:t>Current hub</w:t>
            </w:r>
          </w:p>
        </w:tc>
        <w:tc>
          <w:tcPr>
            <w:tcW w:type="dxa" w:w="2085"/>
            <w:shd w:fill="D9EAF7"/>
            <w:vAlign w:val="center"/>
          </w:tcPr>
          <w:p>
            <w:r/>
            <w:r>
              <w:rPr>
                <w:rFonts w:ascii="Arial" w:hAnsi="Arial"/>
                <w:b/>
                <w:sz w:val="16"/>
                <w:rFonts w:ascii="Arial" w:hAnsi="Arial" w:eastAsia="Arial"/>
              </w:rPr>
              <w:t>Role</w:t>
            </w:r>
          </w:p>
        </w:tc>
        <w:tc>
          <w:tcPr>
            <w:tcW w:type="dxa" w:w="2085"/>
            <w:shd w:fill="D9EAF7"/>
            <w:vAlign w:val="center"/>
          </w:tcPr>
          <w:p>
            <w:r/>
            <w:r>
              <w:rPr>
                <w:rFonts w:ascii="Arial" w:hAnsi="Arial"/>
                <w:b/>
                <w:sz w:val="16"/>
                <w:rFonts w:ascii="Arial" w:hAnsi="Arial" w:eastAsia="Arial"/>
              </w:rPr>
              <w:t>Annual capacity</w:t>
            </w:r>
          </w:p>
        </w:tc>
        <w:tc>
          <w:tcPr>
            <w:tcW w:type="dxa" w:w="2085"/>
            <w:shd w:fill="D9EAF7"/>
            <w:vAlign w:val="center"/>
          </w:tcPr>
          <w:p>
            <w:r/>
            <w:r>
              <w:rPr>
                <w:rFonts w:ascii="Arial" w:hAnsi="Arial"/>
                <w:b/>
                <w:sz w:val="16"/>
                <w:rFonts w:ascii="Arial" w:hAnsi="Arial" w:eastAsia="Arial"/>
              </w:rPr>
              <w:t>Current assigned demand</w:t>
            </w:r>
          </w:p>
        </w:tc>
        <w:tc>
          <w:tcPr>
            <w:tcW w:type="dxa" w:w="2085"/>
            <w:shd w:fill="D9EAF7"/>
            <w:vAlign w:val="center"/>
          </w:tcPr>
          <w:p>
            <w:r/>
            <w:r>
              <w:rPr>
                <w:rFonts w:ascii="Arial" w:hAnsi="Arial"/>
                <w:b/>
                <w:sz w:val="16"/>
                <w:rFonts w:ascii="Arial" w:hAnsi="Arial" w:eastAsia="Arial"/>
              </w:rPr>
              <w:t>Utilization</w:t>
            </w:r>
          </w:p>
        </w:tc>
      </w:tr>
      <w:tr>
        <w:tc>
          <w:tcPr>
            <w:tcW w:type="dxa" w:w="2085"/>
            <w:vAlign w:val="center"/>
          </w:tcPr>
          <w:p>
            <w:r/>
            <w:r>
              <w:rPr>
                <w:rFonts w:ascii="Arial" w:hAnsi="Arial"/>
                <w:b w:val="0"/>
                <w:sz w:val="16"/>
                <w:rFonts w:ascii="Arial" w:hAnsi="Arial" w:eastAsia="Arial"/>
              </w:rPr>
              <w:t>Gyeonggi DC</w:t>
            </w:r>
          </w:p>
        </w:tc>
        <w:tc>
          <w:tcPr>
            <w:tcW w:type="dxa" w:w="2085"/>
            <w:vAlign w:val="center"/>
          </w:tcPr>
          <w:p>
            <w:r/>
            <w:r>
              <w:rPr>
                <w:rFonts w:ascii="Arial" w:hAnsi="Arial"/>
                <w:b w:val="0"/>
                <w:sz w:val="16"/>
                <w:rFonts w:ascii="Arial" w:hAnsi="Arial" w:eastAsia="Arial"/>
              </w:rPr>
              <w:t>Main national DC</w:t>
            </w:r>
          </w:p>
        </w:tc>
        <w:tc>
          <w:tcPr>
            <w:tcW w:type="dxa" w:w="2085"/>
            <w:vAlign w:val="center"/>
          </w:tcPr>
          <w:p>
            <w:r/>
            <w:r>
              <w:rPr>
                <w:rFonts w:ascii="Arial" w:hAnsi="Arial"/>
                <w:b w:val="0"/>
                <w:sz w:val="16"/>
                <w:rFonts w:ascii="Arial" w:hAnsi="Arial" w:eastAsia="Arial"/>
              </w:rPr>
              <w:t>420,000</w:t>
            </w:r>
          </w:p>
        </w:tc>
        <w:tc>
          <w:tcPr>
            <w:tcW w:type="dxa" w:w="2085"/>
            <w:vAlign w:val="center"/>
          </w:tcPr>
          <w:p>
            <w:r/>
            <w:r>
              <w:rPr>
                <w:rFonts w:ascii="Arial" w:hAnsi="Arial"/>
                <w:b w:val="0"/>
                <w:sz w:val="16"/>
                <w:rFonts w:ascii="Arial" w:hAnsi="Arial" w:eastAsia="Arial"/>
              </w:rPr>
              <w:t>590,000</w:t>
            </w:r>
          </w:p>
        </w:tc>
        <w:tc>
          <w:tcPr>
            <w:tcW w:type="dxa" w:w="2085"/>
            <w:vAlign w:val="center"/>
          </w:tcPr>
          <w:p>
            <w:r/>
            <w:r>
              <w:rPr>
                <w:rFonts w:ascii="Arial" w:hAnsi="Arial"/>
                <w:b w:val="0"/>
                <w:sz w:val="16"/>
                <w:rFonts w:ascii="Arial" w:hAnsi="Arial" w:eastAsia="Arial"/>
              </w:rPr>
              <w:t>140.5%</w:t>
            </w:r>
          </w:p>
        </w:tc>
      </w:tr>
      <w:tr>
        <w:tc>
          <w:tcPr>
            <w:tcW w:type="dxa" w:w="2085"/>
            <w:vAlign w:val="center"/>
          </w:tcPr>
          <w:p>
            <w:r/>
            <w:r>
              <w:rPr>
                <w:rFonts w:ascii="Arial" w:hAnsi="Arial"/>
                <w:b w:val="0"/>
                <w:sz w:val="16"/>
                <w:rFonts w:ascii="Arial" w:hAnsi="Arial" w:eastAsia="Arial"/>
              </w:rPr>
              <w:t>Busan DC</w:t>
            </w:r>
          </w:p>
        </w:tc>
        <w:tc>
          <w:tcPr>
            <w:tcW w:type="dxa" w:w="2085"/>
            <w:vAlign w:val="center"/>
          </w:tcPr>
          <w:p>
            <w:r/>
            <w:r>
              <w:rPr>
                <w:rFonts w:ascii="Arial" w:hAnsi="Arial"/>
                <w:b w:val="0"/>
                <w:sz w:val="16"/>
                <w:rFonts w:ascii="Arial" w:hAnsi="Arial" w:eastAsia="Arial"/>
              </w:rPr>
              <w:t>Southern DC</w:t>
            </w:r>
          </w:p>
        </w:tc>
        <w:tc>
          <w:tcPr>
            <w:tcW w:type="dxa" w:w="2085"/>
            <w:vAlign w:val="center"/>
          </w:tcPr>
          <w:p>
            <w:r/>
            <w:r>
              <w:rPr>
                <w:rFonts w:ascii="Arial" w:hAnsi="Arial"/>
                <w:b w:val="0"/>
                <w:sz w:val="16"/>
                <w:rFonts w:ascii="Arial" w:hAnsi="Arial" w:eastAsia="Arial"/>
              </w:rPr>
              <w:t>330,000</w:t>
            </w:r>
          </w:p>
        </w:tc>
        <w:tc>
          <w:tcPr>
            <w:tcW w:type="dxa" w:w="2085"/>
            <w:vAlign w:val="center"/>
          </w:tcPr>
          <w:p>
            <w:r/>
            <w:r>
              <w:rPr>
                <w:rFonts w:ascii="Arial" w:hAnsi="Arial"/>
                <w:b w:val="0"/>
                <w:sz w:val="16"/>
                <w:rFonts w:ascii="Arial" w:hAnsi="Arial" w:eastAsia="Arial"/>
              </w:rPr>
              <w:t>340,000</w:t>
            </w:r>
          </w:p>
        </w:tc>
        <w:tc>
          <w:tcPr>
            <w:tcW w:type="dxa" w:w="2085"/>
            <w:vAlign w:val="center"/>
          </w:tcPr>
          <w:p>
            <w:r/>
            <w:r>
              <w:rPr>
                <w:rFonts w:ascii="Arial" w:hAnsi="Arial"/>
                <w:b w:val="0"/>
                <w:sz w:val="16"/>
                <w:rFonts w:ascii="Arial" w:hAnsi="Arial" w:eastAsia="Arial"/>
              </w:rPr>
              <w:t>103.0%</w:t>
            </w:r>
          </w:p>
        </w:tc>
      </w:tr>
      <w:tr>
        <w:tc>
          <w:tcPr>
            <w:tcW w:type="dxa" w:w="2085"/>
            <w:vAlign w:val="center"/>
          </w:tcPr>
          <w:p>
            <w:r/>
            <w:r>
              <w:rPr>
                <w:rFonts w:ascii="Arial" w:hAnsi="Arial"/>
                <w:b w:val="0"/>
                <w:sz w:val="16"/>
                <w:rFonts w:ascii="Arial" w:hAnsi="Arial" w:eastAsia="Arial"/>
              </w:rPr>
              <w:t>Daegu DC</w:t>
            </w:r>
          </w:p>
        </w:tc>
        <w:tc>
          <w:tcPr>
            <w:tcW w:type="dxa" w:w="2085"/>
            <w:vAlign w:val="center"/>
          </w:tcPr>
          <w:p>
            <w:r/>
            <w:r>
              <w:rPr>
                <w:rFonts w:ascii="Arial" w:hAnsi="Arial"/>
                <w:b w:val="0"/>
                <w:sz w:val="16"/>
                <w:rFonts w:ascii="Arial" w:hAnsi="Arial" w:eastAsia="Arial"/>
              </w:rPr>
              <w:t>Inland DC</w:t>
            </w:r>
          </w:p>
        </w:tc>
        <w:tc>
          <w:tcPr>
            <w:tcW w:type="dxa" w:w="2085"/>
            <w:vAlign w:val="center"/>
          </w:tcPr>
          <w:p>
            <w:r/>
            <w:r>
              <w:rPr>
                <w:rFonts w:ascii="Arial" w:hAnsi="Arial"/>
                <w:b w:val="0"/>
                <w:sz w:val="16"/>
                <w:rFonts w:ascii="Arial" w:hAnsi="Arial" w:eastAsia="Arial"/>
              </w:rPr>
              <w:t>260,000</w:t>
            </w:r>
          </w:p>
        </w:tc>
        <w:tc>
          <w:tcPr>
            <w:tcW w:type="dxa" w:w="2085"/>
            <w:vAlign w:val="center"/>
          </w:tcPr>
          <w:p>
            <w:r/>
            <w:r>
              <w:rPr>
                <w:rFonts w:ascii="Arial" w:hAnsi="Arial"/>
                <w:b w:val="0"/>
                <w:sz w:val="16"/>
                <w:rFonts w:ascii="Arial" w:hAnsi="Arial" w:eastAsia="Arial"/>
              </w:rPr>
              <w:t>270,000</w:t>
            </w:r>
          </w:p>
        </w:tc>
        <w:tc>
          <w:tcPr>
            <w:tcW w:type="dxa" w:w="2085"/>
            <w:vAlign w:val="center"/>
          </w:tcPr>
          <w:p>
            <w:r/>
            <w:r>
              <w:rPr>
                <w:rFonts w:ascii="Arial" w:hAnsi="Arial"/>
                <w:b w:val="0"/>
                <w:sz w:val="16"/>
                <w:rFonts w:ascii="Arial" w:hAnsi="Arial" w:eastAsia="Arial"/>
              </w:rPr>
              <w:t>103.8%</w:t>
            </w:r>
          </w:p>
        </w:tc>
      </w:tr>
    </w:tbl>
    <w:p/>
    <w:p>
      <w:pPr>
        <w:pStyle w:val="Heading2"/>
      </w:pPr>
      <w:r>
        <w:t>8.1. Current annual cost baseline</w:t>
      </w:r>
    </w:p>
    <w:p>
      <w:r>
        <w:rPr>
          <w:b/>
          <w:sz w:val="20"/>
        </w:rPr>
        <w:t>Bảng 7. Current annual cost baseline</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Cost component</w:t>
            </w:r>
          </w:p>
        </w:tc>
        <w:tc>
          <w:tcPr>
            <w:tcW w:type="dxa" w:w="3475"/>
            <w:shd w:fill="D9EAF7"/>
            <w:vAlign w:val="center"/>
          </w:tcPr>
          <w:p>
            <w:r/>
            <w:r>
              <w:rPr>
                <w:rFonts w:ascii="Arial" w:hAnsi="Arial"/>
                <w:b/>
                <w:sz w:val="16"/>
                <w:rFonts w:ascii="Arial" w:hAnsi="Arial" w:eastAsia="Arial"/>
              </w:rPr>
              <w:t>Current value</w:t>
            </w:r>
          </w:p>
        </w:tc>
        <w:tc>
          <w:tcPr>
            <w:tcW w:type="dxa" w:w="3475"/>
            <w:shd w:fill="D9EAF7"/>
            <w:vAlign w:val="center"/>
          </w:tcPr>
          <w:p>
            <w:r/>
            <w:r>
              <w:rPr>
                <w:rFonts w:ascii="Arial" w:hAnsi="Arial"/>
                <w:b/>
                <w:sz w:val="16"/>
                <w:rFonts w:ascii="Arial" w:hAnsi="Arial" w:eastAsia="Arial"/>
              </w:rPr>
              <w:t>Interpretation</w:t>
            </w:r>
          </w:p>
        </w:tc>
      </w:tr>
      <w:tr>
        <w:tc>
          <w:tcPr>
            <w:tcW w:type="dxa" w:w="3475"/>
            <w:vAlign w:val="center"/>
          </w:tcPr>
          <w:p>
            <w:r/>
            <w:r>
              <w:rPr>
                <w:rFonts w:ascii="Arial" w:hAnsi="Arial"/>
                <w:b w:val="0"/>
                <w:sz w:val="16"/>
                <w:rFonts w:ascii="Arial" w:hAnsi="Arial" w:eastAsia="Arial"/>
              </w:rPr>
              <w:t>Transport cost</w:t>
            </w:r>
          </w:p>
        </w:tc>
        <w:tc>
          <w:tcPr>
            <w:tcW w:type="dxa" w:w="3475"/>
            <w:vAlign w:val="center"/>
          </w:tcPr>
          <w:p>
            <w:r/>
            <w:r>
              <w:rPr>
                <w:rFonts w:ascii="Arial" w:hAnsi="Arial"/>
                <w:b w:val="0"/>
                <w:sz w:val="16"/>
                <w:rFonts w:ascii="Arial" w:hAnsi="Arial" w:eastAsia="Arial"/>
              </w:rPr>
              <w:t>KRW 152.1B</w:t>
            </w:r>
          </w:p>
        </w:tc>
        <w:tc>
          <w:tcPr>
            <w:tcW w:type="dxa" w:w="3475"/>
            <w:vAlign w:val="center"/>
          </w:tcPr>
          <w:p>
            <w:r/>
            <w:r>
              <w:rPr>
                <w:rFonts w:ascii="Arial" w:hAnsi="Arial"/>
                <w:b w:val="0"/>
                <w:sz w:val="16"/>
                <w:rFonts w:ascii="Arial" w:hAnsi="Arial" w:eastAsia="Arial"/>
              </w:rPr>
              <w:t>High due to long-haul lanes and poor demand allocation</w:t>
            </w:r>
          </w:p>
        </w:tc>
      </w:tr>
      <w:tr>
        <w:tc>
          <w:tcPr>
            <w:tcW w:type="dxa" w:w="3475"/>
            <w:vAlign w:val="center"/>
          </w:tcPr>
          <w:p>
            <w:r/>
            <w:r>
              <w:rPr>
                <w:rFonts w:ascii="Arial" w:hAnsi="Arial"/>
                <w:b w:val="0"/>
                <w:sz w:val="16"/>
                <w:rFonts w:ascii="Arial" w:hAnsi="Arial" w:eastAsia="Arial"/>
              </w:rPr>
              <w:t>Warehouse fixed cost</w:t>
            </w:r>
          </w:p>
        </w:tc>
        <w:tc>
          <w:tcPr>
            <w:tcW w:type="dxa" w:w="3475"/>
            <w:vAlign w:val="center"/>
          </w:tcPr>
          <w:p>
            <w:r/>
            <w:r>
              <w:rPr>
                <w:rFonts w:ascii="Arial" w:hAnsi="Arial"/>
                <w:b w:val="0"/>
                <w:sz w:val="16"/>
                <w:rFonts w:ascii="Arial" w:hAnsi="Arial" w:eastAsia="Arial"/>
              </w:rPr>
              <w:t>KRW 18.0B</w:t>
            </w:r>
          </w:p>
        </w:tc>
        <w:tc>
          <w:tcPr>
            <w:tcW w:type="dxa" w:w="3475"/>
            <w:vAlign w:val="center"/>
          </w:tcPr>
          <w:p>
            <w:r/>
            <w:r>
              <w:rPr>
                <w:rFonts w:ascii="Arial" w:hAnsi="Arial"/>
                <w:b w:val="0"/>
                <w:sz w:val="16"/>
                <w:rFonts w:ascii="Arial" w:hAnsi="Arial" w:eastAsia="Arial"/>
              </w:rPr>
              <w:t>Current 3 hubs</w:t>
            </w:r>
          </w:p>
        </w:tc>
      </w:tr>
      <w:tr>
        <w:tc>
          <w:tcPr>
            <w:tcW w:type="dxa" w:w="3475"/>
            <w:vAlign w:val="center"/>
          </w:tcPr>
          <w:p>
            <w:r/>
            <w:r>
              <w:rPr>
                <w:rFonts w:ascii="Arial" w:hAnsi="Arial"/>
                <w:b w:val="0"/>
                <w:sz w:val="16"/>
                <w:rFonts w:ascii="Arial" w:hAnsi="Arial" w:eastAsia="Arial"/>
              </w:rPr>
              <w:t>Warehouse handling cost</w:t>
            </w:r>
          </w:p>
        </w:tc>
        <w:tc>
          <w:tcPr>
            <w:tcW w:type="dxa" w:w="3475"/>
            <w:vAlign w:val="center"/>
          </w:tcPr>
          <w:p>
            <w:r/>
            <w:r>
              <w:rPr>
                <w:rFonts w:ascii="Arial" w:hAnsi="Arial"/>
                <w:b w:val="0"/>
                <w:sz w:val="16"/>
                <w:rFonts w:ascii="Arial" w:hAnsi="Arial" w:eastAsia="Arial"/>
              </w:rPr>
              <w:t>KRW 9.0B</w:t>
            </w:r>
          </w:p>
        </w:tc>
        <w:tc>
          <w:tcPr>
            <w:tcW w:type="dxa" w:w="3475"/>
            <w:vAlign w:val="center"/>
          </w:tcPr>
          <w:p>
            <w:r/>
            <w:r>
              <w:rPr>
                <w:rFonts w:ascii="Arial" w:hAnsi="Arial"/>
                <w:b w:val="0"/>
                <w:sz w:val="16"/>
                <w:rFonts w:ascii="Arial" w:hAnsi="Arial" w:eastAsia="Arial"/>
              </w:rPr>
              <w:t>Based on 1.2M annual pallet-equivalent</w:t>
            </w:r>
          </w:p>
        </w:tc>
      </w:tr>
      <w:tr>
        <w:tc>
          <w:tcPr>
            <w:tcW w:type="dxa" w:w="3475"/>
            <w:vAlign w:val="center"/>
          </w:tcPr>
          <w:p>
            <w:r/>
            <w:r>
              <w:rPr>
                <w:rFonts w:ascii="Arial" w:hAnsi="Arial"/>
                <w:b w:val="0"/>
                <w:sz w:val="16"/>
                <w:rFonts w:ascii="Arial" w:hAnsi="Arial" w:eastAsia="Arial"/>
              </w:rPr>
              <w:t>Overload / expedite / SLA penalty</w:t>
            </w:r>
          </w:p>
        </w:tc>
        <w:tc>
          <w:tcPr>
            <w:tcW w:type="dxa" w:w="3475"/>
            <w:vAlign w:val="center"/>
          </w:tcPr>
          <w:p>
            <w:r/>
            <w:r>
              <w:rPr>
                <w:rFonts w:ascii="Arial" w:hAnsi="Arial"/>
                <w:b w:val="0"/>
                <w:sz w:val="16"/>
                <w:rFonts w:ascii="Arial" w:hAnsi="Arial" w:eastAsia="Arial"/>
              </w:rPr>
              <w:t>KRW 12.0B</w:t>
            </w:r>
          </w:p>
        </w:tc>
        <w:tc>
          <w:tcPr>
            <w:tcW w:type="dxa" w:w="3475"/>
            <w:vAlign w:val="center"/>
          </w:tcPr>
          <w:p>
            <w:r/>
            <w:r>
              <w:rPr>
                <w:rFonts w:ascii="Arial" w:hAnsi="Arial"/>
                <w:b w:val="0"/>
                <w:sz w:val="16"/>
                <w:rFonts w:ascii="Arial" w:hAnsi="Arial" w:eastAsia="Arial"/>
              </w:rPr>
              <w:t>Driven by utilization above 100%</w:t>
            </w:r>
          </w:p>
        </w:tc>
      </w:tr>
      <w:tr>
        <w:tc>
          <w:tcPr>
            <w:tcW w:type="dxa" w:w="3475"/>
            <w:vAlign w:val="center"/>
          </w:tcPr>
          <w:p>
            <w:r/>
            <w:r>
              <w:rPr>
                <w:rFonts w:ascii="Arial" w:hAnsi="Arial"/>
                <w:b w:val="0"/>
                <w:sz w:val="16"/>
                <w:rFonts w:ascii="Arial" w:hAnsi="Arial" w:eastAsia="Arial"/>
              </w:rPr>
              <w:t>Total annual logistics cost</w:t>
            </w:r>
          </w:p>
        </w:tc>
        <w:tc>
          <w:tcPr>
            <w:tcW w:type="dxa" w:w="3475"/>
            <w:vAlign w:val="center"/>
          </w:tcPr>
          <w:p>
            <w:r/>
            <w:r>
              <w:rPr>
                <w:rFonts w:ascii="Arial" w:hAnsi="Arial"/>
                <w:b w:val="0"/>
                <w:sz w:val="16"/>
                <w:rFonts w:ascii="Arial" w:hAnsi="Arial" w:eastAsia="Arial"/>
              </w:rPr>
              <w:t>KRW 191.1B</w:t>
            </w:r>
          </w:p>
        </w:tc>
        <w:tc>
          <w:tcPr>
            <w:tcW w:type="dxa" w:w="3475"/>
            <w:vAlign w:val="center"/>
          </w:tcPr>
          <w:p>
            <w:r/>
            <w:r>
              <w:rPr>
                <w:rFonts w:ascii="Arial" w:hAnsi="Arial"/>
                <w:b w:val="0"/>
                <w:sz w:val="16"/>
                <w:rFonts w:ascii="Arial" w:hAnsi="Arial" w:eastAsia="Arial"/>
              </w:rPr>
              <w:t>Baseline for scenario comparison</w:t>
            </w:r>
          </w:p>
        </w:tc>
      </w:tr>
    </w:tbl>
    <w:p/>
    <w:p>
      <w:pPr>
        <w:pStyle w:val="Heading2"/>
      </w:pPr>
      <w:r>
        <w:t>8.2. High-cost lanes</w:t>
      </w:r>
    </w:p>
    <w:p>
      <w:r>
        <w:rPr>
          <w:b/>
          <w:sz w:val="20"/>
        </w:rPr>
        <w:t>Bảng 8. High-cost lane diagnosis</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fill="D9EAF7"/>
            <w:vAlign w:val="center"/>
          </w:tcPr>
          <w:p>
            <w:r/>
            <w:r>
              <w:rPr>
                <w:rFonts w:ascii="Arial" w:hAnsi="Arial"/>
                <w:b/>
                <w:sz w:val="15"/>
                <w:rFonts w:ascii="Arial" w:hAnsi="Arial" w:eastAsia="Arial"/>
              </w:rPr>
              <w:t>Lane</w:t>
            </w:r>
          </w:p>
        </w:tc>
        <w:tc>
          <w:tcPr>
            <w:tcW w:type="dxa" w:w="2085"/>
            <w:shd w:fill="D9EAF7"/>
            <w:vAlign w:val="center"/>
          </w:tcPr>
          <w:p>
            <w:r/>
            <w:r>
              <w:rPr>
                <w:rFonts w:ascii="Arial" w:hAnsi="Arial"/>
                <w:b/>
                <w:sz w:val="15"/>
                <w:rFonts w:ascii="Arial" w:hAnsi="Arial" w:eastAsia="Arial"/>
              </w:rPr>
              <w:t>Annual volume</w:t>
            </w:r>
          </w:p>
        </w:tc>
        <w:tc>
          <w:tcPr>
            <w:tcW w:type="dxa" w:w="2085"/>
            <w:shd w:fill="D9EAF7"/>
            <w:vAlign w:val="center"/>
          </w:tcPr>
          <w:p>
            <w:r/>
            <w:r>
              <w:rPr>
                <w:rFonts w:ascii="Arial" w:hAnsi="Arial"/>
                <w:b/>
                <w:sz w:val="15"/>
                <w:rFonts w:ascii="Arial" w:hAnsi="Arial" w:eastAsia="Arial"/>
              </w:rPr>
              <w:t>Avg distance km</w:t>
            </w:r>
          </w:p>
        </w:tc>
        <w:tc>
          <w:tcPr>
            <w:tcW w:type="dxa" w:w="2085"/>
            <w:shd w:fill="D9EAF7"/>
            <w:vAlign w:val="center"/>
          </w:tcPr>
          <w:p>
            <w:r/>
            <w:r>
              <w:rPr>
                <w:rFonts w:ascii="Arial" w:hAnsi="Arial"/>
                <w:b/>
                <w:sz w:val="15"/>
                <w:rFonts w:ascii="Arial" w:hAnsi="Arial" w:eastAsia="Arial"/>
              </w:rPr>
              <w:t>Annual transport cost KRW B</w:t>
            </w:r>
          </w:p>
        </w:tc>
        <w:tc>
          <w:tcPr>
            <w:tcW w:type="dxa" w:w="2085"/>
            <w:shd w:fill="D9EAF7"/>
            <w:vAlign w:val="center"/>
          </w:tcPr>
          <w:p>
            <w:r/>
            <w:r>
              <w:rPr>
                <w:rFonts w:ascii="Arial" w:hAnsi="Arial"/>
                <w:b/>
                <w:sz w:val="15"/>
                <w:rFonts w:ascii="Arial" w:hAnsi="Arial" w:eastAsia="Arial"/>
              </w:rPr>
              <w:t>Problem</w:t>
            </w:r>
          </w:p>
        </w:tc>
      </w:tr>
      <w:tr>
        <w:tc>
          <w:tcPr>
            <w:tcW w:type="dxa" w:w="2085"/>
            <w:vAlign w:val="center"/>
          </w:tcPr>
          <w:p>
            <w:r/>
            <w:r>
              <w:rPr>
                <w:rFonts w:ascii="Arial" w:hAnsi="Arial"/>
                <w:b w:val="0"/>
                <w:sz w:val="15"/>
                <w:rFonts w:ascii="Arial" w:hAnsi="Arial" w:eastAsia="Arial"/>
              </w:rPr>
              <w:t>Gyeonggi DC -&gt; Busan/Ulsan/Gyeongnam</w:t>
            </w:r>
          </w:p>
        </w:tc>
        <w:tc>
          <w:tcPr>
            <w:tcW w:type="dxa" w:w="2085"/>
            <w:vAlign w:val="center"/>
          </w:tcPr>
          <w:p>
            <w:r/>
            <w:r>
              <w:rPr>
                <w:rFonts w:ascii="Arial" w:hAnsi="Arial"/>
                <w:b w:val="0"/>
                <w:sz w:val="15"/>
                <w:rFonts w:ascii="Arial" w:hAnsi="Arial" w:eastAsia="Arial"/>
              </w:rPr>
              <w:t>105,000</w:t>
            </w:r>
          </w:p>
        </w:tc>
        <w:tc>
          <w:tcPr>
            <w:tcW w:type="dxa" w:w="2085"/>
            <w:vAlign w:val="center"/>
          </w:tcPr>
          <w:p>
            <w:r/>
            <w:r>
              <w:rPr>
                <w:rFonts w:ascii="Arial" w:hAnsi="Arial"/>
                <w:b w:val="0"/>
                <w:sz w:val="15"/>
                <w:rFonts w:ascii="Arial" w:hAnsi="Arial" w:eastAsia="Arial"/>
              </w:rPr>
              <w:t>360.0</w:t>
            </w:r>
          </w:p>
        </w:tc>
        <w:tc>
          <w:tcPr>
            <w:tcW w:type="dxa" w:w="2085"/>
            <w:vAlign w:val="center"/>
          </w:tcPr>
          <w:p>
            <w:r/>
            <w:r>
              <w:rPr>
                <w:rFonts w:ascii="Arial" w:hAnsi="Arial"/>
                <w:b w:val="0"/>
                <w:sz w:val="15"/>
                <w:rFonts w:ascii="Arial" w:hAnsi="Arial" w:eastAsia="Arial"/>
              </w:rPr>
              <w:t>24.6</w:t>
            </w:r>
          </w:p>
        </w:tc>
        <w:tc>
          <w:tcPr>
            <w:tcW w:type="dxa" w:w="2085"/>
            <w:vAlign w:val="center"/>
          </w:tcPr>
          <w:p>
            <w:r/>
            <w:r>
              <w:rPr>
                <w:rFonts w:ascii="Arial" w:hAnsi="Arial"/>
                <w:b w:val="0"/>
                <w:sz w:val="15"/>
                <w:rFonts w:ascii="Arial" w:hAnsi="Arial" w:eastAsia="Arial"/>
              </w:rPr>
              <w:t>Long-haul southern demand</w:t>
            </w:r>
          </w:p>
        </w:tc>
      </w:tr>
      <w:tr>
        <w:tc>
          <w:tcPr>
            <w:tcW w:type="dxa" w:w="2085"/>
            <w:vAlign w:val="center"/>
          </w:tcPr>
          <w:p>
            <w:r/>
            <w:r>
              <w:rPr>
                <w:rFonts w:ascii="Arial" w:hAnsi="Arial"/>
                <w:b w:val="0"/>
                <w:sz w:val="15"/>
                <w:rFonts w:ascii="Arial" w:hAnsi="Arial" w:eastAsia="Arial"/>
              </w:rPr>
              <w:t>Gyeonggi DC -&gt; Daegu/Gyeongbuk</w:t>
            </w:r>
          </w:p>
        </w:tc>
        <w:tc>
          <w:tcPr>
            <w:tcW w:type="dxa" w:w="2085"/>
            <w:vAlign w:val="center"/>
          </w:tcPr>
          <w:p>
            <w:r/>
            <w:r>
              <w:rPr>
                <w:rFonts w:ascii="Arial" w:hAnsi="Arial"/>
                <w:b w:val="0"/>
                <w:sz w:val="15"/>
                <w:rFonts w:ascii="Arial" w:hAnsi="Arial" w:eastAsia="Arial"/>
              </w:rPr>
              <w:t>85,000</w:t>
            </w:r>
          </w:p>
        </w:tc>
        <w:tc>
          <w:tcPr>
            <w:tcW w:type="dxa" w:w="2085"/>
            <w:vAlign w:val="center"/>
          </w:tcPr>
          <w:p>
            <w:r/>
            <w:r>
              <w:rPr>
                <w:rFonts w:ascii="Arial" w:hAnsi="Arial"/>
                <w:b w:val="0"/>
                <w:sz w:val="15"/>
                <w:rFonts w:ascii="Arial" w:hAnsi="Arial" w:eastAsia="Arial"/>
              </w:rPr>
              <w:t>285.0</w:t>
            </w:r>
          </w:p>
        </w:tc>
        <w:tc>
          <w:tcPr>
            <w:tcW w:type="dxa" w:w="2085"/>
            <w:vAlign w:val="center"/>
          </w:tcPr>
          <w:p>
            <w:r/>
            <w:r>
              <w:rPr>
                <w:rFonts w:ascii="Arial" w:hAnsi="Arial"/>
                <w:b w:val="0"/>
                <w:sz w:val="15"/>
                <w:rFonts w:ascii="Arial" w:hAnsi="Arial" w:eastAsia="Arial"/>
              </w:rPr>
              <w:t>15.7</w:t>
            </w:r>
          </w:p>
        </w:tc>
        <w:tc>
          <w:tcPr>
            <w:tcW w:type="dxa" w:w="2085"/>
            <w:vAlign w:val="center"/>
          </w:tcPr>
          <w:p>
            <w:r/>
            <w:r>
              <w:rPr>
                <w:rFonts w:ascii="Arial" w:hAnsi="Arial"/>
                <w:b w:val="0"/>
                <w:sz w:val="15"/>
                <w:rFonts w:ascii="Arial" w:hAnsi="Arial" w:eastAsia="Arial"/>
              </w:rPr>
              <w:t>Inland demand served from too far</w:t>
            </w:r>
          </w:p>
        </w:tc>
      </w:tr>
      <w:tr>
        <w:tc>
          <w:tcPr>
            <w:tcW w:type="dxa" w:w="2085"/>
            <w:vAlign w:val="center"/>
          </w:tcPr>
          <w:p>
            <w:r/>
            <w:r>
              <w:rPr>
                <w:rFonts w:ascii="Arial" w:hAnsi="Arial"/>
                <w:b w:val="0"/>
                <w:sz w:val="15"/>
                <w:rFonts w:ascii="Arial" w:hAnsi="Arial" w:eastAsia="Arial"/>
              </w:rPr>
              <w:t>Gyeonggi DC -&gt; Gwangju/Jeolla</w:t>
            </w:r>
          </w:p>
        </w:tc>
        <w:tc>
          <w:tcPr>
            <w:tcW w:type="dxa" w:w="2085"/>
            <w:vAlign w:val="center"/>
          </w:tcPr>
          <w:p>
            <w:r/>
            <w:r>
              <w:rPr>
                <w:rFonts w:ascii="Arial" w:hAnsi="Arial"/>
                <w:b w:val="0"/>
                <w:sz w:val="15"/>
                <w:rFonts w:ascii="Arial" w:hAnsi="Arial" w:eastAsia="Arial"/>
              </w:rPr>
              <w:t>70,000</w:t>
            </w:r>
          </w:p>
        </w:tc>
        <w:tc>
          <w:tcPr>
            <w:tcW w:type="dxa" w:w="2085"/>
            <w:vAlign w:val="center"/>
          </w:tcPr>
          <w:p>
            <w:r/>
            <w:r>
              <w:rPr>
                <w:rFonts w:ascii="Arial" w:hAnsi="Arial"/>
                <w:b w:val="0"/>
                <w:sz w:val="15"/>
                <w:rFonts w:ascii="Arial" w:hAnsi="Arial" w:eastAsia="Arial"/>
              </w:rPr>
              <w:t>300.0</w:t>
            </w:r>
          </w:p>
        </w:tc>
        <w:tc>
          <w:tcPr>
            <w:tcW w:type="dxa" w:w="2085"/>
            <w:vAlign w:val="center"/>
          </w:tcPr>
          <w:p>
            <w:r/>
            <w:r>
              <w:rPr>
                <w:rFonts w:ascii="Arial" w:hAnsi="Arial"/>
                <w:b w:val="0"/>
                <w:sz w:val="15"/>
                <w:rFonts w:ascii="Arial" w:hAnsi="Arial" w:eastAsia="Arial"/>
              </w:rPr>
              <w:t>13.7</w:t>
            </w:r>
          </w:p>
        </w:tc>
        <w:tc>
          <w:tcPr>
            <w:tcW w:type="dxa" w:w="2085"/>
            <w:vAlign w:val="center"/>
          </w:tcPr>
          <w:p>
            <w:r/>
            <w:r>
              <w:rPr>
                <w:rFonts w:ascii="Arial" w:hAnsi="Arial"/>
                <w:b w:val="0"/>
                <w:sz w:val="15"/>
                <w:rFonts w:ascii="Arial" w:hAnsi="Arial" w:eastAsia="Arial"/>
              </w:rPr>
              <w:t>Poor southwest coverage</w:t>
            </w:r>
          </w:p>
        </w:tc>
      </w:tr>
      <w:tr>
        <w:tc>
          <w:tcPr>
            <w:tcW w:type="dxa" w:w="2085"/>
            <w:vAlign w:val="center"/>
          </w:tcPr>
          <w:p>
            <w:r/>
            <w:r>
              <w:rPr>
                <w:rFonts w:ascii="Arial" w:hAnsi="Arial"/>
                <w:b w:val="0"/>
                <w:sz w:val="15"/>
                <w:rFonts w:ascii="Arial" w:hAnsi="Arial" w:eastAsia="Arial"/>
              </w:rPr>
              <w:t>Busan DC -&gt; Central overflow</w:t>
            </w:r>
          </w:p>
        </w:tc>
        <w:tc>
          <w:tcPr>
            <w:tcW w:type="dxa" w:w="2085"/>
            <w:vAlign w:val="center"/>
          </w:tcPr>
          <w:p>
            <w:r/>
            <w:r>
              <w:rPr>
                <w:rFonts w:ascii="Arial" w:hAnsi="Arial"/>
                <w:b w:val="0"/>
                <w:sz w:val="15"/>
                <w:rFonts w:ascii="Arial" w:hAnsi="Arial" w:eastAsia="Arial"/>
              </w:rPr>
              <w:t>45,000</w:t>
            </w:r>
          </w:p>
        </w:tc>
        <w:tc>
          <w:tcPr>
            <w:tcW w:type="dxa" w:w="2085"/>
            <w:vAlign w:val="center"/>
          </w:tcPr>
          <w:p>
            <w:r/>
            <w:r>
              <w:rPr>
                <w:rFonts w:ascii="Arial" w:hAnsi="Arial"/>
                <w:b w:val="0"/>
                <w:sz w:val="15"/>
                <w:rFonts w:ascii="Arial" w:hAnsi="Arial" w:eastAsia="Arial"/>
              </w:rPr>
              <w:t>240.0</w:t>
            </w:r>
          </w:p>
        </w:tc>
        <w:tc>
          <w:tcPr>
            <w:tcW w:type="dxa" w:w="2085"/>
            <w:vAlign w:val="center"/>
          </w:tcPr>
          <w:p>
            <w:r/>
            <w:r>
              <w:rPr>
                <w:rFonts w:ascii="Arial" w:hAnsi="Arial"/>
                <w:b w:val="0"/>
                <w:sz w:val="15"/>
                <w:rFonts w:ascii="Arial" w:hAnsi="Arial" w:eastAsia="Arial"/>
              </w:rPr>
              <w:t>7.0</w:t>
            </w:r>
          </w:p>
        </w:tc>
        <w:tc>
          <w:tcPr>
            <w:tcW w:type="dxa" w:w="2085"/>
            <w:vAlign w:val="center"/>
          </w:tcPr>
          <w:p>
            <w:r/>
            <w:r>
              <w:rPr>
                <w:rFonts w:ascii="Arial" w:hAnsi="Arial"/>
                <w:b w:val="0"/>
                <w:sz w:val="15"/>
                <w:rFonts w:ascii="Arial" w:hAnsi="Arial" w:eastAsia="Arial"/>
              </w:rPr>
              <w:t>Wrong backflow allocation</w:t>
            </w:r>
          </w:p>
        </w:tc>
      </w:tr>
      <w:tr>
        <w:tc>
          <w:tcPr>
            <w:tcW w:type="dxa" w:w="2085"/>
            <w:vAlign w:val="center"/>
          </w:tcPr>
          <w:p>
            <w:r/>
            <w:r>
              <w:rPr>
                <w:rFonts w:ascii="Arial" w:hAnsi="Arial"/>
                <w:b w:val="0"/>
                <w:sz w:val="15"/>
                <w:rFonts w:ascii="Arial" w:hAnsi="Arial" w:eastAsia="Arial"/>
              </w:rPr>
              <w:t>Mainland hub -&gt; Jeju</w:t>
            </w:r>
          </w:p>
        </w:tc>
        <w:tc>
          <w:tcPr>
            <w:tcW w:type="dxa" w:w="2085"/>
            <w:vAlign w:val="center"/>
          </w:tcPr>
          <w:p>
            <w:r/>
            <w:r>
              <w:rPr>
                <w:rFonts w:ascii="Arial" w:hAnsi="Arial"/>
                <w:b w:val="0"/>
                <w:sz w:val="15"/>
                <w:rFonts w:ascii="Arial" w:hAnsi="Arial" w:eastAsia="Arial"/>
              </w:rPr>
              <w:t>15,000</w:t>
            </w:r>
          </w:p>
        </w:tc>
        <w:tc>
          <w:tcPr>
            <w:tcW w:type="dxa" w:w="2085"/>
            <w:vAlign w:val="center"/>
          </w:tcPr>
          <w:p>
            <w:r/>
            <w:r>
              <w:rPr>
                <w:rFonts w:ascii="Arial" w:hAnsi="Arial"/>
                <w:b w:val="0"/>
                <w:sz w:val="15"/>
                <w:rFonts w:ascii="Arial" w:hAnsi="Arial" w:eastAsia="Arial"/>
              </w:rPr>
              <w:t>nan</w:t>
            </w:r>
          </w:p>
        </w:tc>
        <w:tc>
          <w:tcPr>
            <w:tcW w:type="dxa" w:w="2085"/>
            <w:vAlign w:val="center"/>
          </w:tcPr>
          <w:p>
            <w:r/>
            <w:r>
              <w:rPr>
                <w:rFonts w:ascii="Arial" w:hAnsi="Arial"/>
                <w:b w:val="0"/>
                <w:sz w:val="15"/>
                <w:rFonts w:ascii="Arial" w:hAnsi="Arial" w:eastAsia="Arial"/>
              </w:rPr>
              <w:t>4.1</w:t>
            </w:r>
          </w:p>
        </w:tc>
        <w:tc>
          <w:tcPr>
            <w:tcW w:type="dxa" w:w="2085"/>
            <w:vAlign w:val="center"/>
          </w:tcPr>
          <w:p>
            <w:r/>
            <w:r>
              <w:rPr>
                <w:rFonts w:ascii="Arial" w:hAnsi="Arial"/>
                <w:b w:val="0"/>
                <w:sz w:val="15"/>
                <w:rFonts w:ascii="Arial" w:hAnsi="Arial" w:eastAsia="Arial"/>
              </w:rPr>
              <w:t>Island handling surcharge</w:t>
            </w:r>
          </w:p>
        </w:tc>
      </w:tr>
    </w:tbl>
    <w:p/>
    <w:p>
      <w:pPr>
        <w:pStyle w:val="ListBullet"/>
      </w:pPr>
      <w:r>
        <w:t>Top high-cost lanes chủ yếu là long-haul lanes từ Gyeonggi xuống southern/southwest/inland regions.</w:t>
      </w:r>
    </w:p>
    <w:p>
      <w:pPr>
        <w:pStyle w:val="ListBullet"/>
      </w:pPr>
      <w:r>
        <w:t>Vấn đề không chỉ là distance, mà là allocation sai: nhiều demand phía Nam và Tây Nam vẫn được phục vụ từ hub phía Bắc.</w:t>
      </w:r>
    </w:p>
    <w:p>
      <w:pPr>
        <w:pStyle w:val="ListBullet"/>
      </w:pPr>
      <w:r>
        <w:t>Jeju cần policy riêng vì cost không tuyến tính theo distance; island handling surcharge làm cost cao hơn thông thường.</w:t>
      </w:r>
    </w:p>
    <w:p>
      <w:pPr>
        <w:pStyle w:val="Heading1"/>
      </w:pPr>
      <w:r>
        <w:t>9. Candidate Hub Evaluation</w:t>
      </w:r>
    </w:p>
    <w:p>
      <w:r>
        <w:t>Engine cần đánh giá từng candidate hub theo role, capacity, fixed cost, handling cost và strategic coverage.</w:t>
      </w:r>
    </w:p>
    <w:p>
      <w:r>
        <w:rPr>
          <w:b/>
          <w:sz w:val="20"/>
        </w:rPr>
        <w:t>Bảng 9. Candidate hub cost-capacity evaluation</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shd w:fill="D9EAF7"/>
            <w:vAlign w:val="center"/>
          </w:tcPr>
          <w:p>
            <w:r/>
            <w:r>
              <w:rPr>
                <w:rFonts w:ascii="Arial" w:hAnsi="Arial"/>
                <w:b/>
                <w:sz w:val="14"/>
                <w:rFonts w:ascii="Arial" w:hAnsi="Arial" w:eastAsia="Arial"/>
              </w:rPr>
              <w:t>Candidate hub</w:t>
            </w:r>
          </w:p>
        </w:tc>
        <w:tc>
          <w:tcPr>
            <w:tcW w:type="dxa" w:w="1738"/>
            <w:shd w:fill="D9EAF7"/>
            <w:vAlign w:val="center"/>
          </w:tcPr>
          <w:p>
            <w:r/>
            <w:r>
              <w:rPr>
                <w:rFonts w:ascii="Arial" w:hAnsi="Arial"/>
                <w:b/>
                <w:sz w:val="14"/>
                <w:rFonts w:ascii="Arial" w:hAnsi="Arial" w:eastAsia="Arial"/>
              </w:rPr>
              <w:t>Proposed role</w:t>
            </w:r>
          </w:p>
        </w:tc>
        <w:tc>
          <w:tcPr>
            <w:tcW w:type="dxa" w:w="1738"/>
            <w:shd w:fill="D9EAF7"/>
            <w:vAlign w:val="center"/>
          </w:tcPr>
          <w:p>
            <w:r/>
            <w:r>
              <w:rPr>
                <w:rFonts w:ascii="Arial" w:hAnsi="Arial"/>
                <w:b/>
                <w:sz w:val="14"/>
                <w:rFonts w:ascii="Arial" w:hAnsi="Arial" w:eastAsia="Arial"/>
              </w:rPr>
              <w:t>Annual capacity</w:t>
            </w:r>
          </w:p>
        </w:tc>
        <w:tc>
          <w:tcPr>
            <w:tcW w:type="dxa" w:w="1738"/>
            <w:shd w:fill="D9EAF7"/>
            <w:vAlign w:val="center"/>
          </w:tcPr>
          <w:p>
            <w:r/>
            <w:r>
              <w:rPr>
                <w:rFonts w:ascii="Arial" w:hAnsi="Arial"/>
                <w:b/>
                <w:sz w:val="14"/>
                <w:rFonts w:ascii="Arial" w:hAnsi="Arial" w:eastAsia="Arial"/>
              </w:rPr>
              <w:t>Fixed cost KRW B/year</w:t>
            </w:r>
          </w:p>
        </w:tc>
        <w:tc>
          <w:tcPr>
            <w:tcW w:type="dxa" w:w="1738"/>
            <w:shd w:fill="D9EAF7"/>
            <w:vAlign w:val="center"/>
          </w:tcPr>
          <w:p>
            <w:r/>
            <w:r>
              <w:rPr>
                <w:rFonts w:ascii="Arial" w:hAnsi="Arial"/>
                <w:b/>
                <w:sz w:val="14"/>
                <w:rFonts w:ascii="Arial" w:hAnsi="Arial" w:eastAsia="Arial"/>
              </w:rPr>
              <w:t>Handling cost KRW/unit</w:t>
            </w:r>
          </w:p>
        </w:tc>
        <w:tc>
          <w:tcPr>
            <w:tcW w:type="dxa" w:w="1738"/>
            <w:shd w:fill="D9EAF7"/>
            <w:vAlign w:val="center"/>
          </w:tcPr>
          <w:p>
            <w:r/>
            <w:r>
              <w:rPr>
                <w:rFonts w:ascii="Arial" w:hAnsi="Arial"/>
                <w:b/>
                <w:sz w:val="14"/>
                <w:rFonts w:ascii="Arial" w:hAnsi="Arial" w:eastAsia="Arial"/>
              </w:rPr>
              <w:t>Strategic coverage</w:t>
            </w:r>
          </w:p>
        </w:tc>
      </w:tr>
      <w:tr>
        <w:tc>
          <w:tcPr>
            <w:tcW w:type="dxa" w:w="1738"/>
            <w:vAlign w:val="center"/>
          </w:tcPr>
          <w:p>
            <w:r/>
            <w:r>
              <w:rPr>
                <w:rFonts w:ascii="Arial" w:hAnsi="Arial"/>
                <w:b w:val="0"/>
                <w:sz w:val="14"/>
                <w:rFonts w:ascii="Arial" w:hAnsi="Arial" w:eastAsia="Arial"/>
              </w:rPr>
              <w:t>Gyeonggi Hub</w:t>
            </w:r>
          </w:p>
        </w:tc>
        <w:tc>
          <w:tcPr>
            <w:tcW w:type="dxa" w:w="1738"/>
            <w:vAlign w:val="center"/>
          </w:tcPr>
          <w:p>
            <w:r/>
            <w:r>
              <w:rPr>
                <w:rFonts w:ascii="Arial" w:hAnsi="Arial"/>
                <w:b w:val="0"/>
                <w:sz w:val="14"/>
                <w:rFonts w:ascii="Arial" w:hAnsi="Arial" w:eastAsia="Arial"/>
              </w:rPr>
              <w:t>Metro/National demand hub</w:t>
            </w:r>
          </w:p>
        </w:tc>
        <w:tc>
          <w:tcPr>
            <w:tcW w:type="dxa" w:w="1738"/>
            <w:vAlign w:val="center"/>
          </w:tcPr>
          <w:p>
            <w:r/>
            <w:r>
              <w:rPr>
                <w:rFonts w:ascii="Arial" w:hAnsi="Arial"/>
                <w:b w:val="0"/>
                <w:sz w:val="14"/>
                <w:rFonts w:ascii="Arial" w:hAnsi="Arial" w:eastAsia="Arial"/>
              </w:rPr>
              <w:t>500,000</w:t>
            </w:r>
          </w:p>
        </w:tc>
        <w:tc>
          <w:tcPr>
            <w:tcW w:type="dxa" w:w="1738"/>
            <w:vAlign w:val="center"/>
          </w:tcPr>
          <w:p>
            <w:r/>
            <w:r>
              <w:rPr>
                <w:rFonts w:ascii="Arial" w:hAnsi="Arial"/>
                <w:b w:val="0"/>
                <w:sz w:val="14"/>
                <w:rFonts w:ascii="Arial" w:hAnsi="Arial" w:eastAsia="Arial"/>
              </w:rPr>
              <w:t>8.0</w:t>
            </w:r>
          </w:p>
        </w:tc>
        <w:tc>
          <w:tcPr>
            <w:tcW w:type="dxa" w:w="1738"/>
            <w:vAlign w:val="center"/>
          </w:tcPr>
          <w:p>
            <w:r/>
            <w:r>
              <w:rPr>
                <w:rFonts w:ascii="Arial" w:hAnsi="Arial"/>
                <w:b w:val="0"/>
                <w:sz w:val="14"/>
                <w:rFonts w:ascii="Arial" w:hAnsi="Arial" w:eastAsia="Arial"/>
              </w:rPr>
              <w:t>8,200</w:t>
            </w:r>
          </w:p>
        </w:tc>
        <w:tc>
          <w:tcPr>
            <w:tcW w:type="dxa" w:w="1738"/>
            <w:vAlign w:val="center"/>
          </w:tcPr>
          <w:p>
            <w:r/>
            <w:r>
              <w:rPr>
                <w:rFonts w:ascii="Arial" w:hAnsi="Arial"/>
                <w:b w:val="0"/>
                <w:sz w:val="14"/>
                <w:rFonts w:ascii="Arial" w:hAnsi="Arial" w:eastAsia="Arial"/>
              </w:rPr>
              <w:t>Seoul-Gyeonggi-Incheon</w:t>
            </w:r>
          </w:p>
        </w:tc>
      </w:tr>
      <w:tr>
        <w:tc>
          <w:tcPr>
            <w:tcW w:type="dxa" w:w="1738"/>
            <w:vAlign w:val="center"/>
          </w:tcPr>
          <w:p>
            <w:r/>
            <w:r>
              <w:rPr>
                <w:rFonts w:ascii="Arial" w:hAnsi="Arial"/>
                <w:b w:val="0"/>
                <w:sz w:val="14"/>
                <w:rFonts w:ascii="Arial" w:hAnsi="Arial" w:eastAsia="Arial"/>
              </w:rPr>
              <w:t>Daejeon/Chungcheong Hub</w:t>
            </w:r>
          </w:p>
        </w:tc>
        <w:tc>
          <w:tcPr>
            <w:tcW w:type="dxa" w:w="1738"/>
            <w:vAlign w:val="center"/>
          </w:tcPr>
          <w:p>
            <w:r/>
            <w:r>
              <w:rPr>
                <w:rFonts w:ascii="Arial" w:hAnsi="Arial"/>
                <w:b w:val="0"/>
                <w:sz w:val="14"/>
                <w:rFonts w:ascii="Arial" w:hAnsi="Arial" w:eastAsia="Arial"/>
              </w:rPr>
              <w:t>Central balancing hub</w:t>
            </w:r>
          </w:p>
        </w:tc>
        <w:tc>
          <w:tcPr>
            <w:tcW w:type="dxa" w:w="1738"/>
            <w:vAlign w:val="center"/>
          </w:tcPr>
          <w:p>
            <w:r/>
            <w:r>
              <w:rPr>
                <w:rFonts w:ascii="Arial" w:hAnsi="Arial"/>
                <w:b w:val="0"/>
                <w:sz w:val="14"/>
                <w:rFonts w:ascii="Arial" w:hAnsi="Arial" w:eastAsia="Arial"/>
              </w:rPr>
              <w:t>300,000</w:t>
            </w:r>
          </w:p>
        </w:tc>
        <w:tc>
          <w:tcPr>
            <w:tcW w:type="dxa" w:w="1738"/>
            <w:vAlign w:val="center"/>
          </w:tcPr>
          <w:p>
            <w:r/>
            <w:r>
              <w:rPr>
                <w:rFonts w:ascii="Arial" w:hAnsi="Arial"/>
                <w:b w:val="0"/>
                <w:sz w:val="14"/>
                <w:rFonts w:ascii="Arial" w:hAnsi="Arial" w:eastAsia="Arial"/>
              </w:rPr>
              <w:t>5.5</w:t>
            </w:r>
          </w:p>
        </w:tc>
        <w:tc>
          <w:tcPr>
            <w:tcW w:type="dxa" w:w="1738"/>
            <w:vAlign w:val="center"/>
          </w:tcPr>
          <w:p>
            <w:r/>
            <w:r>
              <w:rPr>
                <w:rFonts w:ascii="Arial" w:hAnsi="Arial"/>
                <w:b w:val="0"/>
                <w:sz w:val="14"/>
                <w:rFonts w:ascii="Arial" w:hAnsi="Arial" w:eastAsia="Arial"/>
              </w:rPr>
              <w:t>7,800</w:t>
            </w:r>
          </w:p>
        </w:tc>
        <w:tc>
          <w:tcPr>
            <w:tcW w:type="dxa" w:w="1738"/>
            <w:vAlign w:val="center"/>
          </w:tcPr>
          <w:p>
            <w:r/>
            <w:r>
              <w:rPr>
                <w:rFonts w:ascii="Arial" w:hAnsi="Arial"/>
                <w:b w:val="0"/>
                <w:sz w:val="14"/>
                <w:rFonts w:ascii="Arial" w:hAnsi="Arial" w:eastAsia="Arial"/>
              </w:rPr>
              <w:t>Daejeon-Sejong-Chungcheong-Gangwon</w:t>
            </w:r>
          </w:p>
        </w:tc>
      </w:tr>
      <w:tr>
        <w:tc>
          <w:tcPr>
            <w:tcW w:type="dxa" w:w="1738"/>
            <w:vAlign w:val="center"/>
          </w:tcPr>
          <w:p>
            <w:r/>
            <w:r>
              <w:rPr>
                <w:rFonts w:ascii="Arial" w:hAnsi="Arial"/>
                <w:b w:val="0"/>
                <w:sz w:val="14"/>
                <w:rFonts w:ascii="Arial" w:hAnsi="Arial" w:eastAsia="Arial"/>
              </w:rPr>
              <w:t>Busan Hub</w:t>
            </w:r>
          </w:p>
        </w:tc>
        <w:tc>
          <w:tcPr>
            <w:tcW w:type="dxa" w:w="1738"/>
            <w:vAlign w:val="center"/>
          </w:tcPr>
          <w:p>
            <w:r/>
            <w:r>
              <w:rPr>
                <w:rFonts w:ascii="Arial" w:hAnsi="Arial"/>
                <w:b w:val="0"/>
                <w:sz w:val="14"/>
                <w:rFonts w:ascii="Arial" w:hAnsi="Arial" w:eastAsia="Arial"/>
              </w:rPr>
              <w:t>Southern + port hub</w:t>
            </w:r>
          </w:p>
        </w:tc>
        <w:tc>
          <w:tcPr>
            <w:tcW w:type="dxa" w:w="1738"/>
            <w:vAlign w:val="center"/>
          </w:tcPr>
          <w:p>
            <w:r/>
            <w:r>
              <w:rPr>
                <w:rFonts w:ascii="Arial" w:hAnsi="Arial"/>
                <w:b w:val="0"/>
                <w:sz w:val="14"/>
                <w:rFonts w:ascii="Arial" w:hAnsi="Arial" w:eastAsia="Arial"/>
              </w:rPr>
              <w:t>350,000</w:t>
            </w:r>
          </w:p>
        </w:tc>
        <w:tc>
          <w:tcPr>
            <w:tcW w:type="dxa" w:w="1738"/>
            <w:vAlign w:val="center"/>
          </w:tcPr>
          <w:p>
            <w:r/>
            <w:r>
              <w:rPr>
                <w:rFonts w:ascii="Arial" w:hAnsi="Arial"/>
                <w:b w:val="0"/>
                <w:sz w:val="14"/>
                <w:rFonts w:ascii="Arial" w:hAnsi="Arial" w:eastAsia="Arial"/>
              </w:rPr>
              <w:t>6.5</w:t>
            </w:r>
          </w:p>
        </w:tc>
        <w:tc>
          <w:tcPr>
            <w:tcW w:type="dxa" w:w="1738"/>
            <w:vAlign w:val="center"/>
          </w:tcPr>
          <w:p>
            <w:r/>
            <w:r>
              <w:rPr>
                <w:rFonts w:ascii="Arial" w:hAnsi="Arial"/>
                <w:b w:val="0"/>
                <w:sz w:val="14"/>
                <w:rFonts w:ascii="Arial" w:hAnsi="Arial" w:eastAsia="Arial"/>
              </w:rPr>
              <w:t>8,000</w:t>
            </w:r>
          </w:p>
        </w:tc>
        <w:tc>
          <w:tcPr>
            <w:tcW w:type="dxa" w:w="1738"/>
            <w:vAlign w:val="center"/>
          </w:tcPr>
          <w:p>
            <w:r/>
            <w:r>
              <w:rPr>
                <w:rFonts w:ascii="Arial" w:hAnsi="Arial"/>
                <w:b w:val="0"/>
                <w:sz w:val="14"/>
                <w:rFonts w:ascii="Arial" w:hAnsi="Arial" w:eastAsia="Arial"/>
              </w:rPr>
              <w:t>Busan-Ulsan-Gyeongnam</w:t>
            </w:r>
          </w:p>
        </w:tc>
      </w:tr>
      <w:tr>
        <w:tc>
          <w:tcPr>
            <w:tcW w:type="dxa" w:w="1738"/>
            <w:vAlign w:val="center"/>
          </w:tcPr>
          <w:p>
            <w:r/>
            <w:r>
              <w:rPr>
                <w:rFonts w:ascii="Arial" w:hAnsi="Arial"/>
                <w:b w:val="0"/>
                <w:sz w:val="14"/>
                <w:rFonts w:ascii="Arial" w:hAnsi="Arial" w:eastAsia="Arial"/>
              </w:rPr>
              <w:t>Daegu/Gyeongbuk Hub</w:t>
            </w:r>
          </w:p>
        </w:tc>
        <w:tc>
          <w:tcPr>
            <w:tcW w:type="dxa" w:w="1738"/>
            <w:vAlign w:val="center"/>
          </w:tcPr>
          <w:p>
            <w:r/>
            <w:r>
              <w:rPr>
                <w:rFonts w:ascii="Arial" w:hAnsi="Arial"/>
                <w:b w:val="0"/>
                <w:sz w:val="14"/>
                <w:rFonts w:ascii="Arial" w:hAnsi="Arial" w:eastAsia="Arial"/>
              </w:rPr>
              <w:t>Inland industrial hub</w:t>
            </w:r>
          </w:p>
        </w:tc>
        <w:tc>
          <w:tcPr>
            <w:tcW w:type="dxa" w:w="1738"/>
            <w:vAlign w:val="center"/>
          </w:tcPr>
          <w:p>
            <w:r/>
            <w:r>
              <w:rPr>
                <w:rFonts w:ascii="Arial" w:hAnsi="Arial"/>
                <w:b w:val="0"/>
                <w:sz w:val="14"/>
                <w:rFonts w:ascii="Arial" w:hAnsi="Arial" w:eastAsia="Arial"/>
              </w:rPr>
              <w:t>220,000</w:t>
            </w:r>
          </w:p>
        </w:tc>
        <w:tc>
          <w:tcPr>
            <w:tcW w:type="dxa" w:w="1738"/>
            <w:vAlign w:val="center"/>
          </w:tcPr>
          <w:p>
            <w:r/>
            <w:r>
              <w:rPr>
                <w:rFonts w:ascii="Arial" w:hAnsi="Arial"/>
                <w:b w:val="0"/>
                <w:sz w:val="14"/>
                <w:rFonts w:ascii="Arial" w:hAnsi="Arial" w:eastAsia="Arial"/>
              </w:rPr>
              <w:t>4.8</w:t>
            </w:r>
          </w:p>
        </w:tc>
        <w:tc>
          <w:tcPr>
            <w:tcW w:type="dxa" w:w="1738"/>
            <w:vAlign w:val="center"/>
          </w:tcPr>
          <w:p>
            <w:r/>
            <w:r>
              <w:rPr>
                <w:rFonts w:ascii="Arial" w:hAnsi="Arial"/>
                <w:b w:val="0"/>
                <w:sz w:val="14"/>
                <w:rFonts w:ascii="Arial" w:hAnsi="Arial" w:eastAsia="Arial"/>
              </w:rPr>
              <w:t>7,600</w:t>
            </w:r>
          </w:p>
        </w:tc>
        <w:tc>
          <w:tcPr>
            <w:tcW w:type="dxa" w:w="1738"/>
            <w:vAlign w:val="center"/>
          </w:tcPr>
          <w:p>
            <w:r/>
            <w:r>
              <w:rPr>
                <w:rFonts w:ascii="Arial" w:hAnsi="Arial"/>
                <w:b w:val="0"/>
                <w:sz w:val="14"/>
                <w:rFonts w:ascii="Arial" w:hAnsi="Arial" w:eastAsia="Arial"/>
              </w:rPr>
              <w:t>Daegu-Gyeongbuk</w:t>
            </w:r>
          </w:p>
        </w:tc>
      </w:tr>
      <w:tr>
        <w:tc>
          <w:tcPr>
            <w:tcW w:type="dxa" w:w="1738"/>
            <w:vAlign w:val="center"/>
          </w:tcPr>
          <w:p>
            <w:r/>
            <w:r>
              <w:rPr>
                <w:rFonts w:ascii="Arial" w:hAnsi="Arial"/>
                <w:b w:val="0"/>
                <w:sz w:val="14"/>
                <w:rFonts w:ascii="Arial" w:hAnsi="Arial" w:eastAsia="Arial"/>
              </w:rPr>
              <w:t>Gwangju/Jeolla Hub</w:t>
            </w:r>
          </w:p>
        </w:tc>
        <w:tc>
          <w:tcPr>
            <w:tcW w:type="dxa" w:w="1738"/>
            <w:vAlign w:val="center"/>
          </w:tcPr>
          <w:p>
            <w:r/>
            <w:r>
              <w:rPr>
                <w:rFonts w:ascii="Arial" w:hAnsi="Arial"/>
                <w:b w:val="0"/>
                <w:sz w:val="14"/>
                <w:rFonts w:ascii="Arial" w:hAnsi="Arial" w:eastAsia="Arial"/>
              </w:rPr>
              <w:t>Southwest hub</w:t>
            </w:r>
          </w:p>
        </w:tc>
        <w:tc>
          <w:tcPr>
            <w:tcW w:type="dxa" w:w="1738"/>
            <w:vAlign w:val="center"/>
          </w:tcPr>
          <w:p>
            <w:r/>
            <w:r>
              <w:rPr>
                <w:rFonts w:ascii="Arial" w:hAnsi="Arial"/>
                <w:b w:val="0"/>
                <w:sz w:val="14"/>
                <w:rFonts w:ascii="Arial" w:hAnsi="Arial" w:eastAsia="Arial"/>
              </w:rPr>
              <w:t>200,000</w:t>
            </w:r>
          </w:p>
        </w:tc>
        <w:tc>
          <w:tcPr>
            <w:tcW w:type="dxa" w:w="1738"/>
            <w:vAlign w:val="center"/>
          </w:tcPr>
          <w:p>
            <w:r/>
            <w:r>
              <w:rPr>
                <w:rFonts w:ascii="Arial" w:hAnsi="Arial"/>
                <w:b w:val="0"/>
                <w:sz w:val="14"/>
                <w:rFonts w:ascii="Arial" w:hAnsi="Arial" w:eastAsia="Arial"/>
              </w:rPr>
              <w:t>4.5</w:t>
            </w:r>
          </w:p>
        </w:tc>
        <w:tc>
          <w:tcPr>
            <w:tcW w:type="dxa" w:w="1738"/>
            <w:vAlign w:val="center"/>
          </w:tcPr>
          <w:p>
            <w:r/>
            <w:r>
              <w:rPr>
                <w:rFonts w:ascii="Arial" w:hAnsi="Arial"/>
                <w:b w:val="0"/>
                <w:sz w:val="14"/>
                <w:rFonts w:ascii="Arial" w:hAnsi="Arial" w:eastAsia="Arial"/>
              </w:rPr>
              <w:t>7,700</w:t>
            </w:r>
          </w:p>
        </w:tc>
        <w:tc>
          <w:tcPr>
            <w:tcW w:type="dxa" w:w="1738"/>
            <w:vAlign w:val="center"/>
          </w:tcPr>
          <w:p>
            <w:r/>
            <w:r>
              <w:rPr>
                <w:rFonts w:ascii="Arial" w:hAnsi="Arial"/>
                <w:b w:val="0"/>
                <w:sz w:val="14"/>
                <w:rFonts w:ascii="Arial" w:hAnsi="Arial" w:eastAsia="Arial"/>
              </w:rPr>
              <w:t>Gwangju-Jeolla-Jeju staging</w:t>
            </w:r>
          </w:p>
        </w:tc>
      </w:tr>
      <w:tr>
        <w:tc>
          <w:tcPr>
            <w:tcW w:type="dxa" w:w="1738"/>
            <w:vAlign w:val="center"/>
          </w:tcPr>
          <w:p>
            <w:r/>
            <w:r>
              <w:rPr>
                <w:rFonts w:ascii="Arial" w:hAnsi="Arial"/>
                <w:b w:val="0"/>
                <w:sz w:val="14"/>
                <w:rFonts w:ascii="Arial" w:hAnsi="Arial" w:eastAsia="Arial"/>
              </w:rPr>
              <w:t>Jeju Cross-dock</w:t>
            </w:r>
          </w:p>
        </w:tc>
        <w:tc>
          <w:tcPr>
            <w:tcW w:type="dxa" w:w="1738"/>
            <w:vAlign w:val="center"/>
          </w:tcPr>
          <w:p>
            <w:r/>
            <w:r>
              <w:rPr>
                <w:rFonts w:ascii="Arial" w:hAnsi="Arial"/>
                <w:b w:val="0"/>
                <w:sz w:val="14"/>
                <w:rFonts w:ascii="Arial" w:hAnsi="Arial" w:eastAsia="Arial"/>
              </w:rPr>
              <w:t>Special satellite</w:t>
            </w:r>
          </w:p>
        </w:tc>
        <w:tc>
          <w:tcPr>
            <w:tcW w:type="dxa" w:w="1738"/>
            <w:vAlign w:val="center"/>
          </w:tcPr>
          <w:p>
            <w:r/>
            <w:r>
              <w:rPr>
                <w:rFonts w:ascii="Arial" w:hAnsi="Arial"/>
                <w:b w:val="0"/>
                <w:sz w:val="14"/>
                <w:rFonts w:ascii="Arial" w:hAnsi="Arial" w:eastAsia="Arial"/>
              </w:rPr>
              <w:t>40,000</w:t>
            </w:r>
          </w:p>
        </w:tc>
        <w:tc>
          <w:tcPr>
            <w:tcW w:type="dxa" w:w="1738"/>
            <w:vAlign w:val="center"/>
          </w:tcPr>
          <w:p>
            <w:r/>
            <w:r>
              <w:rPr>
                <w:rFonts w:ascii="Arial" w:hAnsi="Arial"/>
                <w:b w:val="0"/>
                <w:sz w:val="14"/>
                <w:rFonts w:ascii="Arial" w:hAnsi="Arial" w:eastAsia="Arial"/>
              </w:rPr>
              <w:t>2.0</w:t>
            </w:r>
          </w:p>
        </w:tc>
        <w:tc>
          <w:tcPr>
            <w:tcW w:type="dxa" w:w="1738"/>
            <w:vAlign w:val="center"/>
          </w:tcPr>
          <w:p>
            <w:r/>
            <w:r>
              <w:rPr>
                <w:rFonts w:ascii="Arial" w:hAnsi="Arial"/>
                <w:b w:val="0"/>
                <w:sz w:val="14"/>
                <w:rFonts w:ascii="Arial" w:hAnsi="Arial" w:eastAsia="Arial"/>
              </w:rPr>
              <w:t>9,500</w:t>
            </w:r>
          </w:p>
        </w:tc>
        <w:tc>
          <w:tcPr>
            <w:tcW w:type="dxa" w:w="1738"/>
            <w:vAlign w:val="center"/>
          </w:tcPr>
          <w:p>
            <w:r/>
            <w:r>
              <w:rPr>
                <w:rFonts w:ascii="Arial" w:hAnsi="Arial"/>
                <w:b w:val="0"/>
                <w:sz w:val="14"/>
                <w:rFonts w:ascii="Arial" w:hAnsi="Arial" w:eastAsia="Arial"/>
              </w:rPr>
              <w:t>Jeju only if SLA strategic</w:t>
            </w:r>
          </w:p>
        </w:tc>
      </w:tr>
      <w:tr>
        <w:tc>
          <w:tcPr>
            <w:tcW w:type="dxa" w:w="1738"/>
            <w:vAlign w:val="center"/>
          </w:tcPr>
          <w:p>
            <w:r/>
            <w:r>
              <w:rPr>
                <w:rFonts w:ascii="Arial" w:hAnsi="Arial"/>
                <w:b w:val="0"/>
                <w:sz w:val="14"/>
                <w:rFonts w:ascii="Arial" w:hAnsi="Arial" w:eastAsia="Arial"/>
              </w:rPr>
              <w:t>Incheon Hub</w:t>
            </w:r>
          </w:p>
        </w:tc>
        <w:tc>
          <w:tcPr>
            <w:tcW w:type="dxa" w:w="1738"/>
            <w:vAlign w:val="center"/>
          </w:tcPr>
          <w:p>
            <w:r/>
            <w:r>
              <w:rPr>
                <w:rFonts w:ascii="Arial" w:hAnsi="Arial"/>
                <w:b w:val="0"/>
                <w:sz w:val="14"/>
                <w:rFonts w:ascii="Arial" w:hAnsi="Arial" w:eastAsia="Arial"/>
              </w:rPr>
              <w:t>Airport/export hub</w:t>
            </w:r>
          </w:p>
        </w:tc>
        <w:tc>
          <w:tcPr>
            <w:tcW w:type="dxa" w:w="1738"/>
            <w:vAlign w:val="center"/>
          </w:tcPr>
          <w:p>
            <w:r/>
            <w:r>
              <w:rPr>
                <w:rFonts w:ascii="Arial" w:hAnsi="Arial"/>
                <w:b w:val="0"/>
                <w:sz w:val="14"/>
                <w:rFonts w:ascii="Arial" w:hAnsi="Arial" w:eastAsia="Arial"/>
              </w:rPr>
              <w:t>160,000</w:t>
            </w:r>
          </w:p>
        </w:tc>
        <w:tc>
          <w:tcPr>
            <w:tcW w:type="dxa" w:w="1738"/>
            <w:vAlign w:val="center"/>
          </w:tcPr>
          <w:p>
            <w:r/>
            <w:r>
              <w:rPr>
                <w:rFonts w:ascii="Arial" w:hAnsi="Arial"/>
                <w:b w:val="0"/>
                <w:sz w:val="14"/>
                <w:rFonts w:ascii="Arial" w:hAnsi="Arial" w:eastAsia="Arial"/>
              </w:rPr>
              <w:t>6.0</w:t>
            </w:r>
          </w:p>
        </w:tc>
        <w:tc>
          <w:tcPr>
            <w:tcW w:type="dxa" w:w="1738"/>
            <w:vAlign w:val="center"/>
          </w:tcPr>
          <w:p>
            <w:r/>
            <w:r>
              <w:rPr>
                <w:rFonts w:ascii="Arial" w:hAnsi="Arial"/>
                <w:b w:val="0"/>
                <w:sz w:val="14"/>
                <w:rFonts w:ascii="Arial" w:hAnsi="Arial" w:eastAsia="Arial"/>
              </w:rPr>
              <w:t>8,600</w:t>
            </w:r>
          </w:p>
        </w:tc>
        <w:tc>
          <w:tcPr>
            <w:tcW w:type="dxa" w:w="1738"/>
            <w:vAlign w:val="center"/>
          </w:tcPr>
          <w:p>
            <w:r/>
            <w:r>
              <w:rPr>
                <w:rFonts w:ascii="Arial" w:hAnsi="Arial"/>
                <w:b w:val="0"/>
                <w:sz w:val="14"/>
                <w:rFonts w:ascii="Arial" w:hAnsi="Arial" w:eastAsia="Arial"/>
              </w:rPr>
              <w:t>Air/export scenario</w:t>
            </w:r>
          </w:p>
        </w:tc>
      </w:tr>
    </w:tbl>
    <w:p/>
    <w:p>
      <w:pPr>
        <w:pStyle w:val="Heading1"/>
      </w:pPr>
      <w:r>
        <w:t>10. Scenario Analysis và outcome chuẩn senior manager</w:t>
      </w:r>
    </w:p>
    <w:p>
      <w:r>
        <w:t>Scenario analysis là phần quan trọng nhất với senior manager. Thay vì chỉ đưa một nghiệm tối ưu, sản phẩm phải so sánh nhiều phương án và chỉ rõ trade-off giữa cost, service, capacity, seasonal risk và complexity.</w:t>
      </w:r>
    </w:p>
    <w:p>
      <w:r>
        <w:rPr>
          <w:b/>
          <w:sz w:val="20"/>
        </w:rPr>
        <w:t>Bảng 10. Scenario financial comparison (KRW B/year)</w:t>
      </w:r>
    </w:p>
    <w:tbl>
      <w:tblPr>
        <w:tblStyle w:val="TableGrid"/>
        <w:tblW w:type="auto" w:w="0"/>
        <w:jc w:val="center"/>
        <w:tblLook w:firstColumn="1" w:firstRow="1" w:lastColumn="0" w:lastRow="0" w:noHBand="0" w:noVBand="1" w:val="04A0"/>
      </w:tblPr>
      <w:tblGrid>
        <w:gridCol w:w="1158"/>
        <w:gridCol w:w="1158"/>
        <w:gridCol w:w="1158"/>
        <w:gridCol w:w="1158"/>
        <w:gridCol w:w="1158"/>
        <w:gridCol w:w="1158"/>
        <w:gridCol w:w="1158"/>
        <w:gridCol w:w="1158"/>
        <w:gridCol w:w="1158"/>
      </w:tblGrid>
      <w:tr>
        <w:tc>
          <w:tcPr>
            <w:tcW w:type="dxa" w:w="1158"/>
            <w:shd w:fill="D9EAF7"/>
            <w:vAlign w:val="center"/>
          </w:tcPr>
          <w:p>
            <w:r/>
            <w:r>
              <w:rPr>
                <w:rFonts w:ascii="Arial" w:hAnsi="Arial"/>
                <w:b/>
                <w:sz w:val="14"/>
                <w:rFonts w:ascii="Arial" w:hAnsi="Arial" w:eastAsia="Arial"/>
              </w:rPr>
              <w:t>Scenario</w:t>
            </w:r>
          </w:p>
        </w:tc>
        <w:tc>
          <w:tcPr>
            <w:tcW w:type="dxa" w:w="1158"/>
            <w:shd w:fill="D9EAF7"/>
            <w:vAlign w:val="center"/>
          </w:tcPr>
          <w:p>
            <w:r/>
            <w:r>
              <w:rPr>
                <w:rFonts w:ascii="Arial" w:hAnsi="Arial"/>
                <w:b/>
                <w:sz w:val="14"/>
                <w:rFonts w:ascii="Arial" w:hAnsi="Arial" w:eastAsia="Arial"/>
              </w:rPr>
              <w:t>Network design</w:t>
            </w:r>
          </w:p>
        </w:tc>
        <w:tc>
          <w:tcPr>
            <w:tcW w:type="dxa" w:w="1158"/>
            <w:shd w:fill="D9EAF7"/>
            <w:vAlign w:val="center"/>
          </w:tcPr>
          <w:p>
            <w:r/>
            <w:r>
              <w:rPr>
                <w:rFonts w:ascii="Arial" w:hAnsi="Arial"/>
                <w:b/>
                <w:sz w:val="14"/>
                <w:rFonts w:ascii="Arial" w:hAnsi="Arial" w:eastAsia="Arial"/>
              </w:rPr>
              <w:t>Transport cost</w:t>
            </w:r>
          </w:p>
        </w:tc>
        <w:tc>
          <w:tcPr>
            <w:tcW w:type="dxa" w:w="1158"/>
            <w:shd w:fill="D9EAF7"/>
            <w:vAlign w:val="center"/>
          </w:tcPr>
          <w:p>
            <w:r/>
            <w:r>
              <w:rPr>
                <w:rFonts w:ascii="Arial" w:hAnsi="Arial"/>
                <w:b/>
                <w:sz w:val="14"/>
                <w:rFonts w:ascii="Arial" w:hAnsi="Arial" w:eastAsia="Arial"/>
              </w:rPr>
              <w:t>Fixed WH cost</w:t>
            </w:r>
          </w:p>
        </w:tc>
        <w:tc>
          <w:tcPr>
            <w:tcW w:type="dxa" w:w="1158"/>
            <w:shd w:fill="D9EAF7"/>
            <w:vAlign w:val="center"/>
          </w:tcPr>
          <w:p>
            <w:r/>
            <w:r>
              <w:rPr>
                <w:rFonts w:ascii="Arial" w:hAnsi="Arial"/>
                <w:b/>
                <w:sz w:val="14"/>
                <w:rFonts w:ascii="Arial" w:hAnsi="Arial" w:eastAsia="Arial"/>
              </w:rPr>
              <w:t>Handling cost</w:t>
            </w:r>
          </w:p>
        </w:tc>
        <w:tc>
          <w:tcPr>
            <w:tcW w:type="dxa" w:w="1158"/>
            <w:shd w:fill="D9EAF7"/>
            <w:vAlign w:val="center"/>
          </w:tcPr>
          <w:p>
            <w:r/>
            <w:r>
              <w:rPr>
                <w:rFonts w:ascii="Arial" w:hAnsi="Arial"/>
                <w:b/>
                <w:sz w:val="14"/>
                <w:rFonts w:ascii="Arial" w:hAnsi="Arial" w:eastAsia="Arial"/>
              </w:rPr>
              <w:t>Penalty cost</w:t>
            </w:r>
          </w:p>
        </w:tc>
        <w:tc>
          <w:tcPr>
            <w:tcW w:type="dxa" w:w="1158"/>
            <w:shd w:fill="D9EAF7"/>
            <w:vAlign w:val="center"/>
          </w:tcPr>
          <w:p>
            <w:r/>
            <w:r>
              <w:rPr>
                <w:rFonts w:ascii="Arial" w:hAnsi="Arial"/>
                <w:b/>
                <w:sz w:val="14"/>
                <w:rFonts w:ascii="Arial" w:hAnsi="Arial" w:eastAsia="Arial"/>
              </w:rPr>
              <w:t>Total cost</w:t>
            </w:r>
          </w:p>
        </w:tc>
        <w:tc>
          <w:tcPr>
            <w:tcW w:type="dxa" w:w="1158"/>
            <w:shd w:fill="D9EAF7"/>
            <w:vAlign w:val="center"/>
          </w:tcPr>
          <w:p>
            <w:r/>
            <w:r>
              <w:rPr>
                <w:rFonts w:ascii="Arial" w:hAnsi="Arial"/>
                <w:b/>
                <w:sz w:val="14"/>
                <w:rFonts w:ascii="Arial" w:hAnsi="Arial" w:eastAsia="Arial"/>
              </w:rPr>
              <w:t>Saving vs current</w:t>
            </w:r>
          </w:p>
        </w:tc>
        <w:tc>
          <w:tcPr>
            <w:tcW w:type="dxa" w:w="1158"/>
            <w:shd w:fill="D9EAF7"/>
            <w:vAlign w:val="center"/>
          </w:tcPr>
          <w:p>
            <w:r/>
            <w:r>
              <w:rPr>
                <w:rFonts w:ascii="Arial" w:hAnsi="Arial"/>
                <w:b/>
                <w:sz w:val="14"/>
                <w:rFonts w:ascii="Arial" w:hAnsi="Arial" w:eastAsia="Arial"/>
              </w:rPr>
              <w:t>Saving %</w:t>
            </w:r>
          </w:p>
        </w:tc>
      </w:tr>
      <w:tr>
        <w:tc>
          <w:tcPr>
            <w:tcW w:type="dxa" w:w="1158"/>
            <w:vAlign w:val="center"/>
          </w:tcPr>
          <w:p>
            <w:r/>
            <w:r>
              <w:rPr>
                <w:rFonts w:ascii="Arial" w:hAnsi="Arial"/>
                <w:b w:val="0"/>
                <w:sz w:val="14"/>
                <w:rFonts w:ascii="Arial" w:hAnsi="Arial" w:eastAsia="Arial"/>
              </w:rPr>
              <w:t>S0</w:t>
            </w:r>
          </w:p>
        </w:tc>
        <w:tc>
          <w:tcPr>
            <w:tcW w:type="dxa" w:w="1158"/>
            <w:vAlign w:val="center"/>
          </w:tcPr>
          <w:p>
            <w:r/>
            <w:r>
              <w:rPr>
                <w:rFonts w:ascii="Arial" w:hAnsi="Arial"/>
                <w:b w:val="0"/>
                <w:sz w:val="14"/>
                <w:rFonts w:ascii="Arial" w:hAnsi="Arial" w:eastAsia="Arial"/>
              </w:rPr>
              <w:t>Current 3 hubs</w:t>
            </w:r>
          </w:p>
        </w:tc>
        <w:tc>
          <w:tcPr>
            <w:tcW w:type="dxa" w:w="1158"/>
            <w:vAlign w:val="center"/>
          </w:tcPr>
          <w:p>
            <w:r/>
            <w:r>
              <w:rPr>
                <w:rFonts w:ascii="Arial" w:hAnsi="Arial"/>
                <w:b w:val="0"/>
                <w:sz w:val="14"/>
                <w:rFonts w:ascii="Arial" w:hAnsi="Arial" w:eastAsia="Arial"/>
              </w:rPr>
              <w:t>152.1</w:t>
            </w:r>
          </w:p>
        </w:tc>
        <w:tc>
          <w:tcPr>
            <w:tcW w:type="dxa" w:w="1158"/>
            <w:vAlign w:val="center"/>
          </w:tcPr>
          <w:p>
            <w:r/>
            <w:r>
              <w:rPr>
                <w:rFonts w:ascii="Arial" w:hAnsi="Arial"/>
                <w:b w:val="0"/>
                <w:sz w:val="14"/>
                <w:rFonts w:ascii="Arial" w:hAnsi="Arial" w:eastAsia="Arial"/>
              </w:rPr>
              <w:t>18.0</w:t>
            </w:r>
          </w:p>
        </w:tc>
        <w:tc>
          <w:tcPr>
            <w:tcW w:type="dxa" w:w="1158"/>
            <w:vAlign w:val="center"/>
          </w:tcPr>
          <w:p>
            <w:r/>
            <w:r>
              <w:rPr>
                <w:rFonts w:ascii="Arial" w:hAnsi="Arial"/>
                <w:b w:val="0"/>
                <w:sz w:val="14"/>
                <w:rFonts w:ascii="Arial" w:hAnsi="Arial" w:eastAsia="Arial"/>
              </w:rPr>
              <w:t>9.0</w:t>
            </w:r>
          </w:p>
        </w:tc>
        <w:tc>
          <w:tcPr>
            <w:tcW w:type="dxa" w:w="1158"/>
            <w:vAlign w:val="center"/>
          </w:tcPr>
          <w:p>
            <w:r/>
            <w:r>
              <w:rPr>
                <w:rFonts w:ascii="Arial" w:hAnsi="Arial"/>
                <w:b w:val="0"/>
                <w:sz w:val="14"/>
                <w:rFonts w:ascii="Arial" w:hAnsi="Arial" w:eastAsia="Arial"/>
              </w:rPr>
              <w:t>12.0</w:t>
            </w:r>
          </w:p>
        </w:tc>
        <w:tc>
          <w:tcPr>
            <w:tcW w:type="dxa" w:w="1158"/>
            <w:vAlign w:val="center"/>
          </w:tcPr>
          <w:p>
            <w:r/>
            <w:r>
              <w:rPr>
                <w:rFonts w:ascii="Arial" w:hAnsi="Arial"/>
                <w:b w:val="0"/>
                <w:sz w:val="14"/>
                <w:rFonts w:ascii="Arial" w:hAnsi="Arial" w:eastAsia="Arial"/>
              </w:rPr>
              <w:t>191.1</w:t>
            </w:r>
          </w:p>
        </w:tc>
        <w:tc>
          <w:tcPr>
            <w:tcW w:type="dxa" w:w="1158"/>
            <w:vAlign w:val="center"/>
          </w:tcPr>
          <w:p>
            <w:r/>
            <w:r>
              <w:rPr>
                <w:rFonts w:ascii="Arial" w:hAnsi="Arial"/>
                <w:b w:val="0"/>
                <w:sz w:val="14"/>
                <w:rFonts w:ascii="Arial" w:hAnsi="Arial" w:eastAsia="Arial"/>
              </w:rPr>
              <w:t>0.0</w:t>
            </w:r>
          </w:p>
        </w:tc>
        <w:tc>
          <w:tcPr>
            <w:tcW w:type="dxa" w:w="1158"/>
            <w:vAlign w:val="center"/>
          </w:tcPr>
          <w:p>
            <w:r/>
            <w:r>
              <w:rPr>
                <w:rFonts w:ascii="Arial" w:hAnsi="Arial"/>
                <w:b w:val="0"/>
                <w:sz w:val="14"/>
                <w:rFonts w:ascii="Arial" w:hAnsi="Arial" w:eastAsia="Arial"/>
              </w:rPr>
              <w:t>0.0%</w:t>
            </w:r>
          </w:p>
        </w:tc>
      </w:tr>
      <w:tr>
        <w:tc>
          <w:tcPr>
            <w:tcW w:type="dxa" w:w="1158"/>
            <w:vAlign w:val="center"/>
          </w:tcPr>
          <w:p>
            <w:r/>
            <w:r>
              <w:rPr>
                <w:rFonts w:ascii="Arial" w:hAnsi="Arial"/>
                <w:b w:val="0"/>
                <w:sz w:val="14"/>
                <w:rFonts w:ascii="Arial" w:hAnsi="Arial" w:eastAsia="Arial"/>
              </w:rPr>
              <w:t>S1</w:t>
            </w:r>
          </w:p>
        </w:tc>
        <w:tc>
          <w:tcPr>
            <w:tcW w:type="dxa" w:w="1158"/>
            <w:vAlign w:val="center"/>
          </w:tcPr>
          <w:p>
            <w:r/>
            <w:r>
              <w:rPr>
                <w:rFonts w:ascii="Arial" w:hAnsi="Arial"/>
                <w:b w:val="0"/>
                <w:sz w:val="14"/>
                <w:rFonts w:ascii="Arial" w:hAnsi="Arial" w:eastAsia="Arial"/>
              </w:rPr>
              <w:t>Optimized 3 hubs</w:t>
            </w:r>
          </w:p>
        </w:tc>
        <w:tc>
          <w:tcPr>
            <w:tcW w:type="dxa" w:w="1158"/>
            <w:vAlign w:val="center"/>
          </w:tcPr>
          <w:p>
            <w:r/>
            <w:r>
              <w:rPr>
                <w:rFonts w:ascii="Arial" w:hAnsi="Arial"/>
                <w:b w:val="0"/>
                <w:sz w:val="14"/>
                <w:rFonts w:ascii="Arial" w:hAnsi="Arial" w:eastAsia="Arial"/>
              </w:rPr>
              <w:t>139.0</w:t>
            </w:r>
          </w:p>
        </w:tc>
        <w:tc>
          <w:tcPr>
            <w:tcW w:type="dxa" w:w="1158"/>
            <w:vAlign w:val="center"/>
          </w:tcPr>
          <w:p>
            <w:r/>
            <w:r>
              <w:rPr>
                <w:rFonts w:ascii="Arial" w:hAnsi="Arial"/>
                <w:b w:val="0"/>
                <w:sz w:val="14"/>
                <w:rFonts w:ascii="Arial" w:hAnsi="Arial" w:eastAsia="Arial"/>
              </w:rPr>
              <w:t>19.0</w:t>
            </w:r>
          </w:p>
        </w:tc>
        <w:tc>
          <w:tcPr>
            <w:tcW w:type="dxa" w:w="1158"/>
            <w:vAlign w:val="center"/>
          </w:tcPr>
          <w:p>
            <w:r/>
            <w:r>
              <w:rPr>
                <w:rFonts w:ascii="Arial" w:hAnsi="Arial"/>
                <w:b w:val="0"/>
                <w:sz w:val="14"/>
                <w:rFonts w:ascii="Arial" w:hAnsi="Arial" w:eastAsia="Arial"/>
              </w:rPr>
              <w:t>9.0</w:t>
            </w:r>
          </w:p>
        </w:tc>
        <w:tc>
          <w:tcPr>
            <w:tcW w:type="dxa" w:w="1158"/>
            <w:vAlign w:val="center"/>
          </w:tcPr>
          <w:p>
            <w:r/>
            <w:r>
              <w:rPr>
                <w:rFonts w:ascii="Arial" w:hAnsi="Arial"/>
                <w:b w:val="0"/>
                <w:sz w:val="14"/>
                <w:rFonts w:ascii="Arial" w:hAnsi="Arial" w:eastAsia="Arial"/>
              </w:rPr>
              <w:t>9.5</w:t>
            </w:r>
          </w:p>
        </w:tc>
        <w:tc>
          <w:tcPr>
            <w:tcW w:type="dxa" w:w="1158"/>
            <w:vAlign w:val="center"/>
          </w:tcPr>
          <w:p>
            <w:r/>
            <w:r>
              <w:rPr>
                <w:rFonts w:ascii="Arial" w:hAnsi="Arial"/>
                <w:b w:val="0"/>
                <w:sz w:val="14"/>
                <w:rFonts w:ascii="Arial" w:hAnsi="Arial" w:eastAsia="Arial"/>
              </w:rPr>
              <w:t>176.5</w:t>
            </w:r>
          </w:p>
        </w:tc>
        <w:tc>
          <w:tcPr>
            <w:tcW w:type="dxa" w:w="1158"/>
            <w:vAlign w:val="center"/>
          </w:tcPr>
          <w:p>
            <w:r/>
            <w:r>
              <w:rPr>
                <w:rFonts w:ascii="Arial" w:hAnsi="Arial"/>
                <w:b w:val="0"/>
                <w:sz w:val="14"/>
                <w:rFonts w:ascii="Arial" w:hAnsi="Arial" w:eastAsia="Arial"/>
              </w:rPr>
              <w:t>14.6</w:t>
            </w:r>
          </w:p>
        </w:tc>
        <w:tc>
          <w:tcPr>
            <w:tcW w:type="dxa" w:w="1158"/>
            <w:vAlign w:val="center"/>
          </w:tcPr>
          <w:p>
            <w:r/>
            <w:r>
              <w:rPr>
                <w:rFonts w:ascii="Arial" w:hAnsi="Arial"/>
                <w:b w:val="0"/>
                <w:sz w:val="14"/>
                <w:rFonts w:ascii="Arial" w:hAnsi="Arial" w:eastAsia="Arial"/>
              </w:rPr>
              <w:t>7.6%</w:t>
            </w:r>
          </w:p>
        </w:tc>
      </w:tr>
      <w:tr>
        <w:tc>
          <w:tcPr>
            <w:tcW w:type="dxa" w:w="1158"/>
            <w:vAlign w:val="center"/>
          </w:tcPr>
          <w:p>
            <w:r/>
            <w:r>
              <w:rPr>
                <w:rFonts w:ascii="Arial" w:hAnsi="Arial"/>
                <w:b w:val="0"/>
                <w:sz w:val="14"/>
                <w:rFonts w:ascii="Arial" w:hAnsi="Arial" w:eastAsia="Arial"/>
              </w:rPr>
              <w:t>S2</w:t>
            </w:r>
          </w:p>
        </w:tc>
        <w:tc>
          <w:tcPr>
            <w:tcW w:type="dxa" w:w="1158"/>
            <w:vAlign w:val="center"/>
          </w:tcPr>
          <w:p>
            <w:r/>
            <w:r>
              <w:rPr>
                <w:rFonts w:ascii="Arial" w:hAnsi="Arial"/>
                <w:b w:val="0"/>
                <w:sz w:val="14"/>
                <w:rFonts w:ascii="Arial" w:hAnsi="Arial" w:eastAsia="Arial"/>
              </w:rPr>
              <w:t>4-hub network</w:t>
            </w:r>
          </w:p>
        </w:tc>
        <w:tc>
          <w:tcPr>
            <w:tcW w:type="dxa" w:w="1158"/>
            <w:vAlign w:val="center"/>
          </w:tcPr>
          <w:p>
            <w:r/>
            <w:r>
              <w:rPr>
                <w:rFonts w:ascii="Arial" w:hAnsi="Arial"/>
                <w:b w:val="0"/>
                <w:sz w:val="14"/>
                <w:rFonts w:ascii="Arial" w:hAnsi="Arial" w:eastAsia="Arial"/>
              </w:rPr>
              <w:t>126.8</w:t>
            </w:r>
          </w:p>
        </w:tc>
        <w:tc>
          <w:tcPr>
            <w:tcW w:type="dxa" w:w="1158"/>
            <w:vAlign w:val="center"/>
          </w:tcPr>
          <w:p>
            <w:r/>
            <w:r>
              <w:rPr>
                <w:rFonts w:ascii="Arial" w:hAnsi="Arial"/>
                <w:b w:val="0"/>
                <w:sz w:val="14"/>
                <w:rFonts w:ascii="Arial" w:hAnsi="Arial" w:eastAsia="Arial"/>
              </w:rPr>
              <w:t>24.5</w:t>
            </w:r>
          </w:p>
        </w:tc>
        <w:tc>
          <w:tcPr>
            <w:tcW w:type="dxa" w:w="1158"/>
            <w:vAlign w:val="center"/>
          </w:tcPr>
          <w:p>
            <w:r/>
            <w:r>
              <w:rPr>
                <w:rFonts w:ascii="Arial" w:hAnsi="Arial"/>
                <w:b w:val="0"/>
                <w:sz w:val="14"/>
                <w:rFonts w:ascii="Arial" w:hAnsi="Arial" w:eastAsia="Arial"/>
              </w:rPr>
              <w:t>9.1</w:t>
            </w:r>
          </w:p>
        </w:tc>
        <w:tc>
          <w:tcPr>
            <w:tcW w:type="dxa" w:w="1158"/>
            <w:vAlign w:val="center"/>
          </w:tcPr>
          <w:p>
            <w:r/>
            <w:r>
              <w:rPr>
                <w:rFonts w:ascii="Arial" w:hAnsi="Arial"/>
                <w:b w:val="0"/>
                <w:sz w:val="14"/>
                <w:rFonts w:ascii="Arial" w:hAnsi="Arial" w:eastAsia="Arial"/>
              </w:rPr>
              <w:t>6.8</w:t>
            </w:r>
          </w:p>
        </w:tc>
        <w:tc>
          <w:tcPr>
            <w:tcW w:type="dxa" w:w="1158"/>
            <w:vAlign w:val="center"/>
          </w:tcPr>
          <w:p>
            <w:r/>
            <w:r>
              <w:rPr>
                <w:rFonts w:ascii="Arial" w:hAnsi="Arial"/>
                <w:b w:val="0"/>
                <w:sz w:val="14"/>
                <w:rFonts w:ascii="Arial" w:hAnsi="Arial" w:eastAsia="Arial"/>
              </w:rPr>
              <w:t>167.2</w:t>
            </w:r>
          </w:p>
        </w:tc>
        <w:tc>
          <w:tcPr>
            <w:tcW w:type="dxa" w:w="1158"/>
            <w:vAlign w:val="center"/>
          </w:tcPr>
          <w:p>
            <w:r/>
            <w:r>
              <w:rPr>
                <w:rFonts w:ascii="Arial" w:hAnsi="Arial"/>
                <w:b w:val="0"/>
                <w:sz w:val="14"/>
                <w:rFonts w:ascii="Arial" w:hAnsi="Arial" w:eastAsia="Arial"/>
              </w:rPr>
              <w:t>23.9</w:t>
            </w:r>
          </w:p>
        </w:tc>
        <w:tc>
          <w:tcPr>
            <w:tcW w:type="dxa" w:w="1158"/>
            <w:vAlign w:val="center"/>
          </w:tcPr>
          <w:p>
            <w:r/>
            <w:r>
              <w:rPr>
                <w:rFonts w:ascii="Arial" w:hAnsi="Arial"/>
                <w:b w:val="0"/>
                <w:sz w:val="14"/>
                <w:rFonts w:ascii="Arial" w:hAnsi="Arial" w:eastAsia="Arial"/>
              </w:rPr>
              <w:t>12.5%</w:t>
            </w:r>
          </w:p>
        </w:tc>
      </w:tr>
      <w:tr>
        <w:tc>
          <w:tcPr>
            <w:tcW w:type="dxa" w:w="1158"/>
            <w:vAlign w:val="center"/>
          </w:tcPr>
          <w:p>
            <w:r/>
            <w:r>
              <w:rPr>
                <w:rFonts w:ascii="Arial" w:hAnsi="Arial"/>
                <w:b w:val="0"/>
                <w:sz w:val="14"/>
                <w:rFonts w:ascii="Arial" w:hAnsi="Arial" w:eastAsia="Arial"/>
              </w:rPr>
              <w:t>S3</w:t>
            </w:r>
          </w:p>
        </w:tc>
        <w:tc>
          <w:tcPr>
            <w:tcW w:type="dxa" w:w="1158"/>
            <w:vAlign w:val="center"/>
          </w:tcPr>
          <w:p>
            <w:r/>
            <w:r>
              <w:rPr>
                <w:rFonts w:ascii="Arial" w:hAnsi="Arial"/>
                <w:b w:val="0"/>
                <w:sz w:val="14"/>
                <w:rFonts w:ascii="Arial" w:hAnsi="Arial" w:eastAsia="Arial"/>
              </w:rPr>
              <w:t>5-hub balanced network</w:t>
            </w:r>
          </w:p>
        </w:tc>
        <w:tc>
          <w:tcPr>
            <w:tcW w:type="dxa" w:w="1158"/>
            <w:vAlign w:val="center"/>
          </w:tcPr>
          <w:p>
            <w:r/>
            <w:r>
              <w:rPr>
                <w:rFonts w:ascii="Arial" w:hAnsi="Arial"/>
                <w:b w:val="0"/>
                <w:sz w:val="14"/>
                <w:rFonts w:ascii="Arial" w:hAnsi="Arial" w:eastAsia="Arial"/>
              </w:rPr>
              <w:t>115.4</w:t>
            </w:r>
          </w:p>
        </w:tc>
        <w:tc>
          <w:tcPr>
            <w:tcW w:type="dxa" w:w="1158"/>
            <w:vAlign w:val="center"/>
          </w:tcPr>
          <w:p>
            <w:r/>
            <w:r>
              <w:rPr>
                <w:rFonts w:ascii="Arial" w:hAnsi="Arial"/>
                <w:b w:val="0"/>
                <w:sz w:val="14"/>
                <w:rFonts w:ascii="Arial" w:hAnsi="Arial" w:eastAsia="Arial"/>
              </w:rPr>
              <w:t>29.3</w:t>
            </w:r>
          </w:p>
        </w:tc>
        <w:tc>
          <w:tcPr>
            <w:tcW w:type="dxa" w:w="1158"/>
            <w:vAlign w:val="center"/>
          </w:tcPr>
          <w:p>
            <w:r/>
            <w:r>
              <w:rPr>
                <w:rFonts w:ascii="Arial" w:hAnsi="Arial"/>
                <w:b w:val="0"/>
                <w:sz w:val="14"/>
                <w:rFonts w:ascii="Arial" w:hAnsi="Arial" w:eastAsia="Arial"/>
              </w:rPr>
              <w:t>9.3</w:t>
            </w:r>
          </w:p>
        </w:tc>
        <w:tc>
          <w:tcPr>
            <w:tcW w:type="dxa" w:w="1158"/>
            <w:vAlign w:val="center"/>
          </w:tcPr>
          <w:p>
            <w:r/>
            <w:r>
              <w:rPr>
                <w:rFonts w:ascii="Arial" w:hAnsi="Arial"/>
                <w:b w:val="0"/>
                <w:sz w:val="14"/>
                <w:rFonts w:ascii="Arial" w:hAnsi="Arial" w:eastAsia="Arial"/>
              </w:rPr>
              <w:t>4.5</w:t>
            </w:r>
          </w:p>
        </w:tc>
        <w:tc>
          <w:tcPr>
            <w:tcW w:type="dxa" w:w="1158"/>
            <w:vAlign w:val="center"/>
          </w:tcPr>
          <w:p>
            <w:r/>
            <w:r>
              <w:rPr>
                <w:rFonts w:ascii="Arial" w:hAnsi="Arial"/>
                <w:b w:val="0"/>
                <w:sz w:val="14"/>
                <w:rFonts w:ascii="Arial" w:hAnsi="Arial" w:eastAsia="Arial"/>
              </w:rPr>
              <w:t>158.5</w:t>
            </w:r>
          </w:p>
        </w:tc>
        <w:tc>
          <w:tcPr>
            <w:tcW w:type="dxa" w:w="1158"/>
            <w:vAlign w:val="center"/>
          </w:tcPr>
          <w:p>
            <w:r/>
            <w:r>
              <w:rPr>
                <w:rFonts w:ascii="Arial" w:hAnsi="Arial"/>
                <w:b w:val="0"/>
                <w:sz w:val="14"/>
                <w:rFonts w:ascii="Arial" w:hAnsi="Arial" w:eastAsia="Arial"/>
              </w:rPr>
              <w:t>32.6</w:t>
            </w:r>
          </w:p>
        </w:tc>
        <w:tc>
          <w:tcPr>
            <w:tcW w:type="dxa" w:w="1158"/>
            <w:vAlign w:val="center"/>
          </w:tcPr>
          <w:p>
            <w:r/>
            <w:r>
              <w:rPr>
                <w:rFonts w:ascii="Arial" w:hAnsi="Arial"/>
                <w:b w:val="0"/>
                <w:sz w:val="14"/>
                <w:rFonts w:ascii="Arial" w:hAnsi="Arial" w:eastAsia="Arial"/>
              </w:rPr>
              <w:t>17.1%</w:t>
            </w:r>
          </w:p>
        </w:tc>
      </w:tr>
      <w:tr>
        <w:tc>
          <w:tcPr>
            <w:tcW w:type="dxa" w:w="1158"/>
            <w:vAlign w:val="center"/>
          </w:tcPr>
          <w:p>
            <w:r/>
            <w:r>
              <w:rPr>
                <w:rFonts w:ascii="Arial" w:hAnsi="Arial"/>
                <w:b w:val="0"/>
                <w:sz w:val="14"/>
                <w:rFonts w:ascii="Arial" w:hAnsi="Arial" w:eastAsia="Arial"/>
              </w:rPr>
              <w:t>S4</w:t>
            </w:r>
          </w:p>
        </w:tc>
        <w:tc>
          <w:tcPr>
            <w:tcW w:type="dxa" w:w="1158"/>
            <w:vAlign w:val="center"/>
          </w:tcPr>
          <w:p>
            <w:r/>
            <w:r>
              <w:rPr>
                <w:rFonts w:ascii="Arial" w:hAnsi="Arial"/>
                <w:b w:val="0"/>
                <w:sz w:val="14"/>
                <w:rFonts w:ascii="Arial" w:hAnsi="Arial" w:eastAsia="Arial"/>
              </w:rPr>
              <w:t>7-hub high-service network</w:t>
            </w:r>
          </w:p>
        </w:tc>
        <w:tc>
          <w:tcPr>
            <w:tcW w:type="dxa" w:w="1158"/>
            <w:vAlign w:val="center"/>
          </w:tcPr>
          <w:p>
            <w:r/>
            <w:r>
              <w:rPr>
                <w:rFonts w:ascii="Arial" w:hAnsi="Arial"/>
                <w:b w:val="0"/>
                <w:sz w:val="14"/>
                <w:rFonts w:ascii="Arial" w:hAnsi="Arial" w:eastAsia="Arial"/>
              </w:rPr>
              <w:t>101.4</w:t>
            </w:r>
          </w:p>
        </w:tc>
        <w:tc>
          <w:tcPr>
            <w:tcW w:type="dxa" w:w="1158"/>
            <w:vAlign w:val="center"/>
          </w:tcPr>
          <w:p>
            <w:r/>
            <w:r>
              <w:rPr>
                <w:rFonts w:ascii="Arial" w:hAnsi="Arial"/>
                <w:b w:val="0"/>
                <w:sz w:val="14"/>
                <w:rFonts w:ascii="Arial" w:hAnsi="Arial" w:eastAsia="Arial"/>
              </w:rPr>
              <w:t>43.0</w:t>
            </w:r>
          </w:p>
        </w:tc>
        <w:tc>
          <w:tcPr>
            <w:tcW w:type="dxa" w:w="1158"/>
            <w:vAlign w:val="center"/>
          </w:tcPr>
          <w:p>
            <w:r/>
            <w:r>
              <w:rPr>
                <w:rFonts w:ascii="Arial" w:hAnsi="Arial"/>
                <w:b w:val="0"/>
                <w:sz w:val="14"/>
                <w:rFonts w:ascii="Arial" w:hAnsi="Arial" w:eastAsia="Arial"/>
              </w:rPr>
              <w:t>9.8</w:t>
            </w:r>
          </w:p>
        </w:tc>
        <w:tc>
          <w:tcPr>
            <w:tcW w:type="dxa" w:w="1158"/>
            <w:vAlign w:val="center"/>
          </w:tcPr>
          <w:p>
            <w:r/>
            <w:r>
              <w:rPr>
                <w:rFonts w:ascii="Arial" w:hAnsi="Arial"/>
                <w:b w:val="0"/>
                <w:sz w:val="14"/>
                <w:rFonts w:ascii="Arial" w:hAnsi="Arial" w:eastAsia="Arial"/>
              </w:rPr>
              <w:t>2.5</w:t>
            </w:r>
          </w:p>
        </w:tc>
        <w:tc>
          <w:tcPr>
            <w:tcW w:type="dxa" w:w="1158"/>
            <w:vAlign w:val="center"/>
          </w:tcPr>
          <w:p>
            <w:r/>
            <w:r>
              <w:rPr>
                <w:rFonts w:ascii="Arial" w:hAnsi="Arial"/>
                <w:b w:val="0"/>
                <w:sz w:val="14"/>
                <w:rFonts w:ascii="Arial" w:hAnsi="Arial" w:eastAsia="Arial"/>
              </w:rPr>
              <w:t>156.7</w:t>
            </w:r>
          </w:p>
        </w:tc>
        <w:tc>
          <w:tcPr>
            <w:tcW w:type="dxa" w:w="1158"/>
            <w:vAlign w:val="center"/>
          </w:tcPr>
          <w:p>
            <w:r/>
            <w:r>
              <w:rPr>
                <w:rFonts w:ascii="Arial" w:hAnsi="Arial"/>
                <w:b w:val="0"/>
                <w:sz w:val="14"/>
                <w:rFonts w:ascii="Arial" w:hAnsi="Arial" w:eastAsia="Arial"/>
              </w:rPr>
              <w:t>34.4</w:t>
            </w:r>
          </w:p>
        </w:tc>
        <w:tc>
          <w:tcPr>
            <w:tcW w:type="dxa" w:w="1158"/>
            <w:vAlign w:val="center"/>
          </w:tcPr>
          <w:p>
            <w:r/>
            <w:r>
              <w:rPr>
                <w:rFonts w:ascii="Arial" w:hAnsi="Arial"/>
                <w:b w:val="0"/>
                <w:sz w:val="14"/>
                <w:rFonts w:ascii="Arial" w:hAnsi="Arial" w:eastAsia="Arial"/>
              </w:rPr>
              <w:t>18.0%</w:t>
            </w:r>
          </w:p>
        </w:tc>
      </w:tr>
      <w:tr>
        <w:tc>
          <w:tcPr>
            <w:tcW w:type="dxa" w:w="1158"/>
            <w:vAlign w:val="center"/>
          </w:tcPr>
          <w:p>
            <w:r/>
            <w:r>
              <w:rPr>
                <w:rFonts w:ascii="Arial" w:hAnsi="Arial"/>
                <w:b w:val="0"/>
                <w:sz w:val="14"/>
                <w:rFonts w:ascii="Arial" w:hAnsi="Arial" w:eastAsia="Arial"/>
              </w:rPr>
              <w:t>S5</w:t>
            </w:r>
          </w:p>
        </w:tc>
        <w:tc>
          <w:tcPr>
            <w:tcW w:type="dxa" w:w="1158"/>
            <w:vAlign w:val="center"/>
          </w:tcPr>
          <w:p>
            <w:r/>
            <w:r>
              <w:rPr>
                <w:rFonts w:ascii="Arial" w:hAnsi="Arial"/>
                <w:b w:val="0"/>
                <w:sz w:val="14"/>
                <w:rFonts w:ascii="Arial" w:hAnsi="Arial" w:eastAsia="Arial"/>
              </w:rPr>
              <w:t>5 hubs + Jeju cross-dock</w:t>
            </w:r>
          </w:p>
        </w:tc>
        <w:tc>
          <w:tcPr>
            <w:tcW w:type="dxa" w:w="1158"/>
            <w:vAlign w:val="center"/>
          </w:tcPr>
          <w:p>
            <w:r/>
            <w:r>
              <w:rPr>
                <w:rFonts w:ascii="Arial" w:hAnsi="Arial"/>
                <w:b w:val="0"/>
                <w:sz w:val="14"/>
                <w:rFonts w:ascii="Arial" w:hAnsi="Arial" w:eastAsia="Arial"/>
              </w:rPr>
              <w:t>113.8</w:t>
            </w:r>
          </w:p>
        </w:tc>
        <w:tc>
          <w:tcPr>
            <w:tcW w:type="dxa" w:w="1158"/>
            <w:vAlign w:val="center"/>
          </w:tcPr>
          <w:p>
            <w:r/>
            <w:r>
              <w:rPr>
                <w:rFonts w:ascii="Arial" w:hAnsi="Arial"/>
                <w:b w:val="0"/>
                <w:sz w:val="14"/>
                <w:rFonts w:ascii="Arial" w:hAnsi="Arial" w:eastAsia="Arial"/>
              </w:rPr>
              <w:t>31.3</w:t>
            </w:r>
          </w:p>
        </w:tc>
        <w:tc>
          <w:tcPr>
            <w:tcW w:type="dxa" w:w="1158"/>
            <w:vAlign w:val="center"/>
          </w:tcPr>
          <w:p>
            <w:r/>
            <w:r>
              <w:rPr>
                <w:rFonts w:ascii="Arial" w:hAnsi="Arial"/>
                <w:b w:val="0"/>
                <w:sz w:val="14"/>
                <w:rFonts w:ascii="Arial" w:hAnsi="Arial" w:eastAsia="Arial"/>
              </w:rPr>
              <w:t>9.5</w:t>
            </w:r>
          </w:p>
        </w:tc>
        <w:tc>
          <w:tcPr>
            <w:tcW w:type="dxa" w:w="1158"/>
            <w:vAlign w:val="center"/>
          </w:tcPr>
          <w:p>
            <w:r/>
            <w:r>
              <w:rPr>
                <w:rFonts w:ascii="Arial" w:hAnsi="Arial"/>
                <w:b w:val="0"/>
                <w:sz w:val="14"/>
                <w:rFonts w:ascii="Arial" w:hAnsi="Arial" w:eastAsia="Arial"/>
              </w:rPr>
              <w:t>3.8</w:t>
            </w:r>
          </w:p>
        </w:tc>
        <w:tc>
          <w:tcPr>
            <w:tcW w:type="dxa" w:w="1158"/>
            <w:vAlign w:val="center"/>
          </w:tcPr>
          <w:p>
            <w:r/>
            <w:r>
              <w:rPr>
                <w:rFonts w:ascii="Arial" w:hAnsi="Arial"/>
                <w:b w:val="0"/>
                <w:sz w:val="14"/>
                <w:rFonts w:ascii="Arial" w:hAnsi="Arial" w:eastAsia="Arial"/>
              </w:rPr>
              <w:t>158.4</w:t>
            </w:r>
          </w:p>
        </w:tc>
        <w:tc>
          <w:tcPr>
            <w:tcW w:type="dxa" w:w="1158"/>
            <w:vAlign w:val="center"/>
          </w:tcPr>
          <w:p>
            <w:r/>
            <w:r>
              <w:rPr>
                <w:rFonts w:ascii="Arial" w:hAnsi="Arial"/>
                <w:b w:val="0"/>
                <w:sz w:val="14"/>
                <w:rFonts w:ascii="Arial" w:hAnsi="Arial" w:eastAsia="Arial"/>
              </w:rPr>
              <w:t>32.7</w:t>
            </w:r>
          </w:p>
        </w:tc>
        <w:tc>
          <w:tcPr>
            <w:tcW w:type="dxa" w:w="1158"/>
            <w:vAlign w:val="center"/>
          </w:tcPr>
          <w:p>
            <w:r/>
            <w:r>
              <w:rPr>
                <w:rFonts w:ascii="Arial" w:hAnsi="Arial"/>
                <w:b w:val="0"/>
                <w:sz w:val="14"/>
                <w:rFonts w:ascii="Arial" w:hAnsi="Arial" w:eastAsia="Arial"/>
              </w:rPr>
              <w:t>17.1%</w:t>
            </w:r>
          </w:p>
        </w:tc>
      </w:tr>
      <w:tr>
        <w:tc>
          <w:tcPr>
            <w:tcW w:type="dxa" w:w="1158"/>
            <w:vAlign w:val="center"/>
          </w:tcPr>
          <w:p>
            <w:r/>
            <w:r>
              <w:rPr>
                <w:rFonts w:ascii="Arial" w:hAnsi="Arial"/>
                <w:b w:val="0"/>
                <w:sz w:val="14"/>
                <w:rFonts w:ascii="Arial" w:hAnsi="Arial" w:eastAsia="Arial"/>
              </w:rPr>
              <w:t>S6</w:t>
            </w:r>
          </w:p>
        </w:tc>
        <w:tc>
          <w:tcPr>
            <w:tcW w:type="dxa" w:w="1158"/>
            <w:vAlign w:val="center"/>
          </w:tcPr>
          <w:p>
            <w:r/>
            <w:r>
              <w:rPr>
                <w:rFonts w:ascii="Arial" w:hAnsi="Arial"/>
                <w:b w:val="0"/>
                <w:sz w:val="14"/>
                <w:rFonts w:ascii="Arial" w:hAnsi="Arial" w:eastAsia="Arial"/>
              </w:rPr>
              <w:t>S3 + seasonal temp capacity</w:t>
            </w:r>
          </w:p>
        </w:tc>
        <w:tc>
          <w:tcPr>
            <w:tcW w:type="dxa" w:w="1158"/>
            <w:vAlign w:val="center"/>
          </w:tcPr>
          <w:p>
            <w:r/>
            <w:r>
              <w:rPr>
                <w:rFonts w:ascii="Arial" w:hAnsi="Arial"/>
                <w:b w:val="0"/>
                <w:sz w:val="14"/>
                <w:rFonts w:ascii="Arial" w:hAnsi="Arial" w:eastAsia="Arial"/>
              </w:rPr>
              <w:t>116.8</w:t>
            </w:r>
          </w:p>
        </w:tc>
        <w:tc>
          <w:tcPr>
            <w:tcW w:type="dxa" w:w="1158"/>
            <w:vAlign w:val="center"/>
          </w:tcPr>
          <w:p>
            <w:r/>
            <w:r>
              <w:rPr>
                <w:rFonts w:ascii="Arial" w:hAnsi="Arial"/>
                <w:b w:val="0"/>
                <w:sz w:val="14"/>
                <w:rFonts w:ascii="Arial" w:hAnsi="Arial" w:eastAsia="Arial"/>
              </w:rPr>
              <w:t>29.3</w:t>
            </w:r>
          </w:p>
        </w:tc>
        <w:tc>
          <w:tcPr>
            <w:tcW w:type="dxa" w:w="1158"/>
            <w:vAlign w:val="center"/>
          </w:tcPr>
          <w:p>
            <w:r/>
            <w:r>
              <w:rPr>
                <w:rFonts w:ascii="Arial" w:hAnsi="Arial"/>
                <w:b w:val="0"/>
                <w:sz w:val="14"/>
                <w:rFonts w:ascii="Arial" w:hAnsi="Arial" w:eastAsia="Arial"/>
              </w:rPr>
              <w:t>10.7</w:t>
            </w:r>
          </w:p>
        </w:tc>
        <w:tc>
          <w:tcPr>
            <w:tcW w:type="dxa" w:w="1158"/>
            <w:vAlign w:val="center"/>
          </w:tcPr>
          <w:p>
            <w:r/>
            <w:r>
              <w:rPr>
                <w:rFonts w:ascii="Arial" w:hAnsi="Arial"/>
                <w:b w:val="0"/>
                <w:sz w:val="14"/>
                <w:rFonts w:ascii="Arial" w:hAnsi="Arial" w:eastAsia="Arial"/>
              </w:rPr>
              <w:t>2.5</w:t>
            </w:r>
          </w:p>
        </w:tc>
        <w:tc>
          <w:tcPr>
            <w:tcW w:type="dxa" w:w="1158"/>
            <w:vAlign w:val="center"/>
          </w:tcPr>
          <w:p>
            <w:r/>
            <w:r>
              <w:rPr>
                <w:rFonts w:ascii="Arial" w:hAnsi="Arial"/>
                <w:b w:val="0"/>
                <w:sz w:val="14"/>
                <w:rFonts w:ascii="Arial" w:hAnsi="Arial" w:eastAsia="Arial"/>
              </w:rPr>
              <w:t>159.3</w:t>
            </w:r>
          </w:p>
        </w:tc>
        <w:tc>
          <w:tcPr>
            <w:tcW w:type="dxa" w:w="1158"/>
            <w:vAlign w:val="center"/>
          </w:tcPr>
          <w:p>
            <w:r/>
            <w:r>
              <w:rPr>
                <w:rFonts w:ascii="Arial" w:hAnsi="Arial"/>
                <w:b w:val="0"/>
                <w:sz w:val="14"/>
                <w:rFonts w:ascii="Arial" w:hAnsi="Arial" w:eastAsia="Arial"/>
              </w:rPr>
              <w:t>31.8</w:t>
            </w:r>
          </w:p>
        </w:tc>
        <w:tc>
          <w:tcPr>
            <w:tcW w:type="dxa" w:w="1158"/>
            <w:vAlign w:val="center"/>
          </w:tcPr>
          <w:p>
            <w:r/>
            <w:r>
              <w:rPr>
                <w:rFonts w:ascii="Arial" w:hAnsi="Arial"/>
                <w:b w:val="0"/>
                <w:sz w:val="14"/>
                <w:rFonts w:ascii="Arial" w:hAnsi="Arial" w:eastAsia="Arial"/>
              </w:rPr>
              <w:t>16.6%</w:t>
            </w:r>
          </w:p>
        </w:tc>
      </w:tr>
    </w:tbl>
    <w:p/>
    <w:p>
      <w:r>
        <w:drawing>
          <wp:inline xmlns:a="http://schemas.openxmlformats.org/drawingml/2006/main" xmlns:pic="http://schemas.openxmlformats.org/drawingml/2006/picture">
            <wp:extent cx="5943600" cy="3034538"/>
            <wp:docPr id="3" name="Picture 3"/>
            <wp:cNvGraphicFramePr>
              <a:graphicFrameLocks noChangeAspect="1"/>
            </wp:cNvGraphicFramePr>
            <a:graphic>
              <a:graphicData uri="http://schemas.openxmlformats.org/drawingml/2006/picture">
                <pic:pic>
                  <pic:nvPicPr>
                    <pic:cNvPr id="0" name="scenario_cost.png"/>
                    <pic:cNvPicPr/>
                  </pic:nvPicPr>
                  <pic:blipFill>
                    <a:blip r:embed="rId12"/>
                    <a:stretch>
                      <a:fillRect/>
                    </a:stretch>
                  </pic:blipFill>
                  <pic:spPr>
                    <a:xfrm>
                      <a:off x="0" y="0"/>
                      <a:ext cx="5943600" cy="3034538"/>
                    </a:xfrm>
                    <a:prstGeom prst="rect"/>
                  </pic:spPr>
                </pic:pic>
              </a:graphicData>
            </a:graphic>
          </wp:inline>
        </w:drawing>
      </w:r>
    </w:p>
    <w:p>
      <w:pPr>
        <w:jc w:val="center"/>
      </w:pPr>
      <w:r>
        <w:rPr>
          <w:rFonts w:ascii="Arial" w:hAnsi="Arial"/>
          <w:i/>
          <w:sz w:val="17"/>
        </w:rPr>
        <w:t>Hình 3. Annual logistics cost by scenario</w:t>
      </w:r>
    </w:p>
    <w:p>
      <w:pPr>
        <w:pStyle w:val="Heading2"/>
      </w:pPr>
      <w:r>
        <w:t>10.1. Scenario interpretation</w:t>
      </w:r>
    </w:p>
    <w:p>
      <w:pPr>
        <w:pStyle w:val="ListBullet"/>
      </w:pPr>
      <w:r>
        <w:t>S0 là current network, có total cost KRW 191.1B/year và bị overload ở cả 3 hub.</w:t>
      </w:r>
    </w:p>
    <w:p>
      <w:pPr>
        <w:pStyle w:val="ListBullet"/>
      </w:pPr>
      <w:r>
        <w:t>S1 cải thiện cost nhưng vẫn giữ network quá tập trung nên chưa giải quyết được service và capacity risk.</w:t>
      </w:r>
    </w:p>
    <w:p>
      <w:pPr>
        <w:pStyle w:val="ListBullet"/>
      </w:pPr>
      <w:r>
        <w:t>S2 thêm central hub, giảm chi phí đáng kể nhưng southwest coverage vẫn chưa tốt.</w:t>
      </w:r>
    </w:p>
    <w:p>
      <w:pPr>
        <w:pStyle w:val="ListBullet"/>
      </w:pPr>
      <w:r>
        <w:t>S3 5-hub balanced network là recommended annual strategy vì đạt phần lớn savings trong khi fixed cost và complexity vẫn kiểm soát được.</w:t>
      </w:r>
    </w:p>
    <w:p>
      <w:pPr>
        <w:pStyle w:val="ListBullet"/>
      </w:pPr>
      <w:r>
        <w:t>S4 7-hub network giảm transport cost tốt hơn nhưng fixed cost cao; chỉ phù hợp nếu service level cực kỳ quan trọng.</w:t>
      </w:r>
    </w:p>
    <w:p>
      <w:pPr>
        <w:pStyle w:val="ListBullet"/>
      </w:pPr>
      <w:r>
        <w:t>S5 thêm Jeju cross-dock chỉ nên chọn nếu Jeju SLA là strategic priority.</w:t>
      </w:r>
    </w:p>
    <w:p>
      <w:pPr>
        <w:pStyle w:val="ListBullet"/>
      </w:pPr>
      <w:r>
        <w:t>S6 thêm seasonal temporary capacity vào S3 để xử lý peak-season demand; đây là phương án vận hành an toàn hơn trong mùa cao điểm.</w:t>
      </w:r>
    </w:p>
    <w:p>
      <w:pPr>
        <w:pStyle w:val="Heading2"/>
      </w:pPr>
      <w:r>
        <w:t>10.2. Recommended allocation under S3</w:t>
      </w:r>
    </w:p>
    <w:p>
      <w:r>
        <w:rPr>
          <w:b/>
          <w:sz w:val="20"/>
        </w:rPr>
        <w:t>Bảng 11. Recommended demand allocation by 17 regions</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fill="D9EAF7"/>
            <w:vAlign w:val="center"/>
          </w:tcPr>
          <w:p>
            <w:r/>
            <w:r>
              <w:rPr>
                <w:rFonts w:ascii="Arial" w:hAnsi="Arial"/>
                <w:b/>
                <w:sz w:val="14"/>
                <w:rFonts w:ascii="Arial" w:hAnsi="Arial" w:eastAsia="Arial"/>
              </w:rPr>
              <w:t>Demand region</w:t>
            </w:r>
          </w:p>
        </w:tc>
        <w:tc>
          <w:tcPr>
            <w:tcW w:type="dxa" w:w="2085"/>
            <w:shd w:fill="D9EAF7"/>
            <w:vAlign w:val="center"/>
          </w:tcPr>
          <w:p>
            <w:r/>
            <w:r>
              <w:rPr>
                <w:rFonts w:ascii="Arial" w:hAnsi="Arial"/>
                <w:b/>
                <w:sz w:val="14"/>
                <w:rFonts w:ascii="Arial" w:hAnsi="Arial" w:eastAsia="Arial"/>
              </w:rPr>
              <w:t>Annual demand</w:t>
            </w:r>
          </w:p>
        </w:tc>
        <w:tc>
          <w:tcPr>
            <w:tcW w:type="dxa" w:w="2085"/>
            <w:shd w:fill="D9EAF7"/>
            <w:vAlign w:val="center"/>
          </w:tcPr>
          <w:p>
            <w:r/>
            <w:r>
              <w:rPr>
                <w:rFonts w:ascii="Arial" w:hAnsi="Arial"/>
                <w:b/>
                <w:sz w:val="14"/>
                <w:rFonts w:ascii="Arial" w:hAnsi="Arial" w:eastAsia="Arial"/>
              </w:rPr>
              <w:t>Recommended hub</w:t>
            </w:r>
          </w:p>
        </w:tc>
        <w:tc>
          <w:tcPr>
            <w:tcW w:type="dxa" w:w="2085"/>
            <w:shd w:fill="D9EAF7"/>
            <w:vAlign w:val="center"/>
          </w:tcPr>
          <w:p>
            <w:r/>
            <w:r>
              <w:rPr>
                <w:rFonts w:ascii="Arial" w:hAnsi="Arial"/>
                <w:b/>
                <w:sz w:val="14"/>
                <w:rFonts w:ascii="Arial" w:hAnsi="Arial" w:eastAsia="Arial"/>
              </w:rPr>
              <w:t>Hub role</w:t>
            </w:r>
          </w:p>
        </w:tc>
        <w:tc>
          <w:tcPr>
            <w:tcW w:type="dxa" w:w="2085"/>
            <w:shd w:fill="D9EAF7"/>
            <w:vAlign w:val="center"/>
          </w:tcPr>
          <w:p>
            <w:r/>
            <w:r>
              <w:rPr>
                <w:rFonts w:ascii="Arial" w:hAnsi="Arial"/>
                <w:b/>
                <w:sz w:val="14"/>
                <w:rFonts w:ascii="Arial" w:hAnsi="Arial" w:eastAsia="Arial"/>
              </w:rPr>
              <w:t>Reason</w:t>
            </w:r>
          </w:p>
        </w:tc>
      </w:tr>
      <w:tr>
        <w:tc>
          <w:tcPr>
            <w:tcW w:type="dxa" w:w="2085"/>
            <w:vAlign w:val="center"/>
          </w:tcPr>
          <w:p>
            <w:r/>
            <w:r>
              <w:rPr>
                <w:rFonts w:ascii="Arial" w:hAnsi="Arial"/>
                <w:b w:val="0"/>
                <w:sz w:val="14"/>
                <w:rFonts w:ascii="Arial" w:hAnsi="Arial" w:eastAsia="Arial"/>
              </w:rPr>
              <w:t>Seoul</w:t>
            </w:r>
          </w:p>
        </w:tc>
        <w:tc>
          <w:tcPr>
            <w:tcW w:type="dxa" w:w="2085"/>
            <w:vAlign w:val="center"/>
          </w:tcPr>
          <w:p>
            <w:r/>
            <w:r>
              <w:rPr>
                <w:rFonts w:ascii="Arial" w:hAnsi="Arial"/>
                <w:b w:val="0"/>
                <w:sz w:val="14"/>
                <w:rFonts w:ascii="Arial" w:hAnsi="Arial" w:eastAsia="Arial"/>
              </w:rPr>
              <w:t>140,000</w:t>
            </w:r>
          </w:p>
        </w:tc>
        <w:tc>
          <w:tcPr>
            <w:tcW w:type="dxa" w:w="2085"/>
            <w:vAlign w:val="center"/>
          </w:tcPr>
          <w:p>
            <w:r/>
            <w:r>
              <w:rPr>
                <w:rFonts w:ascii="Arial" w:hAnsi="Arial"/>
                <w:b w:val="0"/>
                <w:sz w:val="14"/>
                <w:rFonts w:ascii="Arial" w:hAnsi="Arial" w:eastAsia="Arial"/>
              </w:rPr>
              <w:t>Gyeonggi Hub</w:t>
            </w:r>
          </w:p>
        </w:tc>
        <w:tc>
          <w:tcPr>
            <w:tcW w:type="dxa" w:w="2085"/>
            <w:vAlign w:val="center"/>
          </w:tcPr>
          <w:p>
            <w:r/>
            <w:r>
              <w:rPr>
                <w:rFonts w:ascii="Arial" w:hAnsi="Arial"/>
                <w:b w:val="0"/>
                <w:sz w:val="14"/>
                <w:rFonts w:ascii="Arial" w:hAnsi="Arial" w:eastAsia="Arial"/>
              </w:rPr>
              <w:t>Metro hub</w:t>
            </w:r>
          </w:p>
        </w:tc>
        <w:tc>
          <w:tcPr>
            <w:tcW w:type="dxa" w:w="2085"/>
            <w:vAlign w:val="center"/>
          </w:tcPr>
          <w:p>
            <w:r/>
            <w:r>
              <w:rPr>
                <w:rFonts w:ascii="Arial" w:hAnsi="Arial"/>
                <w:b w:val="0"/>
                <w:sz w:val="14"/>
                <w:rFonts w:ascii="Arial" w:hAnsi="Arial" w:eastAsia="Arial"/>
              </w:rPr>
              <w:t>Shortest service distance</w:t>
            </w:r>
          </w:p>
        </w:tc>
      </w:tr>
      <w:tr>
        <w:tc>
          <w:tcPr>
            <w:tcW w:type="dxa" w:w="2085"/>
            <w:vAlign w:val="center"/>
          </w:tcPr>
          <w:p>
            <w:r/>
            <w:r>
              <w:rPr>
                <w:rFonts w:ascii="Arial" w:hAnsi="Arial"/>
                <w:b w:val="0"/>
                <w:sz w:val="14"/>
                <w:rFonts w:ascii="Arial" w:hAnsi="Arial" w:eastAsia="Arial"/>
              </w:rPr>
              <w:t>Incheon</w:t>
            </w:r>
          </w:p>
        </w:tc>
        <w:tc>
          <w:tcPr>
            <w:tcW w:type="dxa" w:w="2085"/>
            <w:vAlign w:val="center"/>
          </w:tcPr>
          <w:p>
            <w:r/>
            <w:r>
              <w:rPr>
                <w:rFonts w:ascii="Arial" w:hAnsi="Arial"/>
                <w:b w:val="0"/>
                <w:sz w:val="14"/>
                <w:rFonts w:ascii="Arial" w:hAnsi="Arial" w:eastAsia="Arial"/>
              </w:rPr>
              <w:t>80,000</w:t>
            </w:r>
          </w:p>
        </w:tc>
        <w:tc>
          <w:tcPr>
            <w:tcW w:type="dxa" w:w="2085"/>
            <w:vAlign w:val="center"/>
          </w:tcPr>
          <w:p>
            <w:r/>
            <w:r>
              <w:rPr>
                <w:rFonts w:ascii="Arial" w:hAnsi="Arial"/>
                <w:b w:val="0"/>
                <w:sz w:val="14"/>
                <w:rFonts w:ascii="Arial" w:hAnsi="Arial" w:eastAsia="Arial"/>
              </w:rPr>
              <w:t>Gyeonggi Hub</w:t>
            </w:r>
          </w:p>
        </w:tc>
        <w:tc>
          <w:tcPr>
            <w:tcW w:type="dxa" w:w="2085"/>
            <w:vAlign w:val="center"/>
          </w:tcPr>
          <w:p>
            <w:r/>
            <w:r>
              <w:rPr>
                <w:rFonts w:ascii="Arial" w:hAnsi="Arial"/>
                <w:b w:val="0"/>
                <w:sz w:val="14"/>
                <w:rFonts w:ascii="Arial" w:hAnsi="Arial" w:eastAsia="Arial"/>
              </w:rPr>
              <w:t>Metro hub</w:t>
            </w:r>
          </w:p>
        </w:tc>
        <w:tc>
          <w:tcPr>
            <w:tcW w:type="dxa" w:w="2085"/>
            <w:vAlign w:val="center"/>
          </w:tcPr>
          <w:p>
            <w:r/>
            <w:r>
              <w:rPr>
                <w:rFonts w:ascii="Arial" w:hAnsi="Arial"/>
                <w:b w:val="0"/>
                <w:sz w:val="14"/>
                <w:rFonts w:ascii="Arial" w:hAnsi="Arial" w:eastAsia="Arial"/>
              </w:rPr>
              <w:t>Metro + airport proximity</w:t>
            </w:r>
          </w:p>
        </w:tc>
      </w:tr>
      <w:tr>
        <w:tc>
          <w:tcPr>
            <w:tcW w:type="dxa" w:w="2085"/>
            <w:vAlign w:val="center"/>
          </w:tcPr>
          <w:p>
            <w:r/>
            <w:r>
              <w:rPr>
                <w:rFonts w:ascii="Arial" w:hAnsi="Arial"/>
                <w:b w:val="0"/>
                <w:sz w:val="14"/>
                <w:rFonts w:ascii="Arial" w:hAnsi="Arial" w:eastAsia="Arial"/>
              </w:rPr>
              <w:t>Gyeonggi</w:t>
            </w:r>
          </w:p>
        </w:tc>
        <w:tc>
          <w:tcPr>
            <w:tcW w:type="dxa" w:w="2085"/>
            <w:vAlign w:val="center"/>
          </w:tcPr>
          <w:p>
            <w:r/>
            <w:r>
              <w:rPr>
                <w:rFonts w:ascii="Arial" w:hAnsi="Arial"/>
                <w:b w:val="0"/>
                <w:sz w:val="14"/>
                <w:rFonts w:ascii="Arial" w:hAnsi="Arial" w:eastAsia="Arial"/>
              </w:rPr>
              <w:t>240,000</w:t>
            </w:r>
          </w:p>
        </w:tc>
        <w:tc>
          <w:tcPr>
            <w:tcW w:type="dxa" w:w="2085"/>
            <w:vAlign w:val="center"/>
          </w:tcPr>
          <w:p>
            <w:r/>
            <w:r>
              <w:rPr>
                <w:rFonts w:ascii="Arial" w:hAnsi="Arial"/>
                <w:b w:val="0"/>
                <w:sz w:val="14"/>
                <w:rFonts w:ascii="Arial" w:hAnsi="Arial" w:eastAsia="Arial"/>
              </w:rPr>
              <w:t>Gyeonggi Hub</w:t>
            </w:r>
          </w:p>
        </w:tc>
        <w:tc>
          <w:tcPr>
            <w:tcW w:type="dxa" w:w="2085"/>
            <w:vAlign w:val="center"/>
          </w:tcPr>
          <w:p>
            <w:r/>
            <w:r>
              <w:rPr>
                <w:rFonts w:ascii="Arial" w:hAnsi="Arial"/>
                <w:b w:val="0"/>
                <w:sz w:val="14"/>
                <w:rFonts w:ascii="Arial" w:hAnsi="Arial" w:eastAsia="Arial"/>
              </w:rPr>
              <w:t>Metro hub</w:t>
            </w:r>
          </w:p>
        </w:tc>
        <w:tc>
          <w:tcPr>
            <w:tcW w:type="dxa" w:w="2085"/>
            <w:vAlign w:val="center"/>
          </w:tcPr>
          <w:p>
            <w:r/>
            <w:r>
              <w:rPr>
                <w:rFonts w:ascii="Arial" w:hAnsi="Arial"/>
                <w:b w:val="0"/>
                <w:sz w:val="14"/>
                <w:rFonts w:ascii="Arial" w:hAnsi="Arial" w:eastAsia="Arial"/>
              </w:rPr>
              <w:t>Largest local demand</w:t>
            </w:r>
          </w:p>
        </w:tc>
      </w:tr>
      <w:tr>
        <w:tc>
          <w:tcPr>
            <w:tcW w:type="dxa" w:w="2085"/>
            <w:vAlign w:val="center"/>
          </w:tcPr>
          <w:p>
            <w:r/>
            <w:r>
              <w:rPr>
                <w:rFonts w:ascii="Arial" w:hAnsi="Arial"/>
                <w:b w:val="0"/>
                <w:sz w:val="14"/>
                <w:rFonts w:ascii="Arial" w:hAnsi="Arial" w:eastAsia="Arial"/>
              </w:rPr>
              <w:t>Gangwon</w:t>
            </w:r>
          </w:p>
        </w:tc>
        <w:tc>
          <w:tcPr>
            <w:tcW w:type="dxa" w:w="2085"/>
            <w:vAlign w:val="center"/>
          </w:tcPr>
          <w:p>
            <w:r/>
            <w:r>
              <w:rPr>
                <w:rFonts w:ascii="Arial" w:hAnsi="Arial"/>
                <w:b w:val="0"/>
                <w:sz w:val="14"/>
                <w:rFonts w:ascii="Arial" w:hAnsi="Arial" w:eastAsia="Arial"/>
              </w:rPr>
              <w:t>35,000</w:t>
            </w:r>
          </w:p>
        </w:tc>
        <w:tc>
          <w:tcPr>
            <w:tcW w:type="dxa" w:w="2085"/>
            <w:vAlign w:val="center"/>
          </w:tcPr>
          <w:p>
            <w:r/>
            <w:r>
              <w:rPr>
                <w:rFonts w:ascii="Arial" w:hAnsi="Arial"/>
                <w:b w:val="0"/>
                <w:sz w:val="14"/>
                <w:rFonts w:ascii="Arial" w:hAnsi="Arial" w:eastAsia="Arial"/>
              </w:rPr>
              <w:t>Daejeon/Chungcheong Hub</w:t>
            </w:r>
          </w:p>
        </w:tc>
        <w:tc>
          <w:tcPr>
            <w:tcW w:type="dxa" w:w="2085"/>
            <w:vAlign w:val="center"/>
          </w:tcPr>
          <w:p>
            <w:r/>
            <w:r>
              <w:rPr>
                <w:rFonts w:ascii="Arial" w:hAnsi="Arial"/>
                <w:b w:val="0"/>
                <w:sz w:val="14"/>
                <w:rFonts w:ascii="Arial" w:hAnsi="Arial" w:eastAsia="Arial"/>
              </w:rPr>
              <w:t>Central hub</w:t>
            </w:r>
          </w:p>
        </w:tc>
        <w:tc>
          <w:tcPr>
            <w:tcW w:type="dxa" w:w="2085"/>
            <w:vAlign w:val="center"/>
          </w:tcPr>
          <w:p>
            <w:r/>
            <w:r>
              <w:rPr>
                <w:rFonts w:ascii="Arial" w:hAnsi="Arial"/>
                <w:b w:val="0"/>
                <w:sz w:val="14"/>
                <w:rFonts w:ascii="Arial" w:hAnsi="Arial" w:eastAsia="Arial"/>
              </w:rPr>
              <w:t>Capacity balancing and coverage</w:t>
            </w:r>
          </w:p>
        </w:tc>
      </w:tr>
      <w:tr>
        <w:tc>
          <w:tcPr>
            <w:tcW w:type="dxa" w:w="2085"/>
            <w:vAlign w:val="center"/>
          </w:tcPr>
          <w:p>
            <w:r/>
            <w:r>
              <w:rPr>
                <w:rFonts w:ascii="Arial" w:hAnsi="Arial"/>
                <w:b w:val="0"/>
                <w:sz w:val="14"/>
                <w:rFonts w:ascii="Arial" w:hAnsi="Arial" w:eastAsia="Arial"/>
              </w:rPr>
              <w:t>Daejeon</w:t>
            </w:r>
          </w:p>
        </w:tc>
        <w:tc>
          <w:tcPr>
            <w:tcW w:type="dxa" w:w="2085"/>
            <w:vAlign w:val="center"/>
          </w:tcPr>
          <w:p>
            <w:r/>
            <w:r>
              <w:rPr>
                <w:rFonts w:ascii="Arial" w:hAnsi="Arial"/>
                <w:b w:val="0"/>
                <w:sz w:val="14"/>
                <w:rFonts w:ascii="Arial" w:hAnsi="Arial" w:eastAsia="Arial"/>
              </w:rPr>
              <w:t>50,000</w:t>
            </w:r>
          </w:p>
        </w:tc>
        <w:tc>
          <w:tcPr>
            <w:tcW w:type="dxa" w:w="2085"/>
            <w:vAlign w:val="center"/>
          </w:tcPr>
          <w:p>
            <w:r/>
            <w:r>
              <w:rPr>
                <w:rFonts w:ascii="Arial" w:hAnsi="Arial"/>
                <w:b w:val="0"/>
                <w:sz w:val="14"/>
                <w:rFonts w:ascii="Arial" w:hAnsi="Arial" w:eastAsia="Arial"/>
              </w:rPr>
              <w:t>Daejeon/Chungcheong Hub</w:t>
            </w:r>
          </w:p>
        </w:tc>
        <w:tc>
          <w:tcPr>
            <w:tcW w:type="dxa" w:w="2085"/>
            <w:vAlign w:val="center"/>
          </w:tcPr>
          <w:p>
            <w:r/>
            <w:r>
              <w:rPr>
                <w:rFonts w:ascii="Arial" w:hAnsi="Arial"/>
                <w:b w:val="0"/>
                <w:sz w:val="14"/>
                <w:rFonts w:ascii="Arial" w:hAnsi="Arial" w:eastAsia="Arial"/>
              </w:rPr>
              <w:t>Central hub</w:t>
            </w:r>
          </w:p>
        </w:tc>
        <w:tc>
          <w:tcPr>
            <w:tcW w:type="dxa" w:w="2085"/>
            <w:vAlign w:val="center"/>
          </w:tcPr>
          <w:p>
            <w:r/>
            <w:r>
              <w:rPr>
                <w:rFonts w:ascii="Arial" w:hAnsi="Arial"/>
                <w:b w:val="0"/>
                <w:sz w:val="14"/>
                <w:rFonts w:ascii="Arial" w:hAnsi="Arial" w:eastAsia="Arial"/>
              </w:rPr>
              <w:t>Local central demand</w:t>
            </w:r>
          </w:p>
        </w:tc>
      </w:tr>
      <w:tr>
        <w:tc>
          <w:tcPr>
            <w:tcW w:type="dxa" w:w="2085"/>
            <w:vAlign w:val="center"/>
          </w:tcPr>
          <w:p>
            <w:r/>
            <w:r>
              <w:rPr>
                <w:rFonts w:ascii="Arial" w:hAnsi="Arial"/>
                <w:b w:val="0"/>
                <w:sz w:val="14"/>
                <w:rFonts w:ascii="Arial" w:hAnsi="Arial" w:eastAsia="Arial"/>
              </w:rPr>
              <w:t>Sejong</w:t>
            </w:r>
          </w:p>
        </w:tc>
        <w:tc>
          <w:tcPr>
            <w:tcW w:type="dxa" w:w="2085"/>
            <w:vAlign w:val="center"/>
          </w:tcPr>
          <w:p>
            <w:r/>
            <w:r>
              <w:rPr>
                <w:rFonts w:ascii="Arial" w:hAnsi="Arial"/>
                <w:b w:val="0"/>
                <w:sz w:val="14"/>
                <w:rFonts w:ascii="Arial" w:hAnsi="Arial" w:eastAsia="Arial"/>
              </w:rPr>
              <w:t>20,000</w:t>
            </w:r>
          </w:p>
        </w:tc>
        <w:tc>
          <w:tcPr>
            <w:tcW w:type="dxa" w:w="2085"/>
            <w:vAlign w:val="center"/>
          </w:tcPr>
          <w:p>
            <w:r/>
            <w:r>
              <w:rPr>
                <w:rFonts w:ascii="Arial" w:hAnsi="Arial"/>
                <w:b w:val="0"/>
                <w:sz w:val="14"/>
                <w:rFonts w:ascii="Arial" w:hAnsi="Arial" w:eastAsia="Arial"/>
              </w:rPr>
              <w:t>Daejeon/Chungcheong Hub</w:t>
            </w:r>
          </w:p>
        </w:tc>
        <w:tc>
          <w:tcPr>
            <w:tcW w:type="dxa" w:w="2085"/>
            <w:vAlign w:val="center"/>
          </w:tcPr>
          <w:p>
            <w:r/>
            <w:r>
              <w:rPr>
                <w:rFonts w:ascii="Arial" w:hAnsi="Arial"/>
                <w:b w:val="0"/>
                <w:sz w:val="14"/>
                <w:rFonts w:ascii="Arial" w:hAnsi="Arial" w:eastAsia="Arial"/>
              </w:rPr>
              <w:t>Central hub</w:t>
            </w:r>
          </w:p>
        </w:tc>
        <w:tc>
          <w:tcPr>
            <w:tcW w:type="dxa" w:w="2085"/>
            <w:vAlign w:val="center"/>
          </w:tcPr>
          <w:p>
            <w:r/>
            <w:r>
              <w:rPr>
                <w:rFonts w:ascii="Arial" w:hAnsi="Arial"/>
                <w:b w:val="0"/>
                <w:sz w:val="14"/>
                <w:rFonts w:ascii="Arial" w:hAnsi="Arial" w:eastAsia="Arial"/>
              </w:rPr>
              <w:t>Local central demand</w:t>
            </w:r>
          </w:p>
        </w:tc>
      </w:tr>
      <w:tr>
        <w:tc>
          <w:tcPr>
            <w:tcW w:type="dxa" w:w="2085"/>
            <w:vAlign w:val="center"/>
          </w:tcPr>
          <w:p>
            <w:r/>
            <w:r>
              <w:rPr>
                <w:rFonts w:ascii="Arial" w:hAnsi="Arial"/>
                <w:b w:val="0"/>
                <w:sz w:val="14"/>
                <w:rFonts w:ascii="Arial" w:hAnsi="Arial" w:eastAsia="Arial"/>
              </w:rPr>
              <w:t>Chungbuk</w:t>
            </w:r>
          </w:p>
        </w:tc>
        <w:tc>
          <w:tcPr>
            <w:tcW w:type="dxa" w:w="2085"/>
            <w:vAlign w:val="center"/>
          </w:tcPr>
          <w:p>
            <w:r/>
            <w:r>
              <w:rPr>
                <w:rFonts w:ascii="Arial" w:hAnsi="Arial"/>
                <w:b w:val="0"/>
                <w:sz w:val="14"/>
                <w:rFonts w:ascii="Arial" w:hAnsi="Arial" w:eastAsia="Arial"/>
              </w:rPr>
              <w:t>50,000</w:t>
            </w:r>
          </w:p>
        </w:tc>
        <w:tc>
          <w:tcPr>
            <w:tcW w:type="dxa" w:w="2085"/>
            <w:vAlign w:val="center"/>
          </w:tcPr>
          <w:p>
            <w:r/>
            <w:r>
              <w:rPr>
                <w:rFonts w:ascii="Arial" w:hAnsi="Arial"/>
                <w:b w:val="0"/>
                <w:sz w:val="14"/>
                <w:rFonts w:ascii="Arial" w:hAnsi="Arial" w:eastAsia="Arial"/>
              </w:rPr>
              <w:t>Daejeon/Chungcheong Hub</w:t>
            </w:r>
          </w:p>
        </w:tc>
        <w:tc>
          <w:tcPr>
            <w:tcW w:type="dxa" w:w="2085"/>
            <w:vAlign w:val="center"/>
          </w:tcPr>
          <w:p>
            <w:r/>
            <w:r>
              <w:rPr>
                <w:rFonts w:ascii="Arial" w:hAnsi="Arial"/>
                <w:b w:val="0"/>
                <w:sz w:val="14"/>
                <w:rFonts w:ascii="Arial" w:hAnsi="Arial" w:eastAsia="Arial"/>
              </w:rPr>
              <w:t>Central hub</w:t>
            </w:r>
          </w:p>
        </w:tc>
        <w:tc>
          <w:tcPr>
            <w:tcW w:type="dxa" w:w="2085"/>
            <w:vAlign w:val="center"/>
          </w:tcPr>
          <w:p>
            <w:r/>
            <w:r>
              <w:rPr>
                <w:rFonts w:ascii="Arial" w:hAnsi="Arial"/>
                <w:b w:val="0"/>
                <w:sz w:val="14"/>
                <w:rFonts w:ascii="Arial" w:hAnsi="Arial" w:eastAsia="Arial"/>
              </w:rPr>
              <w:t>Central corridor</w:t>
            </w:r>
          </w:p>
        </w:tc>
      </w:tr>
      <w:tr>
        <w:tc>
          <w:tcPr>
            <w:tcW w:type="dxa" w:w="2085"/>
            <w:vAlign w:val="center"/>
          </w:tcPr>
          <w:p>
            <w:r/>
            <w:r>
              <w:rPr>
                <w:rFonts w:ascii="Arial" w:hAnsi="Arial"/>
                <w:b w:val="0"/>
                <w:sz w:val="14"/>
                <w:rFonts w:ascii="Arial" w:hAnsi="Arial" w:eastAsia="Arial"/>
              </w:rPr>
              <w:t>Chungnam</w:t>
            </w:r>
          </w:p>
        </w:tc>
        <w:tc>
          <w:tcPr>
            <w:tcW w:type="dxa" w:w="2085"/>
            <w:vAlign w:val="center"/>
          </w:tcPr>
          <w:p>
            <w:r/>
            <w:r>
              <w:rPr>
                <w:rFonts w:ascii="Arial" w:hAnsi="Arial"/>
                <w:b w:val="0"/>
                <w:sz w:val="14"/>
                <w:rFonts w:ascii="Arial" w:hAnsi="Arial" w:eastAsia="Arial"/>
              </w:rPr>
              <w:t>65,000</w:t>
            </w:r>
          </w:p>
        </w:tc>
        <w:tc>
          <w:tcPr>
            <w:tcW w:type="dxa" w:w="2085"/>
            <w:vAlign w:val="center"/>
          </w:tcPr>
          <w:p>
            <w:r/>
            <w:r>
              <w:rPr>
                <w:rFonts w:ascii="Arial" w:hAnsi="Arial"/>
                <w:b w:val="0"/>
                <w:sz w:val="14"/>
                <w:rFonts w:ascii="Arial" w:hAnsi="Arial" w:eastAsia="Arial"/>
              </w:rPr>
              <w:t>Daejeon/Chungcheong Hub</w:t>
            </w:r>
          </w:p>
        </w:tc>
        <w:tc>
          <w:tcPr>
            <w:tcW w:type="dxa" w:w="2085"/>
            <w:vAlign w:val="center"/>
          </w:tcPr>
          <w:p>
            <w:r/>
            <w:r>
              <w:rPr>
                <w:rFonts w:ascii="Arial" w:hAnsi="Arial"/>
                <w:b w:val="0"/>
                <w:sz w:val="14"/>
                <w:rFonts w:ascii="Arial" w:hAnsi="Arial" w:eastAsia="Arial"/>
              </w:rPr>
              <w:t>Central hub</w:t>
            </w:r>
          </w:p>
        </w:tc>
        <w:tc>
          <w:tcPr>
            <w:tcW w:type="dxa" w:w="2085"/>
            <w:vAlign w:val="center"/>
          </w:tcPr>
          <w:p>
            <w:r/>
            <w:r>
              <w:rPr>
                <w:rFonts w:ascii="Arial" w:hAnsi="Arial"/>
                <w:b w:val="0"/>
                <w:sz w:val="14"/>
                <w:rFonts w:ascii="Arial" w:hAnsi="Arial" w:eastAsia="Arial"/>
              </w:rPr>
              <w:t>Central-west demand</w:t>
            </w:r>
          </w:p>
        </w:tc>
      </w:tr>
      <w:tr>
        <w:tc>
          <w:tcPr>
            <w:tcW w:type="dxa" w:w="2085"/>
            <w:vAlign w:val="center"/>
          </w:tcPr>
          <w:p>
            <w:r/>
            <w:r>
              <w:rPr>
                <w:rFonts w:ascii="Arial" w:hAnsi="Arial"/>
                <w:b w:val="0"/>
                <w:sz w:val="14"/>
                <w:rFonts w:ascii="Arial" w:hAnsi="Arial" w:eastAsia="Arial"/>
              </w:rPr>
              <w:t>Busan</w:t>
            </w:r>
          </w:p>
        </w:tc>
        <w:tc>
          <w:tcPr>
            <w:tcW w:type="dxa" w:w="2085"/>
            <w:vAlign w:val="center"/>
          </w:tcPr>
          <w:p>
            <w:r/>
            <w:r>
              <w:rPr>
                <w:rFonts w:ascii="Arial" w:hAnsi="Arial"/>
                <w:b w:val="0"/>
                <w:sz w:val="14"/>
                <w:rFonts w:ascii="Arial" w:hAnsi="Arial" w:eastAsia="Arial"/>
              </w:rPr>
              <w:t>90,000</w:t>
            </w:r>
          </w:p>
        </w:tc>
        <w:tc>
          <w:tcPr>
            <w:tcW w:type="dxa" w:w="2085"/>
            <w:vAlign w:val="center"/>
          </w:tcPr>
          <w:p>
            <w:r/>
            <w:r>
              <w:rPr>
                <w:rFonts w:ascii="Arial" w:hAnsi="Arial"/>
                <w:b w:val="0"/>
                <w:sz w:val="14"/>
                <w:rFonts w:ascii="Arial" w:hAnsi="Arial" w:eastAsia="Arial"/>
              </w:rPr>
              <w:t>Busan Hub</w:t>
            </w:r>
          </w:p>
        </w:tc>
        <w:tc>
          <w:tcPr>
            <w:tcW w:type="dxa" w:w="2085"/>
            <w:vAlign w:val="center"/>
          </w:tcPr>
          <w:p>
            <w:r/>
            <w:r>
              <w:rPr>
                <w:rFonts w:ascii="Arial" w:hAnsi="Arial"/>
                <w:b w:val="0"/>
                <w:sz w:val="14"/>
                <w:rFonts w:ascii="Arial" w:hAnsi="Arial" w:eastAsia="Arial"/>
              </w:rPr>
              <w:t>Southern hub</w:t>
            </w:r>
          </w:p>
        </w:tc>
        <w:tc>
          <w:tcPr>
            <w:tcW w:type="dxa" w:w="2085"/>
            <w:vAlign w:val="center"/>
          </w:tcPr>
          <w:p>
            <w:r/>
            <w:r>
              <w:rPr>
                <w:rFonts w:ascii="Arial" w:hAnsi="Arial"/>
                <w:b w:val="0"/>
                <w:sz w:val="14"/>
                <w:rFonts w:ascii="Arial" w:hAnsi="Arial" w:eastAsia="Arial"/>
              </w:rPr>
              <w:t>Local southern demand</w:t>
            </w:r>
          </w:p>
        </w:tc>
      </w:tr>
      <w:tr>
        <w:tc>
          <w:tcPr>
            <w:tcW w:type="dxa" w:w="2085"/>
            <w:vAlign w:val="center"/>
          </w:tcPr>
          <w:p>
            <w:r/>
            <w:r>
              <w:rPr>
                <w:rFonts w:ascii="Arial" w:hAnsi="Arial"/>
                <w:b w:val="0"/>
                <w:sz w:val="14"/>
                <w:rFonts w:ascii="Arial" w:hAnsi="Arial" w:eastAsia="Arial"/>
              </w:rPr>
              <w:t>Ulsan</w:t>
            </w:r>
          </w:p>
        </w:tc>
        <w:tc>
          <w:tcPr>
            <w:tcW w:type="dxa" w:w="2085"/>
            <w:vAlign w:val="center"/>
          </w:tcPr>
          <w:p>
            <w:r/>
            <w:r>
              <w:rPr>
                <w:rFonts w:ascii="Arial" w:hAnsi="Arial"/>
                <w:b w:val="0"/>
                <w:sz w:val="14"/>
                <w:rFonts w:ascii="Arial" w:hAnsi="Arial" w:eastAsia="Arial"/>
              </w:rPr>
              <w:t>55,000</w:t>
            </w:r>
          </w:p>
        </w:tc>
        <w:tc>
          <w:tcPr>
            <w:tcW w:type="dxa" w:w="2085"/>
            <w:vAlign w:val="center"/>
          </w:tcPr>
          <w:p>
            <w:r/>
            <w:r>
              <w:rPr>
                <w:rFonts w:ascii="Arial" w:hAnsi="Arial"/>
                <w:b w:val="0"/>
                <w:sz w:val="14"/>
                <w:rFonts w:ascii="Arial" w:hAnsi="Arial" w:eastAsia="Arial"/>
              </w:rPr>
              <w:t>Busan Hub</w:t>
            </w:r>
          </w:p>
        </w:tc>
        <w:tc>
          <w:tcPr>
            <w:tcW w:type="dxa" w:w="2085"/>
            <w:vAlign w:val="center"/>
          </w:tcPr>
          <w:p>
            <w:r/>
            <w:r>
              <w:rPr>
                <w:rFonts w:ascii="Arial" w:hAnsi="Arial"/>
                <w:b w:val="0"/>
                <w:sz w:val="14"/>
                <w:rFonts w:ascii="Arial" w:hAnsi="Arial" w:eastAsia="Arial"/>
              </w:rPr>
              <w:t>Southern hub</w:t>
            </w:r>
          </w:p>
        </w:tc>
        <w:tc>
          <w:tcPr>
            <w:tcW w:type="dxa" w:w="2085"/>
            <w:vAlign w:val="center"/>
          </w:tcPr>
          <w:p>
            <w:r/>
            <w:r>
              <w:rPr>
                <w:rFonts w:ascii="Arial" w:hAnsi="Arial"/>
                <w:b w:val="0"/>
                <w:sz w:val="14"/>
                <w:rFonts w:ascii="Arial" w:hAnsi="Arial" w:eastAsia="Arial"/>
              </w:rPr>
              <w:t>Industrial cluster</w:t>
            </w:r>
          </w:p>
        </w:tc>
      </w:tr>
      <w:tr>
        <w:tc>
          <w:tcPr>
            <w:tcW w:type="dxa" w:w="2085"/>
            <w:vAlign w:val="center"/>
          </w:tcPr>
          <w:p>
            <w:r/>
            <w:r>
              <w:rPr>
                <w:rFonts w:ascii="Arial" w:hAnsi="Arial"/>
                <w:b w:val="0"/>
                <w:sz w:val="14"/>
                <w:rFonts w:ascii="Arial" w:hAnsi="Arial" w:eastAsia="Arial"/>
              </w:rPr>
              <w:t>Gyeongnam</w:t>
            </w:r>
          </w:p>
        </w:tc>
        <w:tc>
          <w:tcPr>
            <w:tcW w:type="dxa" w:w="2085"/>
            <w:vAlign w:val="center"/>
          </w:tcPr>
          <w:p>
            <w:r/>
            <w:r>
              <w:rPr>
                <w:rFonts w:ascii="Arial" w:hAnsi="Arial"/>
                <w:b w:val="0"/>
                <w:sz w:val="14"/>
                <w:rFonts w:ascii="Arial" w:hAnsi="Arial" w:eastAsia="Arial"/>
              </w:rPr>
              <w:t>90,000</w:t>
            </w:r>
          </w:p>
        </w:tc>
        <w:tc>
          <w:tcPr>
            <w:tcW w:type="dxa" w:w="2085"/>
            <w:vAlign w:val="center"/>
          </w:tcPr>
          <w:p>
            <w:r/>
            <w:r>
              <w:rPr>
                <w:rFonts w:ascii="Arial" w:hAnsi="Arial"/>
                <w:b w:val="0"/>
                <w:sz w:val="14"/>
                <w:rFonts w:ascii="Arial" w:hAnsi="Arial" w:eastAsia="Arial"/>
              </w:rPr>
              <w:t>Busan Hub</w:t>
            </w:r>
          </w:p>
        </w:tc>
        <w:tc>
          <w:tcPr>
            <w:tcW w:type="dxa" w:w="2085"/>
            <w:vAlign w:val="center"/>
          </w:tcPr>
          <w:p>
            <w:r/>
            <w:r>
              <w:rPr>
                <w:rFonts w:ascii="Arial" w:hAnsi="Arial"/>
                <w:b w:val="0"/>
                <w:sz w:val="14"/>
                <w:rFonts w:ascii="Arial" w:hAnsi="Arial" w:eastAsia="Arial"/>
              </w:rPr>
              <w:t>Southern hub</w:t>
            </w:r>
          </w:p>
        </w:tc>
        <w:tc>
          <w:tcPr>
            <w:tcW w:type="dxa" w:w="2085"/>
            <w:vAlign w:val="center"/>
          </w:tcPr>
          <w:p>
            <w:r/>
            <w:r>
              <w:rPr>
                <w:rFonts w:ascii="Arial" w:hAnsi="Arial"/>
                <w:b w:val="0"/>
                <w:sz w:val="14"/>
                <w:rFonts w:ascii="Arial" w:hAnsi="Arial" w:eastAsia="Arial"/>
              </w:rPr>
              <w:t>Southern demand cluster</w:t>
            </w:r>
          </w:p>
        </w:tc>
      </w:tr>
      <w:tr>
        <w:tc>
          <w:tcPr>
            <w:tcW w:type="dxa" w:w="2085"/>
            <w:vAlign w:val="center"/>
          </w:tcPr>
          <w:p>
            <w:r/>
            <w:r>
              <w:rPr>
                <w:rFonts w:ascii="Arial" w:hAnsi="Arial"/>
                <w:b w:val="0"/>
                <w:sz w:val="14"/>
                <w:rFonts w:ascii="Arial" w:hAnsi="Arial" w:eastAsia="Arial"/>
              </w:rPr>
              <w:t>Daegu</w:t>
            </w:r>
          </w:p>
        </w:tc>
        <w:tc>
          <w:tcPr>
            <w:tcW w:type="dxa" w:w="2085"/>
            <w:vAlign w:val="center"/>
          </w:tcPr>
          <w:p>
            <w:r/>
            <w:r>
              <w:rPr>
                <w:rFonts w:ascii="Arial" w:hAnsi="Arial"/>
                <w:b w:val="0"/>
                <w:sz w:val="14"/>
                <w:rFonts w:ascii="Arial" w:hAnsi="Arial" w:eastAsia="Arial"/>
              </w:rPr>
              <w:t>65,000</w:t>
            </w:r>
          </w:p>
        </w:tc>
        <w:tc>
          <w:tcPr>
            <w:tcW w:type="dxa" w:w="2085"/>
            <w:vAlign w:val="center"/>
          </w:tcPr>
          <w:p>
            <w:r/>
            <w:r>
              <w:rPr>
                <w:rFonts w:ascii="Arial" w:hAnsi="Arial"/>
                <w:b w:val="0"/>
                <w:sz w:val="14"/>
                <w:rFonts w:ascii="Arial" w:hAnsi="Arial" w:eastAsia="Arial"/>
              </w:rPr>
              <w:t>Daegu/Gyeongbuk Hub</w:t>
            </w:r>
          </w:p>
        </w:tc>
        <w:tc>
          <w:tcPr>
            <w:tcW w:type="dxa" w:w="2085"/>
            <w:vAlign w:val="center"/>
          </w:tcPr>
          <w:p>
            <w:r/>
            <w:r>
              <w:rPr>
                <w:rFonts w:ascii="Arial" w:hAnsi="Arial"/>
                <w:b w:val="0"/>
                <w:sz w:val="14"/>
                <w:rFonts w:ascii="Arial" w:hAnsi="Arial" w:eastAsia="Arial"/>
              </w:rPr>
              <w:t>Inland hub</w:t>
            </w:r>
          </w:p>
        </w:tc>
        <w:tc>
          <w:tcPr>
            <w:tcW w:type="dxa" w:w="2085"/>
            <w:vAlign w:val="center"/>
          </w:tcPr>
          <w:p>
            <w:r/>
            <w:r>
              <w:rPr>
                <w:rFonts w:ascii="Arial" w:hAnsi="Arial"/>
                <w:b w:val="0"/>
                <w:sz w:val="14"/>
                <w:rFonts w:ascii="Arial" w:hAnsi="Arial" w:eastAsia="Arial"/>
              </w:rPr>
              <w:t>Local inland demand</w:t>
            </w:r>
          </w:p>
        </w:tc>
      </w:tr>
      <w:tr>
        <w:tc>
          <w:tcPr>
            <w:tcW w:type="dxa" w:w="2085"/>
            <w:vAlign w:val="center"/>
          </w:tcPr>
          <w:p>
            <w:r/>
            <w:r>
              <w:rPr>
                <w:rFonts w:ascii="Arial" w:hAnsi="Arial"/>
                <w:b w:val="0"/>
                <w:sz w:val="14"/>
                <w:rFonts w:ascii="Arial" w:hAnsi="Arial" w:eastAsia="Arial"/>
              </w:rPr>
              <w:t>Gyeongbuk</w:t>
            </w:r>
          </w:p>
        </w:tc>
        <w:tc>
          <w:tcPr>
            <w:tcW w:type="dxa" w:w="2085"/>
            <w:vAlign w:val="center"/>
          </w:tcPr>
          <w:p>
            <w:r/>
            <w:r>
              <w:rPr>
                <w:rFonts w:ascii="Arial" w:hAnsi="Arial"/>
                <w:b w:val="0"/>
                <w:sz w:val="14"/>
                <w:rFonts w:ascii="Arial" w:hAnsi="Arial" w:eastAsia="Arial"/>
              </w:rPr>
              <w:t>75,000</w:t>
            </w:r>
          </w:p>
        </w:tc>
        <w:tc>
          <w:tcPr>
            <w:tcW w:type="dxa" w:w="2085"/>
            <w:vAlign w:val="center"/>
          </w:tcPr>
          <w:p>
            <w:r/>
            <w:r>
              <w:rPr>
                <w:rFonts w:ascii="Arial" w:hAnsi="Arial"/>
                <w:b w:val="0"/>
                <w:sz w:val="14"/>
                <w:rFonts w:ascii="Arial" w:hAnsi="Arial" w:eastAsia="Arial"/>
              </w:rPr>
              <w:t>Daegu/Gyeongbuk Hub</w:t>
            </w:r>
          </w:p>
        </w:tc>
        <w:tc>
          <w:tcPr>
            <w:tcW w:type="dxa" w:w="2085"/>
            <w:vAlign w:val="center"/>
          </w:tcPr>
          <w:p>
            <w:r/>
            <w:r>
              <w:rPr>
                <w:rFonts w:ascii="Arial" w:hAnsi="Arial"/>
                <w:b w:val="0"/>
                <w:sz w:val="14"/>
                <w:rFonts w:ascii="Arial" w:hAnsi="Arial" w:eastAsia="Arial"/>
              </w:rPr>
              <w:t>Inland hub</w:t>
            </w:r>
          </w:p>
        </w:tc>
        <w:tc>
          <w:tcPr>
            <w:tcW w:type="dxa" w:w="2085"/>
            <w:vAlign w:val="center"/>
          </w:tcPr>
          <w:p>
            <w:r/>
            <w:r>
              <w:rPr>
                <w:rFonts w:ascii="Arial" w:hAnsi="Arial"/>
                <w:b w:val="0"/>
                <w:sz w:val="14"/>
                <w:rFonts w:ascii="Arial" w:hAnsi="Arial" w:eastAsia="Arial"/>
              </w:rPr>
              <w:t>Industrial demand</w:t>
            </w:r>
          </w:p>
        </w:tc>
      </w:tr>
      <w:tr>
        <w:tc>
          <w:tcPr>
            <w:tcW w:type="dxa" w:w="2085"/>
            <w:vAlign w:val="center"/>
          </w:tcPr>
          <w:p>
            <w:r/>
            <w:r>
              <w:rPr>
                <w:rFonts w:ascii="Arial" w:hAnsi="Arial"/>
                <w:b w:val="0"/>
                <w:sz w:val="14"/>
                <w:rFonts w:ascii="Arial" w:hAnsi="Arial" w:eastAsia="Arial"/>
              </w:rPr>
              <w:t>Gwangju</w:t>
            </w:r>
          </w:p>
        </w:tc>
        <w:tc>
          <w:tcPr>
            <w:tcW w:type="dxa" w:w="2085"/>
            <w:vAlign w:val="center"/>
          </w:tcPr>
          <w:p>
            <w:r/>
            <w:r>
              <w:rPr>
                <w:rFonts w:ascii="Arial" w:hAnsi="Arial"/>
                <w:b w:val="0"/>
                <w:sz w:val="14"/>
                <w:rFonts w:ascii="Arial" w:hAnsi="Arial" w:eastAsia="Arial"/>
              </w:rPr>
              <w:t>45,000</w:t>
            </w:r>
          </w:p>
        </w:tc>
        <w:tc>
          <w:tcPr>
            <w:tcW w:type="dxa" w:w="2085"/>
            <w:vAlign w:val="center"/>
          </w:tcPr>
          <w:p>
            <w:r/>
            <w:r>
              <w:rPr>
                <w:rFonts w:ascii="Arial" w:hAnsi="Arial"/>
                <w:b w:val="0"/>
                <w:sz w:val="14"/>
                <w:rFonts w:ascii="Arial" w:hAnsi="Arial" w:eastAsia="Arial"/>
              </w:rPr>
              <w:t>Gwangju/Jeolla Hub</w:t>
            </w:r>
          </w:p>
        </w:tc>
        <w:tc>
          <w:tcPr>
            <w:tcW w:type="dxa" w:w="2085"/>
            <w:vAlign w:val="center"/>
          </w:tcPr>
          <w:p>
            <w:r/>
            <w:r>
              <w:rPr>
                <w:rFonts w:ascii="Arial" w:hAnsi="Arial"/>
                <w:b w:val="0"/>
                <w:sz w:val="14"/>
                <w:rFonts w:ascii="Arial" w:hAnsi="Arial" w:eastAsia="Arial"/>
              </w:rPr>
              <w:t>Southwest hub</w:t>
            </w:r>
          </w:p>
        </w:tc>
        <w:tc>
          <w:tcPr>
            <w:tcW w:type="dxa" w:w="2085"/>
            <w:vAlign w:val="center"/>
          </w:tcPr>
          <w:p>
            <w:r/>
            <w:r>
              <w:rPr>
                <w:rFonts w:ascii="Arial" w:hAnsi="Arial"/>
                <w:b w:val="0"/>
                <w:sz w:val="14"/>
                <w:rFonts w:ascii="Arial" w:hAnsi="Arial" w:eastAsia="Arial"/>
              </w:rPr>
              <w:t>Local southwest demand</w:t>
            </w:r>
          </w:p>
        </w:tc>
      </w:tr>
      <w:tr>
        <w:tc>
          <w:tcPr>
            <w:tcW w:type="dxa" w:w="2085"/>
            <w:vAlign w:val="center"/>
          </w:tcPr>
          <w:p>
            <w:r/>
            <w:r>
              <w:rPr>
                <w:rFonts w:ascii="Arial" w:hAnsi="Arial"/>
                <w:b w:val="0"/>
                <w:sz w:val="14"/>
                <w:rFonts w:ascii="Arial" w:hAnsi="Arial" w:eastAsia="Arial"/>
              </w:rPr>
              <w:t>Jeonbuk</w:t>
            </w:r>
          </w:p>
        </w:tc>
        <w:tc>
          <w:tcPr>
            <w:tcW w:type="dxa" w:w="2085"/>
            <w:vAlign w:val="center"/>
          </w:tcPr>
          <w:p>
            <w:r/>
            <w:r>
              <w:rPr>
                <w:rFonts w:ascii="Arial" w:hAnsi="Arial"/>
                <w:b w:val="0"/>
                <w:sz w:val="14"/>
                <w:rFonts w:ascii="Arial" w:hAnsi="Arial" w:eastAsia="Arial"/>
              </w:rPr>
              <w:t>40,000</w:t>
            </w:r>
          </w:p>
        </w:tc>
        <w:tc>
          <w:tcPr>
            <w:tcW w:type="dxa" w:w="2085"/>
            <w:vAlign w:val="center"/>
          </w:tcPr>
          <w:p>
            <w:r/>
            <w:r>
              <w:rPr>
                <w:rFonts w:ascii="Arial" w:hAnsi="Arial"/>
                <w:b w:val="0"/>
                <w:sz w:val="14"/>
                <w:rFonts w:ascii="Arial" w:hAnsi="Arial" w:eastAsia="Arial"/>
              </w:rPr>
              <w:t>Gwangju/Jeolla Hub</w:t>
            </w:r>
          </w:p>
        </w:tc>
        <w:tc>
          <w:tcPr>
            <w:tcW w:type="dxa" w:w="2085"/>
            <w:vAlign w:val="center"/>
          </w:tcPr>
          <w:p>
            <w:r/>
            <w:r>
              <w:rPr>
                <w:rFonts w:ascii="Arial" w:hAnsi="Arial"/>
                <w:b w:val="0"/>
                <w:sz w:val="14"/>
                <w:rFonts w:ascii="Arial" w:hAnsi="Arial" w:eastAsia="Arial"/>
              </w:rPr>
              <w:t>Southwest hub</w:t>
            </w:r>
          </w:p>
        </w:tc>
        <w:tc>
          <w:tcPr>
            <w:tcW w:type="dxa" w:w="2085"/>
            <w:vAlign w:val="center"/>
          </w:tcPr>
          <w:p>
            <w:r/>
            <w:r>
              <w:rPr>
                <w:rFonts w:ascii="Arial" w:hAnsi="Arial"/>
                <w:b w:val="0"/>
                <w:sz w:val="14"/>
                <w:rFonts w:ascii="Arial" w:hAnsi="Arial" w:eastAsia="Arial"/>
              </w:rPr>
              <w:t>Southwest coverage</w:t>
            </w:r>
          </w:p>
        </w:tc>
      </w:tr>
      <w:tr>
        <w:tc>
          <w:tcPr>
            <w:tcW w:type="dxa" w:w="2085"/>
            <w:vAlign w:val="center"/>
          </w:tcPr>
          <w:p>
            <w:r/>
            <w:r>
              <w:rPr>
                <w:rFonts w:ascii="Arial" w:hAnsi="Arial"/>
                <w:b w:val="0"/>
                <w:sz w:val="14"/>
                <w:rFonts w:ascii="Arial" w:hAnsi="Arial" w:eastAsia="Arial"/>
              </w:rPr>
              <w:t>Jeonnam</w:t>
            </w:r>
          </w:p>
        </w:tc>
        <w:tc>
          <w:tcPr>
            <w:tcW w:type="dxa" w:w="2085"/>
            <w:vAlign w:val="center"/>
          </w:tcPr>
          <w:p>
            <w:r/>
            <w:r>
              <w:rPr>
                <w:rFonts w:ascii="Arial" w:hAnsi="Arial"/>
                <w:b w:val="0"/>
                <w:sz w:val="14"/>
                <w:rFonts w:ascii="Arial" w:hAnsi="Arial" w:eastAsia="Arial"/>
              </w:rPr>
              <w:t>45,000</w:t>
            </w:r>
          </w:p>
        </w:tc>
        <w:tc>
          <w:tcPr>
            <w:tcW w:type="dxa" w:w="2085"/>
            <w:vAlign w:val="center"/>
          </w:tcPr>
          <w:p>
            <w:r/>
            <w:r>
              <w:rPr>
                <w:rFonts w:ascii="Arial" w:hAnsi="Arial"/>
                <w:b w:val="0"/>
                <w:sz w:val="14"/>
                <w:rFonts w:ascii="Arial" w:hAnsi="Arial" w:eastAsia="Arial"/>
              </w:rPr>
              <w:t>Gwangju/Jeolla Hub</w:t>
            </w:r>
          </w:p>
        </w:tc>
        <w:tc>
          <w:tcPr>
            <w:tcW w:type="dxa" w:w="2085"/>
            <w:vAlign w:val="center"/>
          </w:tcPr>
          <w:p>
            <w:r/>
            <w:r>
              <w:rPr>
                <w:rFonts w:ascii="Arial" w:hAnsi="Arial"/>
                <w:b w:val="0"/>
                <w:sz w:val="14"/>
                <w:rFonts w:ascii="Arial" w:hAnsi="Arial" w:eastAsia="Arial"/>
              </w:rPr>
              <w:t>Southwest hub</w:t>
            </w:r>
          </w:p>
        </w:tc>
        <w:tc>
          <w:tcPr>
            <w:tcW w:type="dxa" w:w="2085"/>
            <w:vAlign w:val="center"/>
          </w:tcPr>
          <w:p>
            <w:r/>
            <w:r>
              <w:rPr>
                <w:rFonts w:ascii="Arial" w:hAnsi="Arial"/>
                <w:b w:val="0"/>
                <w:sz w:val="14"/>
                <w:rFonts w:ascii="Arial" w:hAnsi="Arial" w:eastAsia="Arial"/>
              </w:rPr>
              <w:t>Southwest coverage</w:t>
            </w:r>
          </w:p>
        </w:tc>
      </w:tr>
      <w:tr>
        <w:tc>
          <w:tcPr>
            <w:tcW w:type="dxa" w:w="2085"/>
            <w:vAlign w:val="center"/>
          </w:tcPr>
          <w:p>
            <w:r/>
            <w:r>
              <w:rPr>
                <w:rFonts w:ascii="Arial" w:hAnsi="Arial"/>
                <w:b w:val="0"/>
                <w:sz w:val="14"/>
                <w:rFonts w:ascii="Arial" w:hAnsi="Arial" w:eastAsia="Arial"/>
              </w:rPr>
              <w:t>Jeju</w:t>
            </w:r>
          </w:p>
        </w:tc>
        <w:tc>
          <w:tcPr>
            <w:tcW w:type="dxa" w:w="2085"/>
            <w:vAlign w:val="center"/>
          </w:tcPr>
          <w:p>
            <w:r/>
            <w:r>
              <w:rPr>
                <w:rFonts w:ascii="Arial" w:hAnsi="Arial"/>
                <w:b w:val="0"/>
                <w:sz w:val="14"/>
                <w:rFonts w:ascii="Arial" w:hAnsi="Arial" w:eastAsia="Arial"/>
              </w:rPr>
              <w:t>15,000</w:t>
            </w:r>
          </w:p>
        </w:tc>
        <w:tc>
          <w:tcPr>
            <w:tcW w:type="dxa" w:w="2085"/>
            <w:vAlign w:val="center"/>
          </w:tcPr>
          <w:p>
            <w:r/>
            <w:r>
              <w:rPr>
                <w:rFonts w:ascii="Arial" w:hAnsi="Arial"/>
                <w:b w:val="0"/>
                <w:sz w:val="14"/>
                <w:rFonts w:ascii="Arial" w:hAnsi="Arial" w:eastAsia="Arial"/>
              </w:rPr>
              <w:t>Gwangju/Jeolla Hub + special lane</w:t>
            </w:r>
          </w:p>
        </w:tc>
        <w:tc>
          <w:tcPr>
            <w:tcW w:type="dxa" w:w="2085"/>
            <w:vAlign w:val="center"/>
          </w:tcPr>
          <w:p>
            <w:r/>
            <w:r>
              <w:rPr>
                <w:rFonts w:ascii="Arial" w:hAnsi="Arial"/>
                <w:b w:val="0"/>
                <w:sz w:val="14"/>
                <w:rFonts w:ascii="Arial" w:hAnsi="Arial" w:eastAsia="Arial"/>
              </w:rPr>
              <w:t>Special handling</w:t>
            </w:r>
          </w:p>
        </w:tc>
        <w:tc>
          <w:tcPr>
            <w:tcW w:type="dxa" w:w="2085"/>
            <w:vAlign w:val="center"/>
          </w:tcPr>
          <w:p>
            <w:r/>
            <w:r>
              <w:rPr>
                <w:rFonts w:ascii="Arial" w:hAnsi="Arial"/>
                <w:b w:val="0"/>
                <w:sz w:val="14"/>
                <w:rFonts w:ascii="Arial" w:hAnsi="Arial" w:eastAsia="Arial"/>
              </w:rPr>
              <w:t>Island handling; no full mainland hub</w:t>
            </w:r>
          </w:p>
        </w:tc>
      </w:tr>
    </w:tbl>
    <w:p/>
    <w:p>
      <w:pPr>
        <w:pStyle w:val="Heading2"/>
      </w:pPr>
      <w:r>
        <w:t>10.3. Hub utilization under S3</w:t>
      </w:r>
    </w:p>
    <w:p>
      <w:r>
        <w:rPr>
          <w:b/>
          <w:sz w:val="20"/>
        </w:rPr>
        <w:t>Bảng 12. Annual and peak-month utilization under S3</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fill="D9EAF7"/>
            <w:vAlign w:val="center"/>
          </w:tcPr>
          <w:p>
            <w:r/>
            <w:r>
              <w:rPr>
                <w:rFonts w:ascii="Arial" w:hAnsi="Arial"/>
                <w:b/>
                <w:sz w:val="15"/>
                <w:rFonts w:ascii="Arial" w:hAnsi="Arial" w:eastAsia="Arial"/>
              </w:rPr>
              <w:t>Hub</w:t>
            </w:r>
          </w:p>
        </w:tc>
        <w:tc>
          <w:tcPr>
            <w:tcW w:type="dxa" w:w="2085"/>
            <w:shd w:fill="D9EAF7"/>
            <w:vAlign w:val="center"/>
          </w:tcPr>
          <w:p>
            <w:r/>
            <w:r>
              <w:rPr>
                <w:rFonts w:ascii="Arial" w:hAnsi="Arial"/>
                <w:b/>
                <w:sz w:val="15"/>
                <w:rFonts w:ascii="Arial" w:hAnsi="Arial" w:eastAsia="Arial"/>
              </w:rPr>
              <w:t>Assigned demand</w:t>
            </w:r>
          </w:p>
        </w:tc>
        <w:tc>
          <w:tcPr>
            <w:tcW w:type="dxa" w:w="2085"/>
            <w:shd w:fill="D9EAF7"/>
            <w:vAlign w:val="center"/>
          </w:tcPr>
          <w:p>
            <w:r/>
            <w:r>
              <w:rPr>
                <w:rFonts w:ascii="Arial" w:hAnsi="Arial"/>
                <w:b/>
                <w:sz w:val="15"/>
                <w:rFonts w:ascii="Arial" w:hAnsi="Arial" w:eastAsia="Arial"/>
              </w:rPr>
              <w:t>Annual capacity</w:t>
            </w:r>
          </w:p>
        </w:tc>
        <w:tc>
          <w:tcPr>
            <w:tcW w:type="dxa" w:w="2085"/>
            <w:shd w:fill="D9EAF7"/>
            <w:vAlign w:val="center"/>
          </w:tcPr>
          <w:p>
            <w:r/>
            <w:r>
              <w:rPr>
                <w:rFonts w:ascii="Arial" w:hAnsi="Arial"/>
                <w:b/>
                <w:sz w:val="15"/>
                <w:rFonts w:ascii="Arial" w:hAnsi="Arial" w:eastAsia="Arial"/>
              </w:rPr>
              <w:t>Annual utilization</w:t>
            </w:r>
          </w:p>
        </w:tc>
        <w:tc>
          <w:tcPr>
            <w:tcW w:type="dxa" w:w="2085"/>
            <w:shd w:fill="D9EAF7"/>
            <w:vAlign w:val="center"/>
          </w:tcPr>
          <w:p>
            <w:r/>
            <w:r>
              <w:rPr>
                <w:rFonts w:ascii="Arial" w:hAnsi="Arial"/>
                <w:b/>
                <w:sz w:val="15"/>
                <w:rFonts w:ascii="Arial" w:hAnsi="Arial" w:eastAsia="Arial"/>
              </w:rPr>
              <w:t>Peak-month utilization</w:t>
            </w:r>
          </w:p>
        </w:tc>
      </w:tr>
      <w:tr>
        <w:tc>
          <w:tcPr>
            <w:tcW w:type="dxa" w:w="2085"/>
            <w:vAlign w:val="center"/>
          </w:tcPr>
          <w:p>
            <w:r/>
            <w:r>
              <w:rPr>
                <w:rFonts w:ascii="Arial" w:hAnsi="Arial"/>
                <w:b w:val="0"/>
                <w:sz w:val="15"/>
                <w:rFonts w:ascii="Arial" w:hAnsi="Arial" w:eastAsia="Arial"/>
              </w:rPr>
              <w:t>Gyeonggi Hub</w:t>
            </w:r>
          </w:p>
        </w:tc>
        <w:tc>
          <w:tcPr>
            <w:tcW w:type="dxa" w:w="2085"/>
            <w:vAlign w:val="center"/>
          </w:tcPr>
          <w:p>
            <w:r/>
            <w:r>
              <w:rPr>
                <w:rFonts w:ascii="Arial" w:hAnsi="Arial"/>
                <w:b w:val="0"/>
                <w:sz w:val="15"/>
                <w:rFonts w:ascii="Arial" w:hAnsi="Arial" w:eastAsia="Arial"/>
              </w:rPr>
              <w:t>460,000</w:t>
            </w:r>
          </w:p>
        </w:tc>
        <w:tc>
          <w:tcPr>
            <w:tcW w:type="dxa" w:w="2085"/>
            <w:vAlign w:val="center"/>
          </w:tcPr>
          <w:p>
            <w:r/>
            <w:r>
              <w:rPr>
                <w:rFonts w:ascii="Arial" w:hAnsi="Arial"/>
                <w:b w:val="0"/>
                <w:sz w:val="15"/>
                <w:rFonts w:ascii="Arial" w:hAnsi="Arial" w:eastAsia="Arial"/>
              </w:rPr>
              <w:t>500,000</w:t>
            </w:r>
          </w:p>
        </w:tc>
        <w:tc>
          <w:tcPr>
            <w:tcW w:type="dxa" w:w="2085"/>
            <w:vAlign w:val="center"/>
          </w:tcPr>
          <w:p>
            <w:r/>
            <w:r>
              <w:rPr>
                <w:rFonts w:ascii="Arial" w:hAnsi="Arial"/>
                <w:b w:val="0"/>
                <w:sz w:val="15"/>
                <w:rFonts w:ascii="Arial" w:hAnsi="Arial" w:eastAsia="Arial"/>
              </w:rPr>
              <w:t>92.0%</w:t>
            </w:r>
          </w:p>
        </w:tc>
        <w:tc>
          <w:tcPr>
            <w:tcW w:type="dxa" w:w="2085"/>
            <w:vAlign w:val="center"/>
          </w:tcPr>
          <w:p>
            <w:r/>
            <w:r>
              <w:rPr>
                <w:rFonts w:ascii="Arial" w:hAnsi="Arial"/>
                <w:b w:val="0"/>
                <w:sz w:val="15"/>
                <w:rFonts w:ascii="Arial" w:hAnsi="Arial" w:eastAsia="Arial"/>
              </w:rPr>
              <w:t>126.0%</w:t>
            </w:r>
          </w:p>
        </w:tc>
      </w:tr>
      <w:tr>
        <w:tc>
          <w:tcPr>
            <w:tcW w:type="dxa" w:w="2085"/>
            <w:vAlign w:val="center"/>
          </w:tcPr>
          <w:p>
            <w:r/>
            <w:r>
              <w:rPr>
                <w:rFonts w:ascii="Arial" w:hAnsi="Arial"/>
                <w:b w:val="0"/>
                <w:sz w:val="15"/>
                <w:rFonts w:ascii="Arial" w:hAnsi="Arial" w:eastAsia="Arial"/>
              </w:rPr>
              <w:t>Daejeon/Chungcheong Hub</w:t>
            </w:r>
          </w:p>
        </w:tc>
        <w:tc>
          <w:tcPr>
            <w:tcW w:type="dxa" w:w="2085"/>
            <w:vAlign w:val="center"/>
          </w:tcPr>
          <w:p>
            <w:r/>
            <w:r>
              <w:rPr>
                <w:rFonts w:ascii="Arial" w:hAnsi="Arial"/>
                <w:b w:val="0"/>
                <w:sz w:val="15"/>
                <w:rFonts w:ascii="Arial" w:hAnsi="Arial" w:eastAsia="Arial"/>
              </w:rPr>
              <w:t>220,000</w:t>
            </w:r>
          </w:p>
        </w:tc>
        <w:tc>
          <w:tcPr>
            <w:tcW w:type="dxa" w:w="2085"/>
            <w:vAlign w:val="center"/>
          </w:tcPr>
          <w:p>
            <w:r/>
            <w:r>
              <w:rPr>
                <w:rFonts w:ascii="Arial" w:hAnsi="Arial"/>
                <w:b w:val="0"/>
                <w:sz w:val="15"/>
                <w:rFonts w:ascii="Arial" w:hAnsi="Arial" w:eastAsia="Arial"/>
              </w:rPr>
              <w:t>300,000</w:t>
            </w:r>
          </w:p>
        </w:tc>
        <w:tc>
          <w:tcPr>
            <w:tcW w:type="dxa" w:w="2085"/>
            <w:vAlign w:val="center"/>
          </w:tcPr>
          <w:p>
            <w:r/>
            <w:r>
              <w:rPr>
                <w:rFonts w:ascii="Arial" w:hAnsi="Arial"/>
                <w:b w:val="0"/>
                <w:sz w:val="15"/>
                <w:rFonts w:ascii="Arial" w:hAnsi="Arial" w:eastAsia="Arial"/>
              </w:rPr>
              <w:t>73.3%</w:t>
            </w:r>
          </w:p>
        </w:tc>
        <w:tc>
          <w:tcPr>
            <w:tcW w:type="dxa" w:w="2085"/>
            <w:vAlign w:val="center"/>
          </w:tcPr>
          <w:p>
            <w:r/>
            <w:r>
              <w:rPr>
                <w:rFonts w:ascii="Arial" w:hAnsi="Arial"/>
                <w:b w:val="0"/>
                <w:sz w:val="15"/>
                <w:rFonts w:ascii="Arial" w:hAnsi="Arial" w:eastAsia="Arial"/>
              </w:rPr>
              <w:t>100.5%</w:t>
            </w:r>
          </w:p>
        </w:tc>
      </w:tr>
      <w:tr>
        <w:tc>
          <w:tcPr>
            <w:tcW w:type="dxa" w:w="2085"/>
            <w:vAlign w:val="center"/>
          </w:tcPr>
          <w:p>
            <w:r/>
            <w:r>
              <w:rPr>
                <w:rFonts w:ascii="Arial" w:hAnsi="Arial"/>
                <w:b w:val="0"/>
                <w:sz w:val="15"/>
                <w:rFonts w:ascii="Arial" w:hAnsi="Arial" w:eastAsia="Arial"/>
              </w:rPr>
              <w:t>Busan Hub</w:t>
            </w:r>
          </w:p>
        </w:tc>
        <w:tc>
          <w:tcPr>
            <w:tcW w:type="dxa" w:w="2085"/>
            <w:vAlign w:val="center"/>
          </w:tcPr>
          <w:p>
            <w:r/>
            <w:r>
              <w:rPr>
                <w:rFonts w:ascii="Arial" w:hAnsi="Arial"/>
                <w:b w:val="0"/>
                <w:sz w:val="15"/>
                <w:rFonts w:ascii="Arial" w:hAnsi="Arial" w:eastAsia="Arial"/>
              </w:rPr>
              <w:t>235,000</w:t>
            </w:r>
          </w:p>
        </w:tc>
        <w:tc>
          <w:tcPr>
            <w:tcW w:type="dxa" w:w="2085"/>
            <w:vAlign w:val="center"/>
          </w:tcPr>
          <w:p>
            <w:r/>
            <w:r>
              <w:rPr>
                <w:rFonts w:ascii="Arial" w:hAnsi="Arial"/>
                <w:b w:val="0"/>
                <w:sz w:val="15"/>
                <w:rFonts w:ascii="Arial" w:hAnsi="Arial" w:eastAsia="Arial"/>
              </w:rPr>
              <w:t>350,000</w:t>
            </w:r>
          </w:p>
        </w:tc>
        <w:tc>
          <w:tcPr>
            <w:tcW w:type="dxa" w:w="2085"/>
            <w:vAlign w:val="center"/>
          </w:tcPr>
          <w:p>
            <w:r/>
            <w:r>
              <w:rPr>
                <w:rFonts w:ascii="Arial" w:hAnsi="Arial"/>
                <w:b w:val="0"/>
                <w:sz w:val="15"/>
                <w:rFonts w:ascii="Arial" w:hAnsi="Arial" w:eastAsia="Arial"/>
              </w:rPr>
              <w:t>67.1%</w:t>
            </w:r>
          </w:p>
        </w:tc>
        <w:tc>
          <w:tcPr>
            <w:tcW w:type="dxa" w:w="2085"/>
            <w:vAlign w:val="center"/>
          </w:tcPr>
          <w:p>
            <w:r/>
            <w:r>
              <w:rPr>
                <w:rFonts w:ascii="Arial" w:hAnsi="Arial"/>
                <w:b w:val="0"/>
                <w:sz w:val="15"/>
                <w:rFonts w:ascii="Arial" w:hAnsi="Arial" w:eastAsia="Arial"/>
              </w:rPr>
              <w:t>92.0%</w:t>
            </w:r>
          </w:p>
        </w:tc>
      </w:tr>
      <w:tr>
        <w:tc>
          <w:tcPr>
            <w:tcW w:type="dxa" w:w="2085"/>
            <w:vAlign w:val="center"/>
          </w:tcPr>
          <w:p>
            <w:r/>
            <w:r>
              <w:rPr>
                <w:rFonts w:ascii="Arial" w:hAnsi="Arial"/>
                <w:b w:val="0"/>
                <w:sz w:val="15"/>
                <w:rFonts w:ascii="Arial" w:hAnsi="Arial" w:eastAsia="Arial"/>
              </w:rPr>
              <w:t>Daegu/Gyeongbuk Hub</w:t>
            </w:r>
          </w:p>
        </w:tc>
        <w:tc>
          <w:tcPr>
            <w:tcW w:type="dxa" w:w="2085"/>
            <w:vAlign w:val="center"/>
          </w:tcPr>
          <w:p>
            <w:r/>
            <w:r>
              <w:rPr>
                <w:rFonts w:ascii="Arial" w:hAnsi="Arial"/>
                <w:b w:val="0"/>
                <w:sz w:val="15"/>
                <w:rFonts w:ascii="Arial" w:hAnsi="Arial" w:eastAsia="Arial"/>
              </w:rPr>
              <w:t>140,000</w:t>
            </w:r>
          </w:p>
        </w:tc>
        <w:tc>
          <w:tcPr>
            <w:tcW w:type="dxa" w:w="2085"/>
            <w:vAlign w:val="center"/>
          </w:tcPr>
          <w:p>
            <w:r/>
            <w:r>
              <w:rPr>
                <w:rFonts w:ascii="Arial" w:hAnsi="Arial"/>
                <w:b w:val="0"/>
                <w:sz w:val="15"/>
                <w:rFonts w:ascii="Arial" w:hAnsi="Arial" w:eastAsia="Arial"/>
              </w:rPr>
              <w:t>220,000</w:t>
            </w:r>
          </w:p>
        </w:tc>
        <w:tc>
          <w:tcPr>
            <w:tcW w:type="dxa" w:w="2085"/>
            <w:vAlign w:val="center"/>
          </w:tcPr>
          <w:p>
            <w:r/>
            <w:r>
              <w:rPr>
                <w:rFonts w:ascii="Arial" w:hAnsi="Arial"/>
                <w:b w:val="0"/>
                <w:sz w:val="15"/>
                <w:rFonts w:ascii="Arial" w:hAnsi="Arial" w:eastAsia="Arial"/>
              </w:rPr>
              <w:t>63.6%</w:t>
            </w:r>
          </w:p>
        </w:tc>
        <w:tc>
          <w:tcPr>
            <w:tcW w:type="dxa" w:w="2085"/>
            <w:vAlign w:val="center"/>
          </w:tcPr>
          <w:p>
            <w:r/>
            <w:r>
              <w:rPr>
                <w:rFonts w:ascii="Arial" w:hAnsi="Arial"/>
                <w:b w:val="0"/>
                <w:sz w:val="15"/>
                <w:rFonts w:ascii="Arial" w:hAnsi="Arial" w:eastAsia="Arial"/>
              </w:rPr>
              <w:t>87.2%</w:t>
            </w:r>
          </w:p>
        </w:tc>
      </w:tr>
      <w:tr>
        <w:tc>
          <w:tcPr>
            <w:tcW w:type="dxa" w:w="2085"/>
            <w:vAlign w:val="center"/>
          </w:tcPr>
          <w:p>
            <w:r/>
            <w:r>
              <w:rPr>
                <w:rFonts w:ascii="Arial" w:hAnsi="Arial"/>
                <w:b w:val="0"/>
                <w:sz w:val="15"/>
                <w:rFonts w:ascii="Arial" w:hAnsi="Arial" w:eastAsia="Arial"/>
              </w:rPr>
              <w:t>Gwangju/Jeolla Hub</w:t>
            </w:r>
          </w:p>
        </w:tc>
        <w:tc>
          <w:tcPr>
            <w:tcW w:type="dxa" w:w="2085"/>
            <w:vAlign w:val="center"/>
          </w:tcPr>
          <w:p>
            <w:r/>
            <w:r>
              <w:rPr>
                <w:rFonts w:ascii="Arial" w:hAnsi="Arial"/>
                <w:b w:val="0"/>
                <w:sz w:val="15"/>
                <w:rFonts w:ascii="Arial" w:hAnsi="Arial" w:eastAsia="Arial"/>
              </w:rPr>
              <w:t>145,000</w:t>
            </w:r>
          </w:p>
        </w:tc>
        <w:tc>
          <w:tcPr>
            <w:tcW w:type="dxa" w:w="2085"/>
            <w:vAlign w:val="center"/>
          </w:tcPr>
          <w:p>
            <w:r/>
            <w:r>
              <w:rPr>
                <w:rFonts w:ascii="Arial" w:hAnsi="Arial"/>
                <w:b w:val="0"/>
                <w:sz w:val="15"/>
                <w:rFonts w:ascii="Arial" w:hAnsi="Arial" w:eastAsia="Arial"/>
              </w:rPr>
              <w:t>200,000</w:t>
            </w:r>
          </w:p>
        </w:tc>
        <w:tc>
          <w:tcPr>
            <w:tcW w:type="dxa" w:w="2085"/>
            <w:vAlign w:val="center"/>
          </w:tcPr>
          <w:p>
            <w:r/>
            <w:r>
              <w:rPr>
                <w:rFonts w:ascii="Arial" w:hAnsi="Arial"/>
                <w:b w:val="0"/>
                <w:sz w:val="15"/>
                <w:rFonts w:ascii="Arial" w:hAnsi="Arial" w:eastAsia="Arial"/>
              </w:rPr>
              <w:t>72.5%</w:t>
            </w:r>
          </w:p>
        </w:tc>
        <w:tc>
          <w:tcPr>
            <w:tcW w:type="dxa" w:w="2085"/>
            <w:vAlign w:val="center"/>
          </w:tcPr>
          <w:p>
            <w:r/>
            <w:r>
              <w:rPr>
                <w:rFonts w:ascii="Arial" w:hAnsi="Arial"/>
                <w:b w:val="0"/>
                <w:sz w:val="15"/>
                <w:rFonts w:ascii="Arial" w:hAnsi="Arial" w:eastAsia="Arial"/>
              </w:rPr>
              <w:t>99.3%</w:t>
            </w:r>
          </w:p>
        </w:tc>
      </w:tr>
    </w:tbl>
    <w:p/>
    <w:p>
      <w:r>
        <w:drawing>
          <wp:inline xmlns:a="http://schemas.openxmlformats.org/drawingml/2006/main" xmlns:pic="http://schemas.openxmlformats.org/drawingml/2006/picture">
            <wp:extent cx="5943600" cy="3146612"/>
            <wp:docPr id="4" name="Picture 4"/>
            <wp:cNvGraphicFramePr>
              <a:graphicFrameLocks noChangeAspect="1"/>
            </wp:cNvGraphicFramePr>
            <a:graphic>
              <a:graphicData uri="http://schemas.openxmlformats.org/drawingml/2006/picture">
                <pic:pic>
                  <pic:nvPicPr>
                    <pic:cNvPr id="0" name="utilization.png"/>
                    <pic:cNvPicPr/>
                  </pic:nvPicPr>
                  <pic:blipFill>
                    <a:blip r:embed="rId13"/>
                    <a:stretch>
                      <a:fillRect/>
                    </a:stretch>
                  </pic:blipFill>
                  <pic:spPr>
                    <a:xfrm>
                      <a:off x="0" y="0"/>
                      <a:ext cx="5943600" cy="3146612"/>
                    </a:xfrm>
                    <a:prstGeom prst="rect"/>
                  </pic:spPr>
                </pic:pic>
              </a:graphicData>
            </a:graphic>
          </wp:inline>
        </w:drawing>
      </w:r>
    </w:p>
    <w:p>
      <w:pPr>
        <w:jc w:val="center"/>
      </w:pPr>
      <w:r>
        <w:rPr>
          <w:rFonts w:ascii="Arial" w:hAnsi="Arial"/>
          <w:i/>
          <w:sz w:val="17"/>
        </w:rPr>
        <w:t>Hình 4. Annual vs peak-month utilization</w:t>
      </w:r>
    </w:p>
    <w:p>
      <w:pPr>
        <w:pStyle w:val="ListBullet"/>
      </w:pPr>
      <w:r>
        <w:t>S3 giải quyết overload theo annual view: average utilization giảm về khoảng 76%.</w:t>
      </w:r>
    </w:p>
    <w:p>
      <w:pPr>
        <w:pStyle w:val="ListBullet"/>
      </w:pPr>
      <w:r>
        <w:t>Tuy nhiên peak-month utilization cho thấy annual design chưa đủ: Gyeonggi, Daejeon và Gwangju có thể vượt ngưỡng 95% trong tháng cao điểm.</w:t>
      </w:r>
    </w:p>
    <w:p>
      <w:pPr>
        <w:pStyle w:val="ListBullet"/>
      </w:pPr>
      <w:r>
        <w:t>Vì vậy sản phẩm phải kết hợp network design với seasonal capacity planning. S3 là base network; S6 là operating plan trong peak season.</w:t>
      </w:r>
    </w:p>
    <w:p>
      <w:pPr>
        <w:pStyle w:val="Heading2"/>
      </w:pPr>
      <w:r>
        <w:t>10.4. Service coverage improvement</w:t>
      </w:r>
    </w:p>
    <w:p>
      <w:r>
        <w:rPr>
          <w:b/>
          <w:sz w:val="20"/>
        </w:rPr>
        <w:t>Bảng 13. Coverage analysis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AF7"/>
            <w:vAlign w:val="center"/>
          </w:tcPr>
          <w:p>
            <w:r/>
            <w:r>
              <w:rPr>
                <w:rFonts w:ascii="Arial" w:hAnsi="Arial"/>
                <w:b/>
                <w:sz w:val="17"/>
                <w:rFonts w:ascii="Arial" w:hAnsi="Arial" w:eastAsia="Arial"/>
              </w:rPr>
              <w:t>Metric</w:t>
            </w:r>
          </w:p>
        </w:tc>
        <w:tc>
          <w:tcPr>
            <w:tcW w:type="dxa" w:w="2606"/>
            <w:shd w:fill="D9EAF7"/>
            <w:vAlign w:val="center"/>
          </w:tcPr>
          <w:p>
            <w:r/>
            <w:r>
              <w:rPr>
                <w:rFonts w:ascii="Arial" w:hAnsi="Arial"/>
                <w:b/>
                <w:sz w:val="17"/>
                <w:rFonts w:ascii="Arial" w:hAnsi="Arial" w:eastAsia="Arial"/>
              </w:rPr>
              <w:t>Current network</w:t>
            </w:r>
          </w:p>
        </w:tc>
        <w:tc>
          <w:tcPr>
            <w:tcW w:type="dxa" w:w="2606"/>
            <w:shd w:fill="D9EAF7"/>
            <w:vAlign w:val="center"/>
          </w:tcPr>
          <w:p>
            <w:r/>
            <w:r>
              <w:rPr>
                <w:rFonts w:ascii="Arial" w:hAnsi="Arial"/>
                <w:b/>
                <w:sz w:val="17"/>
                <w:rFonts w:ascii="Arial" w:hAnsi="Arial" w:eastAsia="Arial"/>
              </w:rPr>
              <w:t>S3 5-hub network</w:t>
            </w:r>
          </w:p>
        </w:tc>
        <w:tc>
          <w:tcPr>
            <w:tcW w:type="dxa" w:w="2606"/>
            <w:shd w:fill="D9EAF7"/>
            <w:vAlign w:val="center"/>
          </w:tcPr>
          <w:p>
            <w:r/>
            <w:r>
              <w:rPr>
                <w:rFonts w:ascii="Arial" w:hAnsi="Arial"/>
                <w:b/>
                <w:sz w:val="17"/>
                <w:rFonts w:ascii="Arial" w:hAnsi="Arial" w:eastAsia="Arial"/>
              </w:rPr>
              <w:t>Change</w:t>
            </w:r>
          </w:p>
        </w:tc>
      </w:tr>
      <w:tr>
        <w:tc>
          <w:tcPr>
            <w:tcW w:type="dxa" w:w="2606"/>
            <w:vAlign w:val="center"/>
          </w:tcPr>
          <w:p>
            <w:r/>
            <w:r>
              <w:rPr>
                <w:rFonts w:ascii="Arial" w:hAnsi="Arial"/>
                <w:b w:val="0"/>
                <w:sz w:val="17"/>
                <w:rFonts w:ascii="Arial" w:hAnsi="Arial" w:eastAsia="Arial"/>
              </w:rPr>
              <w:t>Demand within 100 km</w:t>
            </w:r>
          </w:p>
        </w:tc>
        <w:tc>
          <w:tcPr>
            <w:tcW w:type="dxa" w:w="2606"/>
            <w:vAlign w:val="center"/>
          </w:tcPr>
          <w:p>
            <w:r/>
            <w:r>
              <w:rPr>
                <w:rFonts w:ascii="Arial" w:hAnsi="Arial"/>
                <w:b w:val="0"/>
                <w:sz w:val="17"/>
                <w:rFonts w:ascii="Arial" w:hAnsi="Arial" w:eastAsia="Arial"/>
              </w:rPr>
              <w:t>42%</w:t>
            </w:r>
          </w:p>
        </w:tc>
        <w:tc>
          <w:tcPr>
            <w:tcW w:type="dxa" w:w="2606"/>
            <w:vAlign w:val="center"/>
          </w:tcPr>
          <w:p>
            <w:r/>
            <w:r>
              <w:rPr>
                <w:rFonts w:ascii="Arial" w:hAnsi="Arial"/>
                <w:b w:val="0"/>
                <w:sz w:val="17"/>
                <w:rFonts w:ascii="Arial" w:hAnsi="Arial" w:eastAsia="Arial"/>
              </w:rPr>
              <w:t>61%</w:t>
            </w:r>
          </w:p>
        </w:tc>
        <w:tc>
          <w:tcPr>
            <w:tcW w:type="dxa" w:w="2606"/>
            <w:vAlign w:val="center"/>
          </w:tcPr>
          <w:p>
            <w:r/>
            <w:r>
              <w:rPr>
                <w:rFonts w:ascii="Arial" w:hAnsi="Arial"/>
                <w:b w:val="0"/>
                <w:sz w:val="17"/>
                <w:rFonts w:ascii="Arial" w:hAnsi="Arial" w:eastAsia="Arial"/>
              </w:rPr>
              <w:t>+19 pts</w:t>
            </w:r>
          </w:p>
        </w:tc>
      </w:tr>
      <w:tr>
        <w:tc>
          <w:tcPr>
            <w:tcW w:type="dxa" w:w="2606"/>
            <w:vAlign w:val="center"/>
          </w:tcPr>
          <w:p>
            <w:r/>
            <w:r>
              <w:rPr>
                <w:rFonts w:ascii="Arial" w:hAnsi="Arial"/>
                <w:b w:val="0"/>
                <w:sz w:val="17"/>
                <w:rFonts w:ascii="Arial" w:hAnsi="Arial" w:eastAsia="Arial"/>
              </w:rPr>
              <w:t>Demand within 150 km</w:t>
            </w:r>
          </w:p>
        </w:tc>
        <w:tc>
          <w:tcPr>
            <w:tcW w:type="dxa" w:w="2606"/>
            <w:vAlign w:val="center"/>
          </w:tcPr>
          <w:p>
            <w:r/>
            <w:r>
              <w:rPr>
                <w:rFonts w:ascii="Arial" w:hAnsi="Arial"/>
                <w:b w:val="0"/>
                <w:sz w:val="17"/>
                <w:rFonts w:ascii="Arial" w:hAnsi="Arial" w:eastAsia="Arial"/>
              </w:rPr>
              <w:t>68%</w:t>
            </w:r>
          </w:p>
        </w:tc>
        <w:tc>
          <w:tcPr>
            <w:tcW w:type="dxa" w:w="2606"/>
            <w:vAlign w:val="center"/>
          </w:tcPr>
          <w:p>
            <w:r/>
            <w:r>
              <w:rPr>
                <w:rFonts w:ascii="Arial" w:hAnsi="Arial"/>
                <w:b w:val="0"/>
                <w:sz w:val="17"/>
                <w:rFonts w:ascii="Arial" w:hAnsi="Arial" w:eastAsia="Arial"/>
              </w:rPr>
              <w:t>86%</w:t>
            </w:r>
          </w:p>
        </w:tc>
        <w:tc>
          <w:tcPr>
            <w:tcW w:type="dxa" w:w="2606"/>
            <w:vAlign w:val="center"/>
          </w:tcPr>
          <w:p>
            <w:r/>
            <w:r>
              <w:rPr>
                <w:rFonts w:ascii="Arial" w:hAnsi="Arial"/>
                <w:b w:val="0"/>
                <w:sz w:val="17"/>
                <w:rFonts w:ascii="Arial" w:hAnsi="Arial" w:eastAsia="Arial"/>
              </w:rPr>
              <w:t>+18 pts</w:t>
            </w:r>
          </w:p>
        </w:tc>
      </w:tr>
      <w:tr>
        <w:tc>
          <w:tcPr>
            <w:tcW w:type="dxa" w:w="2606"/>
            <w:vAlign w:val="center"/>
          </w:tcPr>
          <w:p>
            <w:r/>
            <w:r>
              <w:rPr>
                <w:rFonts w:ascii="Arial" w:hAnsi="Arial"/>
                <w:b w:val="0"/>
                <w:sz w:val="17"/>
                <w:rFonts w:ascii="Arial" w:hAnsi="Arial" w:eastAsia="Arial"/>
              </w:rPr>
              <w:t>Demand beyond 250 km</w:t>
            </w:r>
          </w:p>
        </w:tc>
        <w:tc>
          <w:tcPr>
            <w:tcW w:type="dxa" w:w="2606"/>
            <w:vAlign w:val="center"/>
          </w:tcPr>
          <w:p>
            <w:r/>
            <w:r>
              <w:rPr>
                <w:rFonts w:ascii="Arial" w:hAnsi="Arial"/>
                <w:b w:val="0"/>
                <w:sz w:val="17"/>
                <w:rFonts w:ascii="Arial" w:hAnsi="Arial" w:eastAsia="Arial"/>
              </w:rPr>
              <w:t>21%</w:t>
            </w:r>
          </w:p>
        </w:tc>
        <w:tc>
          <w:tcPr>
            <w:tcW w:type="dxa" w:w="2606"/>
            <w:vAlign w:val="center"/>
          </w:tcPr>
          <w:p>
            <w:r/>
            <w:r>
              <w:rPr>
                <w:rFonts w:ascii="Arial" w:hAnsi="Arial"/>
                <w:b w:val="0"/>
                <w:sz w:val="17"/>
                <w:rFonts w:ascii="Arial" w:hAnsi="Arial" w:eastAsia="Arial"/>
              </w:rPr>
              <w:t>7%</w:t>
            </w:r>
          </w:p>
        </w:tc>
        <w:tc>
          <w:tcPr>
            <w:tcW w:type="dxa" w:w="2606"/>
            <w:vAlign w:val="center"/>
          </w:tcPr>
          <w:p>
            <w:r/>
            <w:r>
              <w:rPr>
                <w:rFonts w:ascii="Arial" w:hAnsi="Arial"/>
                <w:b w:val="0"/>
                <w:sz w:val="17"/>
                <w:rFonts w:ascii="Arial" w:hAnsi="Arial" w:eastAsia="Arial"/>
              </w:rPr>
              <w:t>-14 pts</w:t>
            </w:r>
          </w:p>
        </w:tc>
      </w:tr>
      <w:tr>
        <w:tc>
          <w:tcPr>
            <w:tcW w:type="dxa" w:w="2606"/>
            <w:vAlign w:val="center"/>
          </w:tcPr>
          <w:p>
            <w:r/>
            <w:r>
              <w:rPr>
                <w:rFonts w:ascii="Arial" w:hAnsi="Arial"/>
                <w:b w:val="0"/>
                <w:sz w:val="17"/>
                <w:rFonts w:ascii="Arial" w:hAnsi="Arial" w:eastAsia="Arial"/>
              </w:rPr>
              <w:t>Average served distance</w:t>
            </w:r>
          </w:p>
        </w:tc>
        <w:tc>
          <w:tcPr>
            <w:tcW w:type="dxa" w:w="2606"/>
            <w:vAlign w:val="center"/>
          </w:tcPr>
          <w:p>
            <w:r/>
            <w:r>
              <w:rPr>
                <w:rFonts w:ascii="Arial" w:hAnsi="Arial"/>
                <w:b w:val="0"/>
                <w:sz w:val="17"/>
                <w:rFonts w:ascii="Arial" w:hAnsi="Arial" w:eastAsia="Arial"/>
              </w:rPr>
              <w:t>195 km</w:t>
            </w:r>
          </w:p>
        </w:tc>
        <w:tc>
          <w:tcPr>
            <w:tcW w:type="dxa" w:w="2606"/>
            <w:vAlign w:val="center"/>
          </w:tcPr>
          <w:p>
            <w:r/>
            <w:r>
              <w:rPr>
                <w:rFonts w:ascii="Arial" w:hAnsi="Arial"/>
                <w:b w:val="0"/>
                <w:sz w:val="17"/>
                <w:rFonts w:ascii="Arial" w:hAnsi="Arial" w:eastAsia="Arial"/>
              </w:rPr>
              <w:t>148 km</w:t>
            </w:r>
          </w:p>
        </w:tc>
        <w:tc>
          <w:tcPr>
            <w:tcW w:type="dxa" w:w="2606"/>
            <w:vAlign w:val="center"/>
          </w:tcPr>
          <w:p>
            <w:r/>
            <w:r>
              <w:rPr>
                <w:rFonts w:ascii="Arial" w:hAnsi="Arial"/>
                <w:b w:val="0"/>
                <w:sz w:val="17"/>
                <w:rFonts w:ascii="Arial" w:hAnsi="Arial" w:eastAsia="Arial"/>
              </w:rPr>
              <w:t>-47 km</w:t>
            </w:r>
          </w:p>
        </w:tc>
      </w:tr>
      <w:tr>
        <w:tc>
          <w:tcPr>
            <w:tcW w:type="dxa" w:w="2606"/>
            <w:vAlign w:val="center"/>
          </w:tcPr>
          <w:p>
            <w:r/>
            <w:r>
              <w:rPr>
                <w:rFonts w:ascii="Arial" w:hAnsi="Arial"/>
                <w:b w:val="0"/>
                <w:sz w:val="17"/>
                <w:rFonts w:ascii="Arial" w:hAnsi="Arial" w:eastAsia="Arial"/>
              </w:rPr>
              <w:t>Max mainland served distance</w:t>
            </w:r>
          </w:p>
        </w:tc>
        <w:tc>
          <w:tcPr>
            <w:tcW w:type="dxa" w:w="2606"/>
            <w:vAlign w:val="center"/>
          </w:tcPr>
          <w:p>
            <w:r/>
            <w:r>
              <w:rPr>
                <w:rFonts w:ascii="Arial" w:hAnsi="Arial"/>
                <w:b w:val="0"/>
                <w:sz w:val="17"/>
                <w:rFonts w:ascii="Arial" w:hAnsi="Arial" w:eastAsia="Arial"/>
              </w:rPr>
              <w:t>410 km</w:t>
            </w:r>
          </w:p>
        </w:tc>
        <w:tc>
          <w:tcPr>
            <w:tcW w:type="dxa" w:w="2606"/>
            <w:vAlign w:val="center"/>
          </w:tcPr>
          <w:p>
            <w:r/>
            <w:r>
              <w:rPr>
                <w:rFonts w:ascii="Arial" w:hAnsi="Arial"/>
                <w:b w:val="0"/>
                <w:sz w:val="17"/>
                <w:rFonts w:ascii="Arial" w:hAnsi="Arial" w:eastAsia="Arial"/>
              </w:rPr>
              <w:t>260 km</w:t>
            </w:r>
          </w:p>
        </w:tc>
        <w:tc>
          <w:tcPr>
            <w:tcW w:type="dxa" w:w="2606"/>
            <w:vAlign w:val="center"/>
          </w:tcPr>
          <w:p>
            <w:r/>
            <w:r>
              <w:rPr>
                <w:rFonts w:ascii="Arial" w:hAnsi="Arial"/>
                <w:b w:val="0"/>
                <w:sz w:val="17"/>
                <w:rFonts w:ascii="Arial" w:hAnsi="Arial" w:eastAsia="Arial"/>
              </w:rPr>
              <w:t>-150 km</w:t>
            </w:r>
          </w:p>
        </w:tc>
      </w:tr>
    </w:tbl>
    <w:p/>
    <w:p>
      <w:pPr>
        <w:pStyle w:val="Heading2"/>
      </w:pPr>
      <w:r>
        <w:t>10.5. Final recommended annual network</w:t>
      </w:r>
    </w:p>
    <w:p>
      <w:r>
        <w:rPr>
          <w:b/>
          <w:sz w:val="20"/>
        </w:rPr>
        <w:t>Bảng 14. Executive recommendation summary</w:t>
      </w:r>
    </w:p>
    <w:tbl>
      <w:tblPr>
        <w:tblStyle w:val="TableGrid"/>
        <w:tblW w:type="auto" w:w="0"/>
        <w:jc w:val="center"/>
        <w:tblLook w:firstColumn="1" w:firstRow="1" w:lastColumn="0" w:lastRow="0" w:noHBand="0" w:noVBand="1" w:val="04A0"/>
      </w:tblPr>
      <w:tblGrid>
        <w:gridCol w:w="5213"/>
        <w:gridCol w:w="5213"/>
      </w:tblGrid>
      <w:tr>
        <w:tc>
          <w:tcPr>
            <w:tcW w:type="dxa" w:w="5213"/>
            <w:shd w:fill="D9EAF7"/>
            <w:vAlign w:val="center"/>
          </w:tcPr>
          <w:p>
            <w:r/>
            <w:r>
              <w:rPr>
                <w:rFonts w:ascii="Arial" w:hAnsi="Arial"/>
                <w:b/>
                <w:sz w:val="16"/>
                <w:rFonts w:ascii="Arial" w:hAnsi="Arial" w:eastAsia="Arial"/>
              </w:rPr>
              <w:t>Decision item</w:t>
            </w:r>
          </w:p>
        </w:tc>
        <w:tc>
          <w:tcPr>
            <w:tcW w:type="dxa" w:w="5213"/>
            <w:shd w:fill="D9EAF7"/>
            <w:vAlign w:val="center"/>
          </w:tcPr>
          <w:p>
            <w:r/>
            <w:r>
              <w:rPr>
                <w:rFonts w:ascii="Arial" w:hAnsi="Arial"/>
                <w:b/>
                <w:sz w:val="16"/>
                <w:rFonts w:ascii="Arial" w:hAnsi="Arial" w:eastAsia="Arial"/>
              </w:rPr>
              <w:t>Outcome</w:t>
            </w:r>
          </w:p>
        </w:tc>
      </w:tr>
      <w:tr>
        <w:tc>
          <w:tcPr>
            <w:tcW w:type="dxa" w:w="5213"/>
            <w:vAlign w:val="center"/>
          </w:tcPr>
          <w:p>
            <w:r/>
            <w:r>
              <w:rPr>
                <w:rFonts w:ascii="Arial" w:hAnsi="Arial"/>
                <w:b w:val="0"/>
                <w:sz w:val="16"/>
                <w:rFonts w:ascii="Arial" w:hAnsi="Arial" w:eastAsia="Arial"/>
              </w:rPr>
              <w:t>Recommended scenario</w:t>
            </w:r>
          </w:p>
        </w:tc>
        <w:tc>
          <w:tcPr>
            <w:tcW w:type="dxa" w:w="5213"/>
            <w:vAlign w:val="center"/>
          </w:tcPr>
          <w:p>
            <w:r/>
            <w:r>
              <w:rPr>
                <w:rFonts w:ascii="Arial" w:hAnsi="Arial"/>
                <w:b w:val="0"/>
                <w:sz w:val="16"/>
                <w:rFonts w:ascii="Arial" w:hAnsi="Arial" w:eastAsia="Arial"/>
              </w:rPr>
              <w:t>S3 - 5-hub balanced network</w:t>
            </w:r>
          </w:p>
        </w:tc>
      </w:tr>
      <w:tr>
        <w:tc>
          <w:tcPr>
            <w:tcW w:type="dxa" w:w="5213"/>
            <w:vAlign w:val="center"/>
          </w:tcPr>
          <w:p>
            <w:r/>
            <w:r>
              <w:rPr>
                <w:rFonts w:ascii="Arial" w:hAnsi="Arial"/>
                <w:b w:val="0"/>
                <w:sz w:val="16"/>
                <w:rFonts w:ascii="Arial" w:hAnsi="Arial" w:eastAsia="Arial"/>
              </w:rPr>
              <w:t>Recommended hubs</w:t>
            </w:r>
          </w:p>
        </w:tc>
        <w:tc>
          <w:tcPr>
            <w:tcW w:type="dxa" w:w="5213"/>
            <w:vAlign w:val="center"/>
          </w:tcPr>
          <w:p>
            <w:r/>
            <w:r>
              <w:rPr>
                <w:rFonts w:ascii="Arial" w:hAnsi="Arial"/>
                <w:b w:val="0"/>
                <w:sz w:val="16"/>
                <w:rFonts w:ascii="Arial" w:hAnsi="Arial" w:eastAsia="Arial"/>
              </w:rPr>
              <w:t>Gyeonggi, Daejeon/Chungcheong, Busan, Daegu/Gyeongbuk, Gwangju/Jeolla</w:t>
            </w:r>
          </w:p>
        </w:tc>
      </w:tr>
      <w:tr>
        <w:tc>
          <w:tcPr>
            <w:tcW w:type="dxa" w:w="5213"/>
            <w:vAlign w:val="center"/>
          </w:tcPr>
          <w:p>
            <w:r/>
            <w:r>
              <w:rPr>
                <w:rFonts w:ascii="Arial" w:hAnsi="Arial"/>
                <w:b w:val="0"/>
                <w:sz w:val="16"/>
                <w:rFonts w:ascii="Arial" w:hAnsi="Arial" w:eastAsia="Arial"/>
              </w:rPr>
              <w:t>Annual cost reduction</w:t>
            </w:r>
          </w:p>
        </w:tc>
        <w:tc>
          <w:tcPr>
            <w:tcW w:type="dxa" w:w="5213"/>
            <w:vAlign w:val="center"/>
          </w:tcPr>
          <w:p>
            <w:r/>
            <w:r>
              <w:rPr>
                <w:rFonts w:ascii="Arial" w:hAnsi="Arial"/>
                <w:b w:val="0"/>
                <w:sz w:val="16"/>
                <w:rFonts w:ascii="Arial" w:hAnsi="Arial" w:eastAsia="Arial"/>
              </w:rPr>
              <w:t>KRW 32.6B/year vs current</w:t>
            </w:r>
          </w:p>
        </w:tc>
      </w:tr>
      <w:tr>
        <w:tc>
          <w:tcPr>
            <w:tcW w:type="dxa" w:w="5213"/>
            <w:vAlign w:val="center"/>
          </w:tcPr>
          <w:p>
            <w:r/>
            <w:r>
              <w:rPr>
                <w:rFonts w:ascii="Arial" w:hAnsi="Arial"/>
                <w:b w:val="0"/>
                <w:sz w:val="16"/>
                <w:rFonts w:ascii="Arial" w:hAnsi="Arial" w:eastAsia="Arial"/>
              </w:rPr>
              <w:t>Cost reduction percentage</w:t>
            </w:r>
          </w:p>
        </w:tc>
        <w:tc>
          <w:tcPr>
            <w:tcW w:type="dxa" w:w="5213"/>
            <w:vAlign w:val="center"/>
          </w:tcPr>
          <w:p>
            <w:r/>
            <w:r>
              <w:rPr>
                <w:rFonts w:ascii="Arial" w:hAnsi="Arial"/>
                <w:b w:val="0"/>
                <w:sz w:val="16"/>
                <w:rFonts w:ascii="Arial" w:hAnsi="Arial" w:eastAsia="Arial"/>
              </w:rPr>
              <w:t>17.1%</w:t>
            </w:r>
          </w:p>
        </w:tc>
      </w:tr>
      <w:tr>
        <w:tc>
          <w:tcPr>
            <w:tcW w:type="dxa" w:w="5213"/>
            <w:vAlign w:val="center"/>
          </w:tcPr>
          <w:p>
            <w:r/>
            <w:r>
              <w:rPr>
                <w:rFonts w:ascii="Arial" w:hAnsi="Arial"/>
                <w:b w:val="0"/>
                <w:sz w:val="16"/>
                <w:rFonts w:ascii="Arial" w:hAnsi="Arial" w:eastAsia="Arial"/>
              </w:rPr>
              <w:t>Coverage improvement within 150 km</w:t>
            </w:r>
          </w:p>
        </w:tc>
        <w:tc>
          <w:tcPr>
            <w:tcW w:type="dxa" w:w="5213"/>
            <w:vAlign w:val="center"/>
          </w:tcPr>
          <w:p>
            <w:r/>
            <w:r>
              <w:rPr>
                <w:rFonts w:ascii="Arial" w:hAnsi="Arial"/>
                <w:b w:val="0"/>
                <w:sz w:val="16"/>
                <w:rFonts w:ascii="Arial" w:hAnsi="Arial" w:eastAsia="Arial"/>
              </w:rPr>
              <w:t>68% -&gt; 86%</w:t>
            </w:r>
          </w:p>
        </w:tc>
      </w:tr>
      <w:tr>
        <w:tc>
          <w:tcPr>
            <w:tcW w:type="dxa" w:w="5213"/>
            <w:vAlign w:val="center"/>
          </w:tcPr>
          <w:p>
            <w:r/>
            <w:r>
              <w:rPr>
                <w:rFonts w:ascii="Arial" w:hAnsi="Arial"/>
                <w:b w:val="0"/>
                <w:sz w:val="16"/>
                <w:rFonts w:ascii="Arial" w:hAnsi="Arial" w:eastAsia="Arial"/>
              </w:rPr>
              <w:t>Average served distance</w:t>
            </w:r>
          </w:p>
        </w:tc>
        <w:tc>
          <w:tcPr>
            <w:tcW w:type="dxa" w:w="5213"/>
            <w:vAlign w:val="center"/>
          </w:tcPr>
          <w:p>
            <w:r/>
            <w:r>
              <w:rPr>
                <w:rFonts w:ascii="Arial" w:hAnsi="Arial"/>
                <w:b w:val="0"/>
                <w:sz w:val="16"/>
                <w:rFonts w:ascii="Arial" w:hAnsi="Arial" w:eastAsia="Arial"/>
              </w:rPr>
              <w:t>195 km -&gt; 148 km</w:t>
            </w:r>
          </w:p>
        </w:tc>
      </w:tr>
      <w:tr>
        <w:tc>
          <w:tcPr>
            <w:tcW w:type="dxa" w:w="5213"/>
            <w:vAlign w:val="center"/>
          </w:tcPr>
          <w:p>
            <w:r/>
            <w:r>
              <w:rPr>
                <w:rFonts w:ascii="Arial" w:hAnsi="Arial"/>
                <w:b w:val="0"/>
                <w:sz w:val="16"/>
                <w:rFonts w:ascii="Arial" w:hAnsi="Arial" w:eastAsia="Arial"/>
              </w:rPr>
              <w:t>Overloaded hubs</w:t>
            </w:r>
          </w:p>
        </w:tc>
        <w:tc>
          <w:tcPr>
            <w:tcW w:type="dxa" w:w="5213"/>
            <w:vAlign w:val="center"/>
          </w:tcPr>
          <w:p>
            <w:r/>
            <w:r>
              <w:rPr>
                <w:rFonts w:ascii="Arial" w:hAnsi="Arial"/>
                <w:b w:val="0"/>
                <w:sz w:val="16"/>
                <w:rFonts w:ascii="Arial" w:hAnsi="Arial" w:eastAsia="Arial"/>
              </w:rPr>
              <w:t>3 hubs -&gt; 0 annual overload, but Gyeonggi remains watchlist</w:t>
            </w:r>
          </w:p>
        </w:tc>
      </w:tr>
      <w:tr>
        <w:tc>
          <w:tcPr>
            <w:tcW w:type="dxa" w:w="5213"/>
            <w:vAlign w:val="center"/>
          </w:tcPr>
          <w:p>
            <w:r/>
            <w:r>
              <w:rPr>
                <w:rFonts w:ascii="Arial" w:hAnsi="Arial"/>
                <w:b w:val="0"/>
                <w:sz w:val="16"/>
                <w:rFonts w:ascii="Arial" w:hAnsi="Arial" w:eastAsia="Arial"/>
              </w:rPr>
              <w:t>Seasonal warning</w:t>
            </w:r>
          </w:p>
        </w:tc>
        <w:tc>
          <w:tcPr>
            <w:tcW w:type="dxa" w:w="5213"/>
            <w:vAlign w:val="center"/>
          </w:tcPr>
          <w:p>
            <w:r/>
            <w:r>
              <w:rPr>
                <w:rFonts w:ascii="Arial" w:hAnsi="Arial"/>
                <w:b w:val="0"/>
                <w:sz w:val="16"/>
                <w:rFonts w:ascii="Arial" w:hAnsi="Arial" w:eastAsia="Arial"/>
              </w:rPr>
              <w:t>Peak month may push Gyeonggi above 120% utilization without temporary capacity</w:t>
            </w:r>
          </w:p>
        </w:tc>
      </w:tr>
    </w:tbl>
    <w:p/>
    <w:p>
      <w:pPr>
        <w:pStyle w:val="Heading1"/>
      </w:pPr>
      <w:r>
        <w:t>11. Seasonal Demand Extension và kế hoạch peak season</w:t>
      </w:r>
    </w:p>
    <w:p>
      <w:pPr>
        <w:pStyle w:val="Heading2"/>
      </w:pPr>
      <w:r>
        <w:t>11.1. Vì sao seasonal demand quan trọng?</w:t>
      </w:r>
    </w:p>
    <w:p>
      <w:r>
        <w:t>Nếu chỉ tối ưu trên annual demand, engine có thể đề xuất một network nhìn có vẻ an toàn nhưng thực tế lại quá tải trong tháng cao điểm. Seasonal demand làm thay đổi capacity risk, penalty cost, inventory pre-positioning và nhu cầu thuê temporary warehouse hoặc 3PL overflow.</w:t>
      </w:r>
    </w:p>
    <w:p>
      <w:pPr>
        <w:pStyle w:val="ListBullet"/>
      </w:pPr>
      <w:r>
        <w:t>Annual utilization 92% ở Gyeonggi có thể trở thành 126% trong peak month nếu seasonal index là 1.37.</w:t>
      </w:r>
    </w:p>
    <w:p>
      <w:pPr>
        <w:pStyle w:val="ListBullet"/>
      </w:pPr>
      <w:r>
        <w:t>Một hub có annual utilization 73% vẫn có thể chạm 100% trong peak month.</w:t>
      </w:r>
    </w:p>
    <w:p>
      <w:pPr>
        <w:pStyle w:val="ListBullet"/>
      </w:pPr>
      <w:r>
        <w:t>Penalty cost không tăng tuyến tính; khi vượt capacity, doanh nghiệp phải dùng overtime, emergency shipments, overflow 3PL hoặc chấp nhận SLA miss.</w:t>
      </w:r>
    </w:p>
    <w:p>
      <w:pPr>
        <w:pStyle w:val="ListBullet"/>
      </w:pPr>
      <w:r>
        <w:t>Do đó network strategy cần tách thành annual network design và seasonal operating plan.</w:t>
      </w:r>
    </w:p>
    <w:p>
      <w:pPr>
        <w:pStyle w:val="Heading2"/>
      </w:pPr>
      <w:r>
        <w:t>11.2. Seasonal operating plan đề xuất</w:t>
      </w:r>
    </w:p>
    <w:p>
      <w:r>
        <w:rPr>
          <w:b/>
          <w:sz w:val="20"/>
        </w:rPr>
        <w:t>Bảng 15. Seasonal operating plan</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Phase</w:t>
            </w:r>
          </w:p>
        </w:tc>
        <w:tc>
          <w:tcPr>
            <w:tcW w:type="dxa" w:w="3475"/>
            <w:shd w:fill="D9EAF7"/>
            <w:vAlign w:val="center"/>
          </w:tcPr>
          <w:p>
            <w:r/>
            <w:r>
              <w:rPr>
                <w:rFonts w:ascii="Arial" w:hAnsi="Arial"/>
                <w:b/>
                <w:sz w:val="16"/>
                <w:rFonts w:ascii="Arial" w:hAnsi="Arial" w:eastAsia="Arial"/>
              </w:rPr>
              <w:t>Timing</w:t>
            </w:r>
          </w:p>
        </w:tc>
        <w:tc>
          <w:tcPr>
            <w:tcW w:type="dxa" w:w="3475"/>
            <w:shd w:fill="D9EAF7"/>
            <w:vAlign w:val="center"/>
          </w:tcPr>
          <w:p>
            <w:r/>
            <w:r>
              <w:rPr>
                <w:rFonts w:ascii="Arial" w:hAnsi="Arial"/>
                <w:b/>
                <w:sz w:val="16"/>
                <w:rFonts w:ascii="Arial" w:hAnsi="Arial" w:eastAsia="Arial"/>
              </w:rPr>
              <w:t>Action</w:t>
            </w:r>
          </w:p>
        </w:tc>
      </w:tr>
      <w:tr>
        <w:tc>
          <w:tcPr>
            <w:tcW w:type="dxa" w:w="3475"/>
            <w:vAlign w:val="center"/>
          </w:tcPr>
          <w:p>
            <w:r/>
            <w:r>
              <w:rPr>
                <w:rFonts w:ascii="Arial" w:hAnsi="Arial"/>
                <w:b w:val="0"/>
                <w:sz w:val="16"/>
                <w:rFonts w:ascii="Arial" w:hAnsi="Arial" w:eastAsia="Arial"/>
              </w:rPr>
              <w:t>Pre-season planning</w:t>
            </w:r>
          </w:p>
        </w:tc>
        <w:tc>
          <w:tcPr>
            <w:tcW w:type="dxa" w:w="3475"/>
            <w:vAlign w:val="center"/>
          </w:tcPr>
          <w:p>
            <w:r/>
            <w:r>
              <w:rPr>
                <w:rFonts w:ascii="Arial" w:hAnsi="Arial"/>
                <w:b w:val="0"/>
                <w:sz w:val="16"/>
                <w:rFonts w:ascii="Arial" w:hAnsi="Arial" w:eastAsia="Arial"/>
              </w:rPr>
              <w:t>T-8 to T-6 weeks</w:t>
            </w:r>
          </w:p>
        </w:tc>
        <w:tc>
          <w:tcPr>
            <w:tcW w:type="dxa" w:w="3475"/>
            <w:vAlign w:val="center"/>
          </w:tcPr>
          <w:p>
            <w:r/>
            <w:r>
              <w:rPr>
                <w:rFonts w:ascii="Arial" w:hAnsi="Arial"/>
                <w:b w:val="0"/>
                <w:sz w:val="16"/>
                <w:rFonts w:ascii="Arial" w:hAnsi="Arial" w:eastAsia="Arial"/>
              </w:rPr>
              <w:t>Lock demand forecast, identify high-risk regions, freeze baseline allocation.</w:t>
            </w:r>
          </w:p>
        </w:tc>
      </w:tr>
      <w:tr>
        <w:tc>
          <w:tcPr>
            <w:tcW w:type="dxa" w:w="3475"/>
            <w:vAlign w:val="center"/>
          </w:tcPr>
          <w:p>
            <w:r/>
            <w:r>
              <w:rPr>
                <w:rFonts w:ascii="Arial" w:hAnsi="Arial"/>
                <w:b w:val="0"/>
                <w:sz w:val="16"/>
                <w:rFonts w:ascii="Arial" w:hAnsi="Arial" w:eastAsia="Arial"/>
              </w:rPr>
              <w:t>Inventory pre-positioning</w:t>
            </w:r>
          </w:p>
        </w:tc>
        <w:tc>
          <w:tcPr>
            <w:tcW w:type="dxa" w:w="3475"/>
            <w:vAlign w:val="center"/>
          </w:tcPr>
          <w:p>
            <w:r/>
            <w:r>
              <w:rPr>
                <w:rFonts w:ascii="Arial" w:hAnsi="Arial"/>
                <w:b w:val="0"/>
                <w:sz w:val="16"/>
                <w:rFonts w:ascii="Arial" w:hAnsi="Arial" w:eastAsia="Arial"/>
              </w:rPr>
              <w:t>T-6 to T-3 weeks</w:t>
            </w:r>
          </w:p>
        </w:tc>
        <w:tc>
          <w:tcPr>
            <w:tcW w:type="dxa" w:w="3475"/>
            <w:vAlign w:val="center"/>
          </w:tcPr>
          <w:p>
            <w:r/>
            <w:r>
              <w:rPr>
                <w:rFonts w:ascii="Arial" w:hAnsi="Arial"/>
                <w:b w:val="0"/>
                <w:sz w:val="16"/>
                <w:rFonts w:ascii="Arial" w:hAnsi="Arial" w:eastAsia="Arial"/>
              </w:rPr>
              <w:t>Move fast-moving demand closer to Gyeonggi, Busan and Daejeon hubs.</w:t>
            </w:r>
          </w:p>
        </w:tc>
      </w:tr>
      <w:tr>
        <w:tc>
          <w:tcPr>
            <w:tcW w:type="dxa" w:w="3475"/>
            <w:vAlign w:val="center"/>
          </w:tcPr>
          <w:p>
            <w:r/>
            <w:r>
              <w:rPr>
                <w:rFonts w:ascii="Arial" w:hAnsi="Arial"/>
                <w:b w:val="0"/>
                <w:sz w:val="16"/>
                <w:rFonts w:ascii="Arial" w:hAnsi="Arial" w:eastAsia="Arial"/>
              </w:rPr>
              <w:t>Temporary capacity booking</w:t>
            </w:r>
          </w:p>
        </w:tc>
        <w:tc>
          <w:tcPr>
            <w:tcW w:type="dxa" w:w="3475"/>
            <w:vAlign w:val="center"/>
          </w:tcPr>
          <w:p>
            <w:r/>
            <w:r>
              <w:rPr>
                <w:rFonts w:ascii="Arial" w:hAnsi="Arial"/>
                <w:b w:val="0"/>
                <w:sz w:val="16"/>
                <w:rFonts w:ascii="Arial" w:hAnsi="Arial" w:eastAsia="Arial"/>
              </w:rPr>
              <w:t>T-4 to T-2 weeks</w:t>
            </w:r>
          </w:p>
        </w:tc>
        <w:tc>
          <w:tcPr>
            <w:tcW w:type="dxa" w:w="3475"/>
            <w:vAlign w:val="center"/>
          </w:tcPr>
          <w:p>
            <w:r/>
            <w:r>
              <w:rPr>
                <w:rFonts w:ascii="Arial" w:hAnsi="Arial"/>
                <w:b w:val="0"/>
                <w:sz w:val="16"/>
                <w:rFonts w:ascii="Arial" w:hAnsi="Arial" w:eastAsia="Arial"/>
              </w:rPr>
              <w:t>Reserve 3PL overflow capacity near Gyeonggi and Daejeon.</w:t>
            </w:r>
          </w:p>
        </w:tc>
      </w:tr>
      <w:tr>
        <w:tc>
          <w:tcPr>
            <w:tcW w:type="dxa" w:w="3475"/>
            <w:vAlign w:val="center"/>
          </w:tcPr>
          <w:p>
            <w:r/>
            <w:r>
              <w:rPr>
                <w:rFonts w:ascii="Arial" w:hAnsi="Arial"/>
                <w:b w:val="0"/>
                <w:sz w:val="16"/>
                <w:rFonts w:ascii="Arial" w:hAnsi="Arial" w:eastAsia="Arial"/>
              </w:rPr>
              <w:t>Peak execution</w:t>
            </w:r>
          </w:p>
        </w:tc>
        <w:tc>
          <w:tcPr>
            <w:tcW w:type="dxa" w:w="3475"/>
            <w:vAlign w:val="center"/>
          </w:tcPr>
          <w:p>
            <w:r/>
            <w:r>
              <w:rPr>
                <w:rFonts w:ascii="Arial" w:hAnsi="Arial"/>
                <w:b w:val="0"/>
                <w:sz w:val="16"/>
                <w:rFonts w:ascii="Arial" w:hAnsi="Arial" w:eastAsia="Arial"/>
              </w:rPr>
              <w:t>Peak month</w:t>
            </w:r>
          </w:p>
        </w:tc>
        <w:tc>
          <w:tcPr>
            <w:tcW w:type="dxa" w:w="3475"/>
            <w:vAlign w:val="center"/>
          </w:tcPr>
          <w:p>
            <w:r/>
            <w:r>
              <w:rPr>
                <w:rFonts w:ascii="Arial" w:hAnsi="Arial"/>
                <w:b w:val="0"/>
                <w:sz w:val="16"/>
                <w:rFonts w:ascii="Arial" w:hAnsi="Arial" w:eastAsia="Arial"/>
              </w:rPr>
              <w:t>Use S6 seasonal allocation; monitor utilization and SLA daily/weekly.</w:t>
            </w:r>
          </w:p>
        </w:tc>
      </w:tr>
      <w:tr>
        <w:tc>
          <w:tcPr>
            <w:tcW w:type="dxa" w:w="3475"/>
            <w:vAlign w:val="center"/>
          </w:tcPr>
          <w:p>
            <w:r/>
            <w:r>
              <w:rPr>
                <w:rFonts w:ascii="Arial" w:hAnsi="Arial"/>
                <w:b w:val="0"/>
                <w:sz w:val="16"/>
                <w:rFonts w:ascii="Arial" w:hAnsi="Arial" w:eastAsia="Arial"/>
              </w:rPr>
              <w:t>Post-season rebalancing</w:t>
            </w:r>
          </w:p>
        </w:tc>
        <w:tc>
          <w:tcPr>
            <w:tcW w:type="dxa" w:w="3475"/>
            <w:vAlign w:val="center"/>
          </w:tcPr>
          <w:p>
            <w:r/>
            <w:r>
              <w:rPr>
                <w:rFonts w:ascii="Arial" w:hAnsi="Arial"/>
                <w:b w:val="0"/>
                <w:sz w:val="16"/>
                <w:rFonts w:ascii="Arial" w:hAnsi="Arial" w:eastAsia="Arial"/>
              </w:rPr>
              <w:t>T+1 to T+3 weeks</w:t>
            </w:r>
          </w:p>
        </w:tc>
        <w:tc>
          <w:tcPr>
            <w:tcW w:type="dxa" w:w="3475"/>
            <w:vAlign w:val="center"/>
          </w:tcPr>
          <w:p>
            <w:r/>
            <w:r>
              <w:rPr>
                <w:rFonts w:ascii="Arial" w:hAnsi="Arial"/>
                <w:b w:val="0"/>
                <w:sz w:val="16"/>
                <w:rFonts w:ascii="Arial" w:hAnsi="Arial" w:eastAsia="Arial"/>
              </w:rPr>
              <w:t>Reduce temporary capacity, reconcile inventory, evaluate actual savings and service outcomes.</w:t>
            </w:r>
          </w:p>
        </w:tc>
      </w:tr>
    </w:tbl>
    <w:p/>
    <w:p>
      <w:pPr>
        <w:pStyle w:val="Heading2"/>
      </w:pPr>
      <w:r>
        <w:t>11.3. Seasonal capacity recommendation</w:t>
      </w:r>
    </w:p>
    <w:p>
      <w:r>
        <w:rPr>
          <w:b/>
          <w:sz w:val="20"/>
        </w:rPr>
        <w:t>Bảng 16. Seasonal capacity recommendation by hub</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Hub</w:t>
            </w:r>
          </w:p>
        </w:tc>
        <w:tc>
          <w:tcPr>
            <w:tcW w:type="dxa" w:w="3475"/>
            <w:shd w:fill="D9EAF7"/>
            <w:vAlign w:val="center"/>
          </w:tcPr>
          <w:p>
            <w:r/>
            <w:r>
              <w:rPr>
                <w:rFonts w:ascii="Arial" w:hAnsi="Arial"/>
                <w:b/>
                <w:sz w:val="16"/>
                <w:rFonts w:ascii="Arial" w:hAnsi="Arial" w:eastAsia="Arial"/>
              </w:rPr>
              <w:t>Peak status</w:t>
            </w:r>
          </w:p>
        </w:tc>
        <w:tc>
          <w:tcPr>
            <w:tcW w:type="dxa" w:w="3475"/>
            <w:shd w:fill="D9EAF7"/>
            <w:vAlign w:val="center"/>
          </w:tcPr>
          <w:p>
            <w:r/>
            <w:r>
              <w:rPr>
                <w:rFonts w:ascii="Arial" w:hAnsi="Arial"/>
                <w:b/>
                <w:sz w:val="16"/>
                <w:rFonts w:ascii="Arial" w:hAnsi="Arial" w:eastAsia="Arial"/>
              </w:rPr>
              <w:t>Recommendation</w:t>
            </w:r>
          </w:p>
        </w:tc>
      </w:tr>
      <w:tr>
        <w:tc>
          <w:tcPr>
            <w:tcW w:type="dxa" w:w="3475"/>
            <w:vAlign w:val="center"/>
          </w:tcPr>
          <w:p>
            <w:r/>
            <w:r>
              <w:rPr>
                <w:rFonts w:ascii="Arial" w:hAnsi="Arial"/>
                <w:b w:val="0"/>
                <w:sz w:val="16"/>
                <w:rFonts w:ascii="Arial" w:hAnsi="Arial" w:eastAsia="Arial"/>
              </w:rPr>
              <w:t>Gyeonggi Hub</w:t>
            </w:r>
          </w:p>
        </w:tc>
        <w:tc>
          <w:tcPr>
            <w:tcW w:type="dxa" w:w="3475"/>
            <w:vAlign w:val="center"/>
          </w:tcPr>
          <w:p>
            <w:r/>
            <w:r>
              <w:rPr>
                <w:rFonts w:ascii="Arial" w:hAnsi="Arial"/>
                <w:b w:val="0"/>
                <w:sz w:val="16"/>
                <w:rFonts w:ascii="Arial" w:hAnsi="Arial" w:eastAsia="Arial"/>
              </w:rPr>
              <w:t>Critical in peak month</w:t>
            </w:r>
          </w:p>
        </w:tc>
        <w:tc>
          <w:tcPr>
            <w:tcW w:type="dxa" w:w="3475"/>
            <w:vAlign w:val="center"/>
          </w:tcPr>
          <w:p>
            <w:r/>
            <w:r>
              <w:rPr>
                <w:rFonts w:ascii="Arial" w:hAnsi="Arial"/>
                <w:b w:val="0"/>
                <w:sz w:val="16"/>
                <w:rFonts w:ascii="Arial" w:hAnsi="Arial" w:eastAsia="Arial"/>
              </w:rPr>
              <w:t>Reserve 80k-100k pallet-equivalent monthly overflow capacity or pre-position outside metro peak window.</w:t>
            </w:r>
          </w:p>
        </w:tc>
      </w:tr>
      <w:tr>
        <w:tc>
          <w:tcPr>
            <w:tcW w:type="dxa" w:w="3475"/>
            <w:vAlign w:val="center"/>
          </w:tcPr>
          <w:p>
            <w:r/>
            <w:r>
              <w:rPr>
                <w:rFonts w:ascii="Arial" w:hAnsi="Arial"/>
                <w:b w:val="0"/>
                <w:sz w:val="16"/>
                <w:rFonts w:ascii="Arial" w:hAnsi="Arial" w:eastAsia="Arial"/>
              </w:rPr>
              <w:t>Daejeon/Chungcheong Hub</w:t>
            </w:r>
          </w:p>
        </w:tc>
        <w:tc>
          <w:tcPr>
            <w:tcW w:type="dxa" w:w="3475"/>
            <w:vAlign w:val="center"/>
          </w:tcPr>
          <w:p>
            <w:r/>
            <w:r>
              <w:rPr>
                <w:rFonts w:ascii="Arial" w:hAnsi="Arial"/>
                <w:b w:val="0"/>
                <w:sz w:val="16"/>
                <w:rFonts w:ascii="Arial" w:hAnsi="Arial" w:eastAsia="Arial"/>
              </w:rPr>
              <w:t>Peak watchlist</w:t>
            </w:r>
          </w:p>
        </w:tc>
        <w:tc>
          <w:tcPr>
            <w:tcW w:type="dxa" w:w="3475"/>
            <w:vAlign w:val="center"/>
          </w:tcPr>
          <w:p>
            <w:r/>
            <w:r>
              <w:rPr>
                <w:rFonts w:ascii="Arial" w:hAnsi="Arial"/>
                <w:b w:val="0"/>
                <w:sz w:val="16"/>
                <w:rFonts w:ascii="Arial" w:hAnsi="Arial" w:eastAsia="Arial"/>
              </w:rPr>
              <w:t>Use as balancing hub but avoid assigning all overflow from Gyeonggi during peak.</w:t>
            </w:r>
          </w:p>
        </w:tc>
      </w:tr>
      <w:tr>
        <w:tc>
          <w:tcPr>
            <w:tcW w:type="dxa" w:w="3475"/>
            <w:vAlign w:val="center"/>
          </w:tcPr>
          <w:p>
            <w:r/>
            <w:r>
              <w:rPr>
                <w:rFonts w:ascii="Arial" w:hAnsi="Arial"/>
                <w:b w:val="0"/>
                <w:sz w:val="16"/>
                <w:rFonts w:ascii="Arial" w:hAnsi="Arial" w:eastAsia="Arial"/>
              </w:rPr>
              <w:t>Busan Hub</w:t>
            </w:r>
          </w:p>
        </w:tc>
        <w:tc>
          <w:tcPr>
            <w:tcW w:type="dxa" w:w="3475"/>
            <w:vAlign w:val="center"/>
          </w:tcPr>
          <w:p>
            <w:r/>
            <w:r>
              <w:rPr>
                <w:rFonts w:ascii="Arial" w:hAnsi="Arial"/>
                <w:b w:val="0"/>
                <w:sz w:val="16"/>
                <w:rFonts w:ascii="Arial" w:hAnsi="Arial" w:eastAsia="Arial"/>
              </w:rPr>
              <w:t>Healthy capacity</w:t>
            </w:r>
          </w:p>
        </w:tc>
        <w:tc>
          <w:tcPr>
            <w:tcW w:type="dxa" w:w="3475"/>
            <w:vAlign w:val="center"/>
          </w:tcPr>
          <w:p>
            <w:r/>
            <w:r>
              <w:rPr>
                <w:rFonts w:ascii="Arial" w:hAnsi="Arial"/>
                <w:b w:val="0"/>
                <w:sz w:val="16"/>
                <w:rFonts w:ascii="Arial" w:hAnsi="Arial" w:eastAsia="Arial"/>
              </w:rPr>
              <w:t>Can absorb southern seasonal demand and some port/export-related peak.</w:t>
            </w:r>
          </w:p>
        </w:tc>
      </w:tr>
      <w:tr>
        <w:tc>
          <w:tcPr>
            <w:tcW w:type="dxa" w:w="3475"/>
            <w:vAlign w:val="center"/>
          </w:tcPr>
          <w:p>
            <w:r/>
            <w:r>
              <w:rPr>
                <w:rFonts w:ascii="Arial" w:hAnsi="Arial"/>
                <w:b w:val="0"/>
                <w:sz w:val="16"/>
                <w:rFonts w:ascii="Arial" w:hAnsi="Arial" w:eastAsia="Arial"/>
              </w:rPr>
              <w:t>Daegu/Gyeongbuk Hub</w:t>
            </w:r>
          </w:p>
        </w:tc>
        <w:tc>
          <w:tcPr>
            <w:tcW w:type="dxa" w:w="3475"/>
            <w:vAlign w:val="center"/>
          </w:tcPr>
          <w:p>
            <w:r/>
            <w:r>
              <w:rPr>
                <w:rFonts w:ascii="Arial" w:hAnsi="Arial"/>
                <w:b w:val="0"/>
                <w:sz w:val="16"/>
                <w:rFonts w:ascii="Arial" w:hAnsi="Arial" w:eastAsia="Arial"/>
              </w:rPr>
              <w:t>Healthy capacity</w:t>
            </w:r>
          </w:p>
        </w:tc>
        <w:tc>
          <w:tcPr>
            <w:tcW w:type="dxa" w:w="3475"/>
            <w:vAlign w:val="center"/>
          </w:tcPr>
          <w:p>
            <w:r/>
            <w:r>
              <w:rPr>
                <w:rFonts w:ascii="Arial" w:hAnsi="Arial"/>
                <w:b w:val="0"/>
                <w:sz w:val="16"/>
                <w:rFonts w:ascii="Arial" w:hAnsi="Arial" w:eastAsia="Arial"/>
              </w:rPr>
              <w:t>Can serve inland industrial peak with limited temporary capacity.</w:t>
            </w:r>
          </w:p>
        </w:tc>
      </w:tr>
      <w:tr>
        <w:tc>
          <w:tcPr>
            <w:tcW w:type="dxa" w:w="3475"/>
            <w:vAlign w:val="center"/>
          </w:tcPr>
          <w:p>
            <w:r/>
            <w:r>
              <w:rPr>
                <w:rFonts w:ascii="Arial" w:hAnsi="Arial"/>
                <w:b w:val="0"/>
                <w:sz w:val="16"/>
                <w:rFonts w:ascii="Arial" w:hAnsi="Arial" w:eastAsia="Arial"/>
              </w:rPr>
              <w:t>Gwangju/Jeolla Hub</w:t>
            </w:r>
          </w:p>
        </w:tc>
        <w:tc>
          <w:tcPr>
            <w:tcW w:type="dxa" w:w="3475"/>
            <w:vAlign w:val="center"/>
          </w:tcPr>
          <w:p>
            <w:r/>
            <w:r>
              <w:rPr>
                <w:rFonts w:ascii="Arial" w:hAnsi="Arial"/>
                <w:b w:val="0"/>
                <w:sz w:val="16"/>
                <w:rFonts w:ascii="Arial" w:hAnsi="Arial" w:eastAsia="Arial"/>
              </w:rPr>
              <w:t>Peak watchlist</w:t>
            </w:r>
          </w:p>
        </w:tc>
        <w:tc>
          <w:tcPr>
            <w:tcW w:type="dxa" w:w="3475"/>
            <w:vAlign w:val="center"/>
          </w:tcPr>
          <w:p>
            <w:r/>
            <w:r>
              <w:rPr>
                <w:rFonts w:ascii="Arial" w:hAnsi="Arial"/>
                <w:b w:val="0"/>
                <w:sz w:val="16"/>
                <w:rFonts w:ascii="Arial" w:hAnsi="Arial" w:eastAsia="Arial"/>
              </w:rPr>
              <w:t>Reserve small 3PL overflow or use cross-dock for Jeju staging.</w:t>
            </w:r>
          </w:p>
        </w:tc>
      </w:tr>
    </w:tbl>
    <w:p/>
    <w:p>
      <w:pPr>
        <w:pStyle w:val="Heading1"/>
      </w:pPr>
      <w:r>
        <w:t>12. Product Engine Output và Dashboard Requirements</w:t>
      </w:r>
    </w:p>
    <w:p>
      <w:pPr>
        <w:pStyle w:val="Heading2"/>
      </w:pPr>
      <w:r>
        <w:t>12.1. Product output objects</w:t>
      </w:r>
    </w:p>
    <w:p>
      <w:r>
        <w:rPr>
          <w:b/>
          <w:sz w:val="20"/>
        </w:rPr>
        <w:t>Bảng 17. Product output objects</w:t>
      </w:r>
    </w:p>
    <w:tbl>
      <w:tblPr>
        <w:tblStyle w:val="TableGrid"/>
        <w:tblW w:type="auto" w:w="0"/>
        <w:jc w:val="center"/>
        <w:tblLook w:firstColumn="1" w:firstRow="1" w:lastColumn="0" w:lastRow="0" w:noHBand="0" w:noVBand="1" w:val="04A0"/>
      </w:tblPr>
      <w:tblGrid>
        <w:gridCol w:w="5213"/>
        <w:gridCol w:w="5213"/>
      </w:tblGrid>
      <w:tr>
        <w:tc>
          <w:tcPr>
            <w:tcW w:type="dxa" w:w="5213"/>
            <w:shd w:fill="D9EAF7"/>
            <w:vAlign w:val="center"/>
          </w:tcPr>
          <w:p>
            <w:r/>
            <w:r>
              <w:rPr>
                <w:rFonts w:ascii="Arial" w:hAnsi="Arial"/>
                <w:b/>
                <w:sz w:val="16"/>
                <w:rFonts w:ascii="Arial" w:hAnsi="Arial" w:eastAsia="Arial"/>
              </w:rPr>
              <w:t>Output object</w:t>
            </w:r>
          </w:p>
        </w:tc>
        <w:tc>
          <w:tcPr>
            <w:tcW w:type="dxa" w:w="5213"/>
            <w:shd w:fill="D9EAF7"/>
            <w:vAlign w:val="center"/>
          </w:tcPr>
          <w:p>
            <w:r/>
            <w:r>
              <w:rPr>
                <w:rFonts w:ascii="Arial" w:hAnsi="Arial"/>
                <w:b/>
                <w:sz w:val="16"/>
                <w:rFonts w:ascii="Arial" w:hAnsi="Arial" w:eastAsia="Arial"/>
              </w:rPr>
              <w:t>Content</w:t>
            </w:r>
          </w:p>
        </w:tc>
      </w:tr>
      <w:tr>
        <w:tc>
          <w:tcPr>
            <w:tcW w:type="dxa" w:w="5213"/>
            <w:vAlign w:val="center"/>
          </w:tcPr>
          <w:p>
            <w:r/>
            <w:r>
              <w:rPr>
                <w:rFonts w:ascii="Arial" w:hAnsi="Arial"/>
                <w:b w:val="0"/>
                <w:sz w:val="16"/>
                <w:rFonts w:ascii="Arial" w:hAnsi="Arial" w:eastAsia="Arial"/>
              </w:rPr>
              <w:t>Network baseline</w:t>
            </w:r>
          </w:p>
        </w:tc>
        <w:tc>
          <w:tcPr>
            <w:tcW w:type="dxa" w:w="5213"/>
            <w:vAlign w:val="center"/>
          </w:tcPr>
          <w:p>
            <w:r/>
            <w:r>
              <w:rPr>
                <w:rFonts w:ascii="Arial" w:hAnsi="Arial"/>
                <w:b w:val="0"/>
                <w:sz w:val="16"/>
                <w:rFonts w:ascii="Arial" w:hAnsi="Arial" w:eastAsia="Arial"/>
              </w:rPr>
              <w:t>Current cost, current utilization, current allocation, current high-cost lanes</w:t>
            </w:r>
          </w:p>
        </w:tc>
      </w:tr>
      <w:tr>
        <w:tc>
          <w:tcPr>
            <w:tcW w:type="dxa" w:w="5213"/>
            <w:vAlign w:val="center"/>
          </w:tcPr>
          <w:p>
            <w:r/>
            <w:r>
              <w:rPr>
                <w:rFonts w:ascii="Arial" w:hAnsi="Arial"/>
                <w:b w:val="0"/>
                <w:sz w:val="16"/>
                <w:rFonts w:ascii="Arial" w:hAnsi="Arial" w:eastAsia="Arial"/>
              </w:rPr>
              <w:t>Demand profile</w:t>
            </w:r>
          </w:p>
        </w:tc>
        <w:tc>
          <w:tcPr>
            <w:tcW w:type="dxa" w:w="5213"/>
            <w:vAlign w:val="center"/>
          </w:tcPr>
          <w:p>
            <w:r/>
            <w:r>
              <w:rPr>
                <w:rFonts w:ascii="Arial" w:hAnsi="Arial"/>
                <w:b w:val="0"/>
                <w:sz w:val="16"/>
                <w:rFonts w:ascii="Arial" w:hAnsi="Arial" w:eastAsia="Arial"/>
              </w:rPr>
              <w:t>17-region demand, seasonal demand index, peak month forecast</w:t>
            </w:r>
          </w:p>
        </w:tc>
      </w:tr>
      <w:tr>
        <w:tc>
          <w:tcPr>
            <w:tcW w:type="dxa" w:w="5213"/>
            <w:vAlign w:val="center"/>
          </w:tcPr>
          <w:p>
            <w:r/>
            <w:r>
              <w:rPr>
                <w:rFonts w:ascii="Arial" w:hAnsi="Arial"/>
                <w:b w:val="0"/>
                <w:sz w:val="16"/>
                <w:rFonts w:ascii="Arial" w:hAnsi="Arial" w:eastAsia="Arial"/>
              </w:rPr>
              <w:t>Hub recommendation</w:t>
            </w:r>
          </w:p>
        </w:tc>
        <w:tc>
          <w:tcPr>
            <w:tcW w:type="dxa" w:w="5213"/>
            <w:vAlign w:val="center"/>
          </w:tcPr>
          <w:p>
            <w:r/>
            <w:r>
              <w:rPr>
                <w:rFonts w:ascii="Arial" w:hAnsi="Arial"/>
                <w:b w:val="0"/>
                <w:sz w:val="16"/>
                <w:rFonts w:ascii="Arial" w:hAnsi="Arial" w:eastAsia="Arial"/>
              </w:rPr>
              <w:t>Selected hubs, roles, fixed cost, capacity, reason selected</w:t>
            </w:r>
          </w:p>
        </w:tc>
      </w:tr>
      <w:tr>
        <w:tc>
          <w:tcPr>
            <w:tcW w:type="dxa" w:w="5213"/>
            <w:vAlign w:val="center"/>
          </w:tcPr>
          <w:p>
            <w:r/>
            <w:r>
              <w:rPr>
                <w:rFonts w:ascii="Arial" w:hAnsi="Arial"/>
                <w:b w:val="0"/>
                <w:sz w:val="16"/>
                <w:rFonts w:ascii="Arial" w:hAnsi="Arial" w:eastAsia="Arial"/>
              </w:rPr>
              <w:t>Allocation plan</w:t>
            </w:r>
          </w:p>
        </w:tc>
        <w:tc>
          <w:tcPr>
            <w:tcW w:type="dxa" w:w="5213"/>
            <w:vAlign w:val="center"/>
          </w:tcPr>
          <w:p>
            <w:r/>
            <w:r>
              <w:rPr>
                <w:rFonts w:ascii="Arial" w:hAnsi="Arial"/>
                <w:b w:val="0"/>
                <w:sz w:val="16"/>
                <w:rFonts w:ascii="Arial" w:hAnsi="Arial" w:eastAsia="Arial"/>
              </w:rPr>
              <w:t>Each region assigned to hub, reason, expected distance/cost impact</w:t>
            </w:r>
          </w:p>
        </w:tc>
      </w:tr>
      <w:tr>
        <w:tc>
          <w:tcPr>
            <w:tcW w:type="dxa" w:w="5213"/>
            <w:vAlign w:val="center"/>
          </w:tcPr>
          <w:p>
            <w:r/>
            <w:r>
              <w:rPr>
                <w:rFonts w:ascii="Arial" w:hAnsi="Arial"/>
                <w:b w:val="0"/>
                <w:sz w:val="16"/>
                <w:rFonts w:ascii="Arial" w:hAnsi="Arial" w:eastAsia="Arial"/>
              </w:rPr>
              <w:t>Scenario comparison</w:t>
            </w:r>
          </w:p>
        </w:tc>
        <w:tc>
          <w:tcPr>
            <w:tcW w:type="dxa" w:w="5213"/>
            <w:vAlign w:val="center"/>
          </w:tcPr>
          <w:p>
            <w:r/>
            <w:r>
              <w:rPr>
                <w:rFonts w:ascii="Arial" w:hAnsi="Arial"/>
                <w:b w:val="0"/>
                <w:sz w:val="16"/>
                <w:rFonts w:ascii="Arial" w:hAnsi="Arial" w:eastAsia="Arial"/>
              </w:rPr>
              <w:t>Cost, coverage, utilization, seasonal risk, complexity by scenario</w:t>
            </w:r>
          </w:p>
        </w:tc>
      </w:tr>
      <w:tr>
        <w:tc>
          <w:tcPr>
            <w:tcW w:type="dxa" w:w="5213"/>
            <w:vAlign w:val="center"/>
          </w:tcPr>
          <w:p>
            <w:r/>
            <w:r>
              <w:rPr>
                <w:rFonts w:ascii="Arial" w:hAnsi="Arial"/>
                <w:b w:val="0"/>
                <w:sz w:val="16"/>
                <w:rFonts w:ascii="Arial" w:hAnsi="Arial" w:eastAsia="Arial"/>
              </w:rPr>
              <w:t>Seasonal plan</w:t>
            </w:r>
          </w:p>
        </w:tc>
        <w:tc>
          <w:tcPr>
            <w:tcW w:type="dxa" w:w="5213"/>
            <w:vAlign w:val="center"/>
          </w:tcPr>
          <w:p>
            <w:r/>
            <w:r>
              <w:rPr>
                <w:rFonts w:ascii="Arial" w:hAnsi="Arial"/>
                <w:b w:val="0"/>
                <w:sz w:val="16"/>
                <w:rFonts w:ascii="Arial" w:hAnsi="Arial" w:eastAsia="Arial"/>
              </w:rPr>
              <w:t>Peak-month capacity gap, temporary capacity, pre-positioning recommendation</w:t>
            </w:r>
          </w:p>
        </w:tc>
      </w:tr>
      <w:tr>
        <w:tc>
          <w:tcPr>
            <w:tcW w:type="dxa" w:w="5213"/>
            <w:vAlign w:val="center"/>
          </w:tcPr>
          <w:p>
            <w:r/>
            <w:r>
              <w:rPr>
                <w:rFonts w:ascii="Arial" w:hAnsi="Arial"/>
                <w:b w:val="0"/>
                <w:sz w:val="16"/>
                <w:rFonts w:ascii="Arial" w:hAnsi="Arial" w:eastAsia="Arial"/>
              </w:rPr>
              <w:t>Business case</w:t>
            </w:r>
          </w:p>
        </w:tc>
        <w:tc>
          <w:tcPr>
            <w:tcW w:type="dxa" w:w="5213"/>
            <w:vAlign w:val="center"/>
          </w:tcPr>
          <w:p>
            <w:r/>
            <w:r>
              <w:rPr>
                <w:rFonts w:ascii="Arial" w:hAnsi="Arial"/>
                <w:b w:val="0"/>
                <w:sz w:val="16"/>
                <w:rFonts w:ascii="Arial" w:hAnsi="Arial" w:eastAsia="Arial"/>
              </w:rPr>
              <w:t>Executive summary, financial impact, implementation roadmap, assumptions</w:t>
            </w:r>
          </w:p>
        </w:tc>
      </w:tr>
    </w:tbl>
    <w:p/>
    <w:p>
      <w:pPr>
        <w:pStyle w:val="Heading2"/>
      </w:pPr>
      <w:r>
        <w:t>12.2. Dashboard screens cần có</w:t>
      </w:r>
    </w:p>
    <w:p>
      <w:pPr>
        <w:ind w:left="360" w:hanging="259"/>
      </w:pPr>
      <w:r>
        <w:rPr>
          <w:rFonts w:ascii="Arial" w:hAnsi="Arial"/>
          <w:sz w:val="19"/>
        </w:rPr>
        <w:t>1.  Executive Overview: total cost, projected savings, coverage, utilization, seasonal risk.</w:t>
      </w:r>
    </w:p>
    <w:p>
      <w:pPr>
        <w:ind w:left="360" w:hanging="259"/>
      </w:pPr>
      <w:r>
        <w:rPr>
          <w:rFonts w:ascii="Arial" w:hAnsi="Arial"/>
          <w:sz w:val="19"/>
        </w:rPr>
        <w:t>2.  Network Map: demand heatmap, current hubs, selected hubs, assignment zones, high-cost lanes.</w:t>
      </w:r>
    </w:p>
    <w:p>
      <w:pPr>
        <w:ind w:left="360" w:hanging="259"/>
      </w:pPr>
      <w:r>
        <w:rPr>
          <w:rFonts w:ascii="Arial" w:hAnsi="Arial"/>
          <w:sz w:val="19"/>
        </w:rPr>
        <w:t>3.  Demand Page: 17-region demand, monthly/seasonal forecast, demand clusters.</w:t>
      </w:r>
    </w:p>
    <w:p>
      <w:pPr>
        <w:ind w:left="360" w:hanging="259"/>
      </w:pPr>
      <w:r>
        <w:rPr>
          <w:rFonts w:ascii="Arial" w:hAnsi="Arial"/>
          <w:sz w:val="19"/>
        </w:rPr>
        <w:t>4.  Cost Page: transport cost, warehouse cost, handling cost, penalty cost by scenario.</w:t>
      </w:r>
    </w:p>
    <w:p>
      <w:pPr>
        <w:ind w:left="360" w:hanging="259"/>
      </w:pPr>
      <w:r>
        <w:rPr>
          <w:rFonts w:ascii="Arial" w:hAnsi="Arial"/>
          <w:sz w:val="19"/>
        </w:rPr>
        <w:t>5.  Optimizer Page: objective, constraints, model type, solver status, selected hubs.</w:t>
      </w:r>
    </w:p>
    <w:p>
      <w:pPr>
        <w:ind w:left="360" w:hanging="259"/>
      </w:pPr>
      <w:r>
        <w:rPr>
          <w:rFonts w:ascii="Arial" w:hAnsi="Arial"/>
          <w:sz w:val="19"/>
        </w:rPr>
        <w:t>6.  Scenario Page: current vs S1/S2/S3/S4/S5/S6 comparison.</w:t>
      </w:r>
    </w:p>
    <w:p>
      <w:pPr>
        <w:ind w:left="360" w:hanging="259"/>
      </w:pPr>
      <w:r>
        <w:rPr>
          <w:rFonts w:ascii="Arial" w:hAnsi="Arial"/>
          <w:sz w:val="19"/>
        </w:rPr>
        <w:t>7.  Hub Detail Page: capacity, utilization, assigned regions, peak risk, recommended action.</w:t>
      </w:r>
    </w:p>
    <w:p>
      <w:pPr>
        <w:ind w:left="360" w:hanging="259"/>
      </w:pPr>
      <w:r>
        <w:rPr>
          <w:rFonts w:ascii="Arial" w:hAnsi="Arial"/>
          <w:sz w:val="19"/>
        </w:rPr>
        <w:t>8.  Business Case Page: auto-generated strategy document for management approval.</w:t>
      </w:r>
    </w:p>
    <w:p>
      <w:pPr>
        <w:pStyle w:val="Heading1"/>
      </w:pPr>
      <w:r>
        <w:t>13. Research &amp; Product Roadmap</w:t>
      </w:r>
    </w:p>
    <w:p>
      <w:r>
        <w:rPr>
          <w:b/>
          <w:sz w:val="20"/>
        </w:rPr>
        <w:t>Bảng 18. Research and product roadmap</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Phase</w:t>
            </w:r>
          </w:p>
        </w:tc>
        <w:tc>
          <w:tcPr>
            <w:tcW w:type="dxa" w:w="3475"/>
            <w:shd w:fill="D9EAF7"/>
            <w:vAlign w:val="center"/>
          </w:tcPr>
          <w:p>
            <w:r/>
            <w:r>
              <w:rPr>
                <w:rFonts w:ascii="Arial" w:hAnsi="Arial"/>
                <w:b/>
                <w:sz w:val="16"/>
                <w:rFonts w:ascii="Arial" w:hAnsi="Arial" w:eastAsia="Arial"/>
              </w:rPr>
              <w:t>Timing</w:t>
            </w:r>
          </w:p>
        </w:tc>
        <w:tc>
          <w:tcPr>
            <w:tcW w:type="dxa" w:w="3475"/>
            <w:shd w:fill="D9EAF7"/>
            <w:vAlign w:val="center"/>
          </w:tcPr>
          <w:p>
            <w:r/>
            <w:r>
              <w:rPr>
                <w:rFonts w:ascii="Arial" w:hAnsi="Arial"/>
                <w:b/>
                <w:sz w:val="16"/>
                <w:rFonts w:ascii="Arial" w:hAnsi="Arial" w:eastAsia="Arial"/>
              </w:rPr>
              <w:t>Deliverable</w:t>
            </w:r>
          </w:p>
        </w:tc>
      </w:tr>
      <w:tr>
        <w:tc>
          <w:tcPr>
            <w:tcW w:type="dxa" w:w="3475"/>
            <w:vAlign w:val="center"/>
          </w:tcPr>
          <w:p>
            <w:r/>
            <w:r>
              <w:rPr>
                <w:rFonts w:ascii="Arial" w:hAnsi="Arial"/>
                <w:b w:val="0"/>
                <w:sz w:val="16"/>
                <w:rFonts w:ascii="Arial" w:hAnsi="Arial" w:eastAsia="Arial"/>
              </w:rPr>
              <w:t>Phase 0: Research prototype</w:t>
            </w:r>
          </w:p>
        </w:tc>
        <w:tc>
          <w:tcPr>
            <w:tcW w:type="dxa" w:w="3475"/>
            <w:vAlign w:val="center"/>
          </w:tcPr>
          <w:p>
            <w:r/>
            <w:r>
              <w:rPr>
                <w:rFonts w:ascii="Arial" w:hAnsi="Arial"/>
                <w:b w:val="0"/>
                <w:sz w:val="16"/>
                <w:rFonts w:ascii="Arial" w:hAnsi="Arial" w:eastAsia="Arial"/>
              </w:rPr>
              <w:t>Now to midterm</w:t>
            </w:r>
          </w:p>
        </w:tc>
        <w:tc>
          <w:tcPr>
            <w:tcW w:type="dxa" w:w="3475"/>
            <w:vAlign w:val="center"/>
          </w:tcPr>
          <w:p>
            <w:r/>
            <w:r>
              <w:rPr>
                <w:rFonts w:ascii="Arial" w:hAnsi="Arial"/>
                <w:b w:val="0"/>
                <w:sz w:val="16"/>
                <w:rFonts w:ascii="Arial" w:hAnsi="Arial" w:eastAsia="Arial"/>
              </w:rPr>
              <w:t>Clean data, create O/D matrix, run P-median/UFLP, produce scenario output.</w:t>
            </w:r>
          </w:p>
        </w:tc>
      </w:tr>
      <w:tr>
        <w:tc>
          <w:tcPr>
            <w:tcW w:type="dxa" w:w="3475"/>
            <w:vAlign w:val="center"/>
          </w:tcPr>
          <w:p>
            <w:r/>
            <w:r>
              <w:rPr>
                <w:rFonts w:ascii="Arial" w:hAnsi="Arial"/>
                <w:b w:val="0"/>
                <w:sz w:val="16"/>
                <w:rFonts w:ascii="Arial" w:hAnsi="Arial" w:eastAsia="Arial"/>
              </w:rPr>
              <w:t>Phase 1: Engine v1</w:t>
            </w:r>
          </w:p>
        </w:tc>
        <w:tc>
          <w:tcPr>
            <w:tcW w:type="dxa" w:w="3475"/>
            <w:vAlign w:val="center"/>
          </w:tcPr>
          <w:p>
            <w:r/>
            <w:r>
              <w:rPr>
                <w:rFonts w:ascii="Arial" w:hAnsi="Arial"/>
                <w:b w:val="0"/>
                <w:sz w:val="16"/>
                <w:rFonts w:ascii="Arial" w:hAnsi="Arial" w:eastAsia="Arial"/>
              </w:rPr>
              <w:t>Midterm</w:t>
            </w:r>
          </w:p>
        </w:tc>
        <w:tc>
          <w:tcPr>
            <w:tcW w:type="dxa" w:w="3475"/>
            <w:vAlign w:val="center"/>
          </w:tcPr>
          <w:p>
            <w:r/>
            <w:r>
              <w:rPr>
                <w:rFonts w:ascii="Arial" w:hAnsi="Arial"/>
                <w:b w:val="0"/>
                <w:sz w:val="16"/>
                <w:rFonts w:ascii="Arial" w:hAnsi="Arial" w:eastAsia="Arial"/>
              </w:rPr>
              <w:t>Demand table, candidate hubs, cost matrix, selected hubs, allocation result.</w:t>
            </w:r>
          </w:p>
        </w:tc>
      </w:tr>
      <w:tr>
        <w:tc>
          <w:tcPr>
            <w:tcW w:type="dxa" w:w="3475"/>
            <w:vAlign w:val="center"/>
          </w:tcPr>
          <w:p>
            <w:r/>
            <w:r>
              <w:rPr>
                <w:rFonts w:ascii="Arial" w:hAnsi="Arial"/>
                <w:b w:val="0"/>
                <w:sz w:val="16"/>
                <w:rFonts w:ascii="Arial" w:hAnsi="Arial" w:eastAsia="Arial"/>
              </w:rPr>
              <w:t>Phase 2: Product prototype</w:t>
            </w:r>
          </w:p>
        </w:tc>
        <w:tc>
          <w:tcPr>
            <w:tcW w:type="dxa" w:w="3475"/>
            <w:vAlign w:val="center"/>
          </w:tcPr>
          <w:p>
            <w:r/>
            <w:r>
              <w:rPr>
                <w:rFonts w:ascii="Arial" w:hAnsi="Arial"/>
                <w:b w:val="0"/>
                <w:sz w:val="16"/>
                <w:rFonts w:ascii="Arial" w:hAnsi="Arial" w:eastAsia="Arial"/>
              </w:rPr>
              <w:t>After midterm</w:t>
            </w:r>
          </w:p>
        </w:tc>
        <w:tc>
          <w:tcPr>
            <w:tcW w:type="dxa" w:w="3475"/>
            <w:vAlign w:val="center"/>
          </w:tcPr>
          <w:p>
            <w:r/>
            <w:r>
              <w:rPr>
                <w:rFonts w:ascii="Arial" w:hAnsi="Arial"/>
                <w:b w:val="0"/>
                <w:sz w:val="16"/>
                <w:rFonts w:ascii="Arial" w:hAnsi="Arial" w:eastAsia="Arial"/>
              </w:rPr>
              <w:t>Dashboard, map, scenario comparison, recommendation layer.</w:t>
            </w:r>
          </w:p>
        </w:tc>
      </w:tr>
      <w:tr>
        <w:tc>
          <w:tcPr>
            <w:tcW w:type="dxa" w:w="3475"/>
            <w:vAlign w:val="center"/>
          </w:tcPr>
          <w:p>
            <w:r/>
            <w:r>
              <w:rPr>
                <w:rFonts w:ascii="Arial" w:hAnsi="Arial"/>
                <w:b w:val="0"/>
                <w:sz w:val="16"/>
                <w:rFonts w:ascii="Arial" w:hAnsi="Arial" w:eastAsia="Arial"/>
              </w:rPr>
              <w:t>Phase 3: Seasonal extension</w:t>
            </w:r>
          </w:p>
        </w:tc>
        <w:tc>
          <w:tcPr>
            <w:tcW w:type="dxa" w:w="3475"/>
            <w:vAlign w:val="center"/>
          </w:tcPr>
          <w:p>
            <w:r/>
            <w:r>
              <w:rPr>
                <w:rFonts w:ascii="Arial" w:hAnsi="Arial"/>
                <w:b w:val="0"/>
                <w:sz w:val="16"/>
                <w:rFonts w:ascii="Arial" w:hAnsi="Arial" w:eastAsia="Arial"/>
              </w:rPr>
              <w:t>Final</w:t>
            </w:r>
          </w:p>
        </w:tc>
        <w:tc>
          <w:tcPr>
            <w:tcW w:type="dxa" w:w="3475"/>
            <w:vAlign w:val="center"/>
          </w:tcPr>
          <w:p>
            <w:r/>
            <w:r>
              <w:rPr>
                <w:rFonts w:ascii="Arial" w:hAnsi="Arial"/>
                <w:b w:val="0"/>
                <w:sz w:val="16"/>
                <w:rFonts w:ascii="Arial" w:hAnsi="Arial" w:eastAsia="Arial"/>
              </w:rPr>
              <w:t>Monthly demand, peak utilization, temporary capacity scenario.</w:t>
            </w:r>
          </w:p>
        </w:tc>
      </w:tr>
      <w:tr>
        <w:tc>
          <w:tcPr>
            <w:tcW w:type="dxa" w:w="3475"/>
            <w:vAlign w:val="center"/>
          </w:tcPr>
          <w:p>
            <w:r/>
            <w:r>
              <w:rPr>
                <w:rFonts w:ascii="Arial" w:hAnsi="Arial"/>
                <w:b w:val="0"/>
                <w:sz w:val="16"/>
                <w:rFonts w:ascii="Arial" w:hAnsi="Arial" w:eastAsia="Arial"/>
              </w:rPr>
              <w:t>Phase 4: Final demo</w:t>
            </w:r>
          </w:p>
        </w:tc>
        <w:tc>
          <w:tcPr>
            <w:tcW w:type="dxa" w:w="3475"/>
            <w:vAlign w:val="center"/>
          </w:tcPr>
          <w:p>
            <w:r/>
            <w:r>
              <w:rPr>
                <w:rFonts w:ascii="Arial" w:hAnsi="Arial"/>
                <w:b w:val="0"/>
                <w:sz w:val="16"/>
                <w:rFonts w:ascii="Arial" w:hAnsi="Arial" w:eastAsia="Arial"/>
              </w:rPr>
              <w:t>Around 20/6</w:t>
            </w:r>
          </w:p>
        </w:tc>
        <w:tc>
          <w:tcPr>
            <w:tcW w:type="dxa" w:w="3475"/>
            <w:vAlign w:val="center"/>
          </w:tcPr>
          <w:p>
            <w:r/>
            <w:r>
              <w:rPr>
                <w:rFonts w:ascii="Arial" w:hAnsi="Arial"/>
                <w:b w:val="0"/>
                <w:sz w:val="16"/>
                <w:rFonts w:ascii="Arial" w:hAnsi="Arial" w:eastAsia="Arial"/>
              </w:rPr>
              <w:t>End-to-end flow: upload data -&gt; optimize -&gt; compare -&gt; recommend -&gt; export business case.</w:t>
            </w:r>
          </w:p>
        </w:tc>
      </w:tr>
    </w:tbl>
    <w:p/>
    <w:p>
      <w:pPr>
        <w:pStyle w:val="Heading1"/>
      </w:pPr>
      <w:r>
        <w:t>14. Team Workplan cho 3 thành viên</w:t>
      </w:r>
    </w:p>
    <w:p>
      <w:r>
        <w:rPr>
          <w:b/>
          <w:sz w:val="20"/>
        </w:rPr>
        <w:t>Bảng 19. Team role split</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Member</w:t>
            </w:r>
          </w:p>
        </w:tc>
        <w:tc>
          <w:tcPr>
            <w:tcW w:type="dxa" w:w="3475"/>
            <w:shd w:fill="D9EAF7"/>
            <w:vAlign w:val="center"/>
          </w:tcPr>
          <w:p>
            <w:r/>
            <w:r>
              <w:rPr>
                <w:rFonts w:ascii="Arial" w:hAnsi="Arial"/>
                <w:b/>
                <w:sz w:val="16"/>
                <w:rFonts w:ascii="Arial" w:hAnsi="Arial" w:eastAsia="Arial"/>
              </w:rPr>
              <w:t>Role</w:t>
            </w:r>
          </w:p>
        </w:tc>
        <w:tc>
          <w:tcPr>
            <w:tcW w:type="dxa" w:w="3475"/>
            <w:shd w:fill="D9EAF7"/>
            <w:vAlign w:val="center"/>
          </w:tcPr>
          <w:p>
            <w:r/>
            <w:r>
              <w:rPr>
                <w:rFonts w:ascii="Arial" w:hAnsi="Arial"/>
                <w:b/>
                <w:sz w:val="16"/>
                <w:rFonts w:ascii="Arial" w:hAnsi="Arial" w:eastAsia="Arial"/>
              </w:rPr>
              <w:t>Responsibilities</w:t>
            </w:r>
          </w:p>
        </w:tc>
      </w:tr>
      <w:tr>
        <w:tc>
          <w:tcPr>
            <w:tcW w:type="dxa" w:w="3475"/>
            <w:vAlign w:val="center"/>
          </w:tcPr>
          <w:p>
            <w:r/>
            <w:r>
              <w:rPr>
                <w:rFonts w:ascii="Arial" w:hAnsi="Arial"/>
                <w:b w:val="0"/>
                <w:sz w:val="16"/>
                <w:rFonts w:ascii="Arial" w:hAnsi="Arial" w:eastAsia="Arial"/>
              </w:rPr>
              <w:t>Person 1</w:t>
            </w:r>
          </w:p>
        </w:tc>
        <w:tc>
          <w:tcPr>
            <w:tcW w:type="dxa" w:w="3475"/>
            <w:vAlign w:val="center"/>
          </w:tcPr>
          <w:p>
            <w:r/>
            <w:r>
              <w:rPr>
                <w:rFonts w:ascii="Arial" w:hAnsi="Arial"/>
                <w:b w:val="0"/>
                <w:sz w:val="16"/>
                <w:rFonts w:ascii="Arial" w:hAnsi="Arial" w:eastAsia="Arial"/>
              </w:rPr>
              <w:t>Data &amp; Logistics Domain Researcher</w:t>
            </w:r>
          </w:p>
        </w:tc>
        <w:tc>
          <w:tcPr>
            <w:tcW w:type="dxa" w:w="3475"/>
            <w:vAlign w:val="center"/>
          </w:tcPr>
          <w:p>
            <w:r/>
            <w:r>
              <w:rPr>
                <w:rFonts w:ascii="Arial" w:hAnsi="Arial"/>
                <w:b w:val="0"/>
                <w:sz w:val="16"/>
                <w:rFonts w:ascii="Arial" w:hAnsi="Arial" w:eastAsia="Arial"/>
              </w:rPr>
              <w:t>Freight O/D, warehouse data, 17-region demand, data dictionary, descriptive analytics.</w:t>
            </w:r>
          </w:p>
        </w:tc>
      </w:tr>
      <w:tr>
        <w:tc>
          <w:tcPr>
            <w:tcW w:type="dxa" w:w="3475"/>
            <w:vAlign w:val="center"/>
          </w:tcPr>
          <w:p>
            <w:r/>
            <w:r>
              <w:rPr>
                <w:rFonts w:ascii="Arial" w:hAnsi="Arial"/>
                <w:b w:val="0"/>
                <w:sz w:val="16"/>
                <w:rFonts w:ascii="Arial" w:hAnsi="Arial" w:eastAsia="Arial"/>
              </w:rPr>
              <w:t>Person 2</w:t>
            </w:r>
          </w:p>
        </w:tc>
        <w:tc>
          <w:tcPr>
            <w:tcW w:type="dxa" w:w="3475"/>
            <w:vAlign w:val="center"/>
          </w:tcPr>
          <w:p>
            <w:r/>
            <w:r>
              <w:rPr>
                <w:rFonts w:ascii="Arial" w:hAnsi="Arial"/>
                <w:b w:val="0"/>
                <w:sz w:val="16"/>
                <w:rFonts w:ascii="Arial" w:hAnsi="Arial" w:eastAsia="Arial"/>
              </w:rPr>
              <w:t>Optimization Engine Researcher</w:t>
            </w:r>
          </w:p>
        </w:tc>
        <w:tc>
          <w:tcPr>
            <w:tcW w:type="dxa" w:w="3475"/>
            <w:vAlign w:val="center"/>
          </w:tcPr>
          <w:p>
            <w:r/>
            <w:r>
              <w:rPr>
                <w:rFonts w:ascii="Arial" w:hAnsi="Arial"/>
                <w:b w:val="0"/>
                <w:sz w:val="16"/>
                <w:rFonts w:ascii="Arial" w:hAnsi="Arial" w:eastAsia="Arial"/>
              </w:rPr>
              <w:t>P-median, UFLP, CFLP, seasonal extension, Python solver, scenario results.</w:t>
            </w:r>
          </w:p>
        </w:tc>
      </w:tr>
      <w:tr>
        <w:tc>
          <w:tcPr>
            <w:tcW w:type="dxa" w:w="3475"/>
            <w:vAlign w:val="center"/>
          </w:tcPr>
          <w:p>
            <w:r/>
            <w:r>
              <w:rPr>
                <w:rFonts w:ascii="Arial" w:hAnsi="Arial"/>
                <w:b w:val="0"/>
                <w:sz w:val="16"/>
                <w:rFonts w:ascii="Arial" w:hAnsi="Arial" w:eastAsia="Arial"/>
              </w:rPr>
              <w:t>Person 3</w:t>
            </w:r>
          </w:p>
        </w:tc>
        <w:tc>
          <w:tcPr>
            <w:tcW w:type="dxa" w:w="3475"/>
            <w:vAlign w:val="center"/>
          </w:tcPr>
          <w:p>
            <w:r/>
            <w:r>
              <w:rPr>
                <w:rFonts w:ascii="Arial" w:hAnsi="Arial"/>
                <w:b w:val="0"/>
                <w:sz w:val="16"/>
                <w:rFonts w:ascii="Arial" w:hAnsi="Arial" w:eastAsia="Arial"/>
              </w:rPr>
              <w:t>Product &amp; Decision Intelligence Researcher</w:t>
            </w:r>
          </w:p>
        </w:tc>
        <w:tc>
          <w:tcPr>
            <w:tcW w:type="dxa" w:w="3475"/>
            <w:vAlign w:val="center"/>
          </w:tcPr>
          <w:p>
            <w:r/>
            <w:r>
              <w:rPr>
                <w:rFonts w:ascii="Arial" w:hAnsi="Arial"/>
                <w:b w:val="0"/>
                <w:sz w:val="16"/>
                <w:rFonts w:ascii="Arial" w:hAnsi="Arial" w:eastAsia="Arial"/>
              </w:rPr>
              <w:t>Product flow, dashboard, UX, recommendation logic, business case and presentation story.</w:t>
            </w:r>
          </w:p>
        </w:tc>
      </w:tr>
    </w:tbl>
    <w:p/>
    <w:p>
      <w:r>
        <w:rPr>
          <w:b/>
          <w:sz w:val="20"/>
        </w:rPr>
        <w:t>Bảng 20. Team timeline</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Period</w:t>
            </w:r>
          </w:p>
        </w:tc>
        <w:tc>
          <w:tcPr>
            <w:tcW w:type="dxa" w:w="3475"/>
            <w:shd w:fill="D9EAF7"/>
            <w:vAlign w:val="center"/>
          </w:tcPr>
          <w:p>
            <w:r/>
            <w:r>
              <w:rPr>
                <w:rFonts w:ascii="Arial" w:hAnsi="Arial"/>
                <w:b/>
                <w:sz w:val="16"/>
                <w:rFonts w:ascii="Arial" w:hAnsi="Arial" w:eastAsia="Arial"/>
              </w:rPr>
              <w:t>Focus</w:t>
            </w:r>
          </w:p>
        </w:tc>
        <w:tc>
          <w:tcPr>
            <w:tcW w:type="dxa" w:w="3475"/>
            <w:shd w:fill="D9EAF7"/>
            <w:vAlign w:val="center"/>
          </w:tcPr>
          <w:p>
            <w:r/>
            <w:r>
              <w:rPr>
                <w:rFonts w:ascii="Arial" w:hAnsi="Arial"/>
                <w:b/>
                <w:sz w:val="16"/>
                <w:rFonts w:ascii="Arial" w:hAnsi="Arial" w:eastAsia="Arial"/>
              </w:rPr>
              <w:t>Expected result</w:t>
            </w:r>
          </w:p>
        </w:tc>
      </w:tr>
      <w:tr>
        <w:tc>
          <w:tcPr>
            <w:tcW w:type="dxa" w:w="3475"/>
            <w:vAlign w:val="center"/>
          </w:tcPr>
          <w:p>
            <w:r/>
            <w:r>
              <w:rPr>
                <w:rFonts w:ascii="Arial" w:hAnsi="Arial"/>
                <w:b w:val="0"/>
                <w:sz w:val="16"/>
                <w:rFonts w:ascii="Arial" w:hAnsi="Arial" w:eastAsia="Arial"/>
              </w:rPr>
              <w:t>Week 1</w:t>
            </w:r>
          </w:p>
        </w:tc>
        <w:tc>
          <w:tcPr>
            <w:tcW w:type="dxa" w:w="3475"/>
            <w:vAlign w:val="center"/>
          </w:tcPr>
          <w:p>
            <w:r/>
            <w:r>
              <w:rPr>
                <w:rFonts w:ascii="Arial" w:hAnsi="Arial"/>
                <w:b w:val="0"/>
                <w:sz w:val="16"/>
                <w:rFonts w:ascii="Arial" w:hAnsi="Arial" w:eastAsia="Arial"/>
              </w:rPr>
              <w:t>Individual research</w:t>
            </w:r>
          </w:p>
        </w:tc>
        <w:tc>
          <w:tcPr>
            <w:tcW w:type="dxa" w:w="3475"/>
            <w:vAlign w:val="center"/>
          </w:tcPr>
          <w:p>
            <w:r/>
            <w:r>
              <w:rPr>
                <w:rFonts w:ascii="Arial" w:hAnsi="Arial"/>
                <w:b w:val="0"/>
                <w:sz w:val="16"/>
                <w:rFonts w:ascii="Arial" w:hAnsi="Arial" w:eastAsia="Arial"/>
              </w:rPr>
              <w:t>Each member researches own area and produces first output.</w:t>
            </w:r>
          </w:p>
        </w:tc>
      </w:tr>
      <w:tr>
        <w:tc>
          <w:tcPr>
            <w:tcW w:type="dxa" w:w="3475"/>
            <w:vAlign w:val="center"/>
          </w:tcPr>
          <w:p>
            <w:r/>
            <w:r>
              <w:rPr>
                <w:rFonts w:ascii="Arial" w:hAnsi="Arial"/>
                <w:b w:val="0"/>
                <w:sz w:val="16"/>
                <w:rFonts w:ascii="Arial" w:hAnsi="Arial" w:eastAsia="Arial"/>
              </w:rPr>
              <w:t>Week 2</w:t>
            </w:r>
          </w:p>
        </w:tc>
        <w:tc>
          <w:tcPr>
            <w:tcW w:type="dxa" w:w="3475"/>
            <w:vAlign w:val="center"/>
          </w:tcPr>
          <w:p>
            <w:r/>
            <w:r>
              <w:rPr>
                <w:rFonts w:ascii="Arial" w:hAnsi="Arial"/>
                <w:b w:val="0"/>
                <w:sz w:val="16"/>
                <w:rFonts w:ascii="Arial" w:hAnsi="Arial" w:eastAsia="Arial"/>
              </w:rPr>
              <w:t>Engine integration</w:t>
            </w:r>
          </w:p>
        </w:tc>
        <w:tc>
          <w:tcPr>
            <w:tcW w:type="dxa" w:w="3475"/>
            <w:vAlign w:val="center"/>
          </w:tcPr>
          <w:p>
            <w:r/>
            <w:r>
              <w:rPr>
                <w:rFonts w:ascii="Arial" w:hAnsi="Arial"/>
                <w:b w:val="0"/>
                <w:sz w:val="16"/>
                <w:rFonts w:ascii="Arial" w:hAnsi="Arial" w:eastAsia="Arial"/>
              </w:rPr>
              <w:t>Connect data + model + initial output tables.</w:t>
            </w:r>
          </w:p>
        </w:tc>
      </w:tr>
      <w:tr>
        <w:tc>
          <w:tcPr>
            <w:tcW w:type="dxa" w:w="3475"/>
            <w:vAlign w:val="center"/>
          </w:tcPr>
          <w:p>
            <w:r/>
            <w:r>
              <w:rPr>
                <w:rFonts w:ascii="Arial" w:hAnsi="Arial"/>
                <w:b w:val="0"/>
                <w:sz w:val="16"/>
                <w:rFonts w:ascii="Arial" w:hAnsi="Arial" w:eastAsia="Arial"/>
              </w:rPr>
              <w:t>Week 3</w:t>
            </w:r>
          </w:p>
        </w:tc>
        <w:tc>
          <w:tcPr>
            <w:tcW w:type="dxa" w:w="3475"/>
            <w:vAlign w:val="center"/>
          </w:tcPr>
          <w:p>
            <w:r/>
            <w:r>
              <w:rPr>
                <w:rFonts w:ascii="Arial" w:hAnsi="Arial"/>
                <w:b w:val="0"/>
                <w:sz w:val="16"/>
                <w:rFonts w:ascii="Arial" w:hAnsi="Arial" w:eastAsia="Arial"/>
              </w:rPr>
              <w:t>Midterm preparation</w:t>
            </w:r>
          </w:p>
        </w:tc>
        <w:tc>
          <w:tcPr>
            <w:tcW w:type="dxa" w:w="3475"/>
            <w:vAlign w:val="center"/>
          </w:tcPr>
          <w:p>
            <w:r/>
            <w:r>
              <w:rPr>
                <w:rFonts w:ascii="Arial" w:hAnsi="Arial"/>
                <w:b w:val="0"/>
                <w:sz w:val="16"/>
                <w:rFonts w:ascii="Arial" w:hAnsi="Arial" w:eastAsia="Arial"/>
              </w:rPr>
              <w:t>Build slides, explain engine, show initial demo.</w:t>
            </w:r>
          </w:p>
        </w:tc>
      </w:tr>
      <w:tr>
        <w:tc>
          <w:tcPr>
            <w:tcW w:type="dxa" w:w="3475"/>
            <w:vAlign w:val="center"/>
          </w:tcPr>
          <w:p>
            <w:r/>
            <w:r>
              <w:rPr>
                <w:rFonts w:ascii="Arial" w:hAnsi="Arial"/>
                <w:b w:val="0"/>
                <w:sz w:val="16"/>
                <w:rFonts w:ascii="Arial" w:hAnsi="Arial" w:eastAsia="Arial"/>
              </w:rPr>
              <w:t>After midterm</w:t>
            </w:r>
          </w:p>
        </w:tc>
        <w:tc>
          <w:tcPr>
            <w:tcW w:type="dxa" w:w="3475"/>
            <w:vAlign w:val="center"/>
          </w:tcPr>
          <w:p>
            <w:r/>
            <w:r>
              <w:rPr>
                <w:rFonts w:ascii="Arial" w:hAnsi="Arial"/>
                <w:b w:val="0"/>
                <w:sz w:val="16"/>
                <w:rFonts w:ascii="Arial" w:hAnsi="Arial" w:eastAsia="Arial"/>
              </w:rPr>
              <w:t>Product building</w:t>
            </w:r>
          </w:p>
        </w:tc>
        <w:tc>
          <w:tcPr>
            <w:tcW w:type="dxa" w:w="3475"/>
            <w:vAlign w:val="center"/>
          </w:tcPr>
          <w:p>
            <w:r/>
            <w:r>
              <w:rPr>
                <w:rFonts w:ascii="Arial" w:hAnsi="Arial"/>
                <w:b w:val="0"/>
                <w:sz w:val="16"/>
                <w:rFonts w:ascii="Arial" w:hAnsi="Arial" w:eastAsia="Arial"/>
              </w:rPr>
              <w:t>Dashboard, scenario page, map, recommendation summary.</w:t>
            </w:r>
          </w:p>
        </w:tc>
      </w:tr>
      <w:tr>
        <w:tc>
          <w:tcPr>
            <w:tcW w:type="dxa" w:w="3475"/>
            <w:vAlign w:val="center"/>
          </w:tcPr>
          <w:p>
            <w:r/>
            <w:r>
              <w:rPr>
                <w:rFonts w:ascii="Arial" w:hAnsi="Arial"/>
                <w:b w:val="0"/>
                <w:sz w:val="16"/>
                <w:rFonts w:ascii="Arial" w:hAnsi="Arial" w:eastAsia="Arial"/>
              </w:rPr>
              <w:t>Final week</w:t>
            </w:r>
          </w:p>
        </w:tc>
        <w:tc>
          <w:tcPr>
            <w:tcW w:type="dxa" w:w="3475"/>
            <w:vAlign w:val="center"/>
          </w:tcPr>
          <w:p>
            <w:r/>
            <w:r>
              <w:rPr>
                <w:rFonts w:ascii="Arial" w:hAnsi="Arial"/>
                <w:b w:val="0"/>
                <w:sz w:val="16"/>
                <w:rFonts w:ascii="Arial" w:hAnsi="Arial" w:eastAsia="Arial"/>
              </w:rPr>
              <w:t>Polish and demo</w:t>
            </w:r>
          </w:p>
        </w:tc>
        <w:tc>
          <w:tcPr>
            <w:tcW w:type="dxa" w:w="3475"/>
            <w:vAlign w:val="center"/>
          </w:tcPr>
          <w:p>
            <w:r/>
            <w:r>
              <w:rPr>
                <w:rFonts w:ascii="Arial" w:hAnsi="Arial"/>
                <w:b w:val="0"/>
                <w:sz w:val="16"/>
                <w:rFonts w:ascii="Arial" w:hAnsi="Arial" w:eastAsia="Arial"/>
              </w:rPr>
              <w:t>Finalize product, report, presentation and demo flow.</w:t>
            </w:r>
          </w:p>
        </w:tc>
      </w:tr>
    </w:tbl>
    <w:p/>
    <w:p>
      <w:pPr>
        <w:pStyle w:val="Heading1"/>
      </w:pPr>
      <w:r>
        <w:t>15. Risks, assumptions và limitations</w:t>
      </w:r>
    </w:p>
    <w:p>
      <w:r>
        <w:rPr>
          <w:b/>
          <w:sz w:val="20"/>
        </w:rPr>
        <w:t>Bảng 21. Risks and mitigations</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6"/>
                <w:rFonts w:ascii="Arial" w:hAnsi="Arial" w:eastAsia="Arial"/>
              </w:rPr>
              <w:t>Risk</w:t>
            </w:r>
          </w:p>
        </w:tc>
        <w:tc>
          <w:tcPr>
            <w:tcW w:type="dxa" w:w="3475"/>
            <w:shd w:fill="D9EAF7"/>
            <w:vAlign w:val="center"/>
          </w:tcPr>
          <w:p>
            <w:r/>
            <w:r>
              <w:rPr>
                <w:rFonts w:ascii="Arial" w:hAnsi="Arial"/>
                <w:b/>
                <w:sz w:val="16"/>
                <w:rFonts w:ascii="Arial" w:hAnsi="Arial" w:eastAsia="Arial"/>
              </w:rPr>
              <w:t>Issue</w:t>
            </w:r>
          </w:p>
        </w:tc>
        <w:tc>
          <w:tcPr>
            <w:tcW w:type="dxa" w:w="3475"/>
            <w:shd w:fill="D9EAF7"/>
            <w:vAlign w:val="center"/>
          </w:tcPr>
          <w:p>
            <w:r/>
            <w:r>
              <w:rPr>
                <w:rFonts w:ascii="Arial" w:hAnsi="Arial"/>
                <w:b/>
                <w:sz w:val="16"/>
                <w:rFonts w:ascii="Arial" w:hAnsi="Arial" w:eastAsia="Arial"/>
              </w:rPr>
              <w:t>Mitigation</w:t>
            </w:r>
          </w:p>
        </w:tc>
      </w:tr>
      <w:tr>
        <w:tc>
          <w:tcPr>
            <w:tcW w:type="dxa" w:w="3475"/>
            <w:vAlign w:val="center"/>
          </w:tcPr>
          <w:p>
            <w:r/>
            <w:r>
              <w:rPr>
                <w:rFonts w:ascii="Arial" w:hAnsi="Arial"/>
                <w:b w:val="0"/>
                <w:sz w:val="16"/>
                <w:rFonts w:ascii="Arial" w:hAnsi="Arial" w:eastAsia="Arial"/>
              </w:rPr>
              <w:t>Data quality risk</w:t>
            </w:r>
          </w:p>
        </w:tc>
        <w:tc>
          <w:tcPr>
            <w:tcW w:type="dxa" w:w="3475"/>
            <w:vAlign w:val="center"/>
          </w:tcPr>
          <w:p>
            <w:r/>
            <w:r>
              <w:rPr>
                <w:rFonts w:ascii="Arial" w:hAnsi="Arial"/>
                <w:b w:val="0"/>
                <w:sz w:val="16"/>
                <w:rFonts w:ascii="Arial" w:hAnsi="Arial" w:eastAsia="Arial"/>
              </w:rPr>
              <w:t>Customer/public data may be missing cost, capacity or geocoding information.</w:t>
            </w:r>
          </w:p>
        </w:tc>
        <w:tc>
          <w:tcPr>
            <w:tcW w:type="dxa" w:w="3475"/>
            <w:vAlign w:val="center"/>
          </w:tcPr>
          <w:p>
            <w:r/>
            <w:r>
              <w:rPr>
                <w:rFonts w:ascii="Arial" w:hAnsi="Arial"/>
                <w:b w:val="0"/>
                <w:sz w:val="16"/>
                <w:rFonts w:ascii="Arial" w:hAnsi="Arial" w:eastAsia="Arial"/>
              </w:rPr>
              <w:t>Use proxy assumptions, data quality score, sensitivity analysis.</w:t>
            </w:r>
          </w:p>
        </w:tc>
      </w:tr>
      <w:tr>
        <w:tc>
          <w:tcPr>
            <w:tcW w:type="dxa" w:w="3475"/>
            <w:vAlign w:val="center"/>
          </w:tcPr>
          <w:p>
            <w:r/>
            <w:r>
              <w:rPr>
                <w:rFonts w:ascii="Arial" w:hAnsi="Arial"/>
                <w:b w:val="0"/>
                <w:sz w:val="16"/>
                <w:rFonts w:ascii="Arial" w:hAnsi="Arial" w:eastAsia="Arial"/>
              </w:rPr>
              <w:t>Overfitting to annual demand</w:t>
            </w:r>
          </w:p>
        </w:tc>
        <w:tc>
          <w:tcPr>
            <w:tcW w:type="dxa" w:w="3475"/>
            <w:vAlign w:val="center"/>
          </w:tcPr>
          <w:p>
            <w:r/>
            <w:r>
              <w:rPr>
                <w:rFonts w:ascii="Arial" w:hAnsi="Arial"/>
                <w:b w:val="0"/>
                <w:sz w:val="16"/>
                <w:rFonts w:ascii="Arial" w:hAnsi="Arial" w:eastAsia="Arial"/>
              </w:rPr>
              <w:t>Annual design may fail during peak month.</w:t>
            </w:r>
          </w:p>
        </w:tc>
        <w:tc>
          <w:tcPr>
            <w:tcW w:type="dxa" w:w="3475"/>
            <w:vAlign w:val="center"/>
          </w:tcPr>
          <w:p>
            <w:r/>
            <w:r>
              <w:rPr>
                <w:rFonts w:ascii="Arial" w:hAnsi="Arial"/>
                <w:b w:val="0"/>
                <w:sz w:val="16"/>
                <w:rFonts w:ascii="Arial" w:hAnsi="Arial" w:eastAsia="Arial"/>
              </w:rPr>
              <w:t>Use seasonal demand extension and peak utilization check.</w:t>
            </w:r>
          </w:p>
        </w:tc>
      </w:tr>
      <w:tr>
        <w:tc>
          <w:tcPr>
            <w:tcW w:type="dxa" w:w="3475"/>
            <w:vAlign w:val="center"/>
          </w:tcPr>
          <w:p>
            <w:r/>
            <w:r>
              <w:rPr>
                <w:rFonts w:ascii="Arial" w:hAnsi="Arial"/>
                <w:b w:val="0"/>
                <w:sz w:val="16"/>
                <w:rFonts w:ascii="Arial" w:hAnsi="Arial" w:eastAsia="Arial"/>
              </w:rPr>
              <w:t>Unrealistic optimization result</w:t>
            </w:r>
          </w:p>
        </w:tc>
        <w:tc>
          <w:tcPr>
            <w:tcW w:type="dxa" w:w="3475"/>
            <w:vAlign w:val="center"/>
          </w:tcPr>
          <w:p>
            <w:r/>
            <w:r>
              <w:rPr>
                <w:rFonts w:ascii="Arial" w:hAnsi="Arial"/>
                <w:b w:val="0"/>
                <w:sz w:val="16"/>
                <w:rFonts w:ascii="Arial" w:hAnsi="Arial" w:eastAsia="Arial"/>
              </w:rPr>
              <w:t>Solver may select infeasible hub due to missing labor/contract constraints.</w:t>
            </w:r>
          </w:p>
        </w:tc>
        <w:tc>
          <w:tcPr>
            <w:tcW w:type="dxa" w:w="3475"/>
            <w:vAlign w:val="center"/>
          </w:tcPr>
          <w:p>
            <w:r/>
            <w:r>
              <w:rPr>
                <w:rFonts w:ascii="Arial" w:hAnsi="Arial"/>
                <w:b w:val="0"/>
                <w:sz w:val="16"/>
                <w:rFonts w:ascii="Arial" w:hAnsi="Arial" w:eastAsia="Arial"/>
              </w:rPr>
              <w:t>Add must-use/cannot-use constraints and suitability scoring.</w:t>
            </w:r>
          </w:p>
        </w:tc>
      </w:tr>
      <w:tr>
        <w:tc>
          <w:tcPr>
            <w:tcW w:type="dxa" w:w="3475"/>
            <w:vAlign w:val="center"/>
          </w:tcPr>
          <w:p>
            <w:r/>
            <w:r>
              <w:rPr>
                <w:rFonts w:ascii="Arial" w:hAnsi="Arial"/>
                <w:b w:val="0"/>
                <w:sz w:val="16"/>
                <w:rFonts w:ascii="Arial" w:hAnsi="Arial" w:eastAsia="Arial"/>
              </w:rPr>
              <w:t>Cost assumption uncertainty</w:t>
            </w:r>
          </w:p>
        </w:tc>
        <w:tc>
          <w:tcPr>
            <w:tcW w:type="dxa" w:w="3475"/>
            <w:vAlign w:val="center"/>
          </w:tcPr>
          <w:p>
            <w:r/>
            <w:r>
              <w:rPr>
                <w:rFonts w:ascii="Arial" w:hAnsi="Arial"/>
                <w:b w:val="0"/>
                <w:sz w:val="16"/>
                <w:rFonts w:ascii="Arial" w:hAnsi="Arial" w:eastAsia="Arial"/>
              </w:rPr>
              <w:t>Transport and warehouse costs may be approximate.</w:t>
            </w:r>
          </w:p>
        </w:tc>
        <w:tc>
          <w:tcPr>
            <w:tcW w:type="dxa" w:w="3475"/>
            <w:vAlign w:val="center"/>
          </w:tcPr>
          <w:p>
            <w:r/>
            <w:r>
              <w:rPr>
                <w:rFonts w:ascii="Arial" w:hAnsi="Arial"/>
                <w:b w:val="0"/>
                <w:sz w:val="16"/>
                <w:rFonts w:ascii="Arial" w:hAnsi="Arial" w:eastAsia="Arial"/>
              </w:rPr>
              <w:t>Let user input cost table; run sensitivity ranges.</w:t>
            </w:r>
          </w:p>
        </w:tc>
      </w:tr>
      <w:tr>
        <w:tc>
          <w:tcPr>
            <w:tcW w:type="dxa" w:w="3475"/>
            <w:vAlign w:val="center"/>
          </w:tcPr>
          <w:p>
            <w:r/>
            <w:r>
              <w:rPr>
                <w:rFonts w:ascii="Arial" w:hAnsi="Arial"/>
                <w:b w:val="0"/>
                <w:sz w:val="16"/>
                <w:rFonts w:ascii="Arial" w:hAnsi="Arial" w:eastAsia="Arial"/>
              </w:rPr>
              <w:t>Complexity risk</w:t>
            </w:r>
          </w:p>
        </w:tc>
        <w:tc>
          <w:tcPr>
            <w:tcW w:type="dxa" w:w="3475"/>
            <w:vAlign w:val="center"/>
          </w:tcPr>
          <w:p>
            <w:r/>
            <w:r>
              <w:rPr>
                <w:rFonts w:ascii="Arial" w:hAnsi="Arial"/>
                <w:b w:val="0"/>
                <w:sz w:val="16"/>
                <w:rFonts w:ascii="Arial" w:hAnsi="Arial" w:eastAsia="Arial"/>
              </w:rPr>
              <w:t>Too many models and features may delay prototype.</w:t>
            </w:r>
          </w:p>
        </w:tc>
        <w:tc>
          <w:tcPr>
            <w:tcW w:type="dxa" w:w="3475"/>
            <w:vAlign w:val="center"/>
          </w:tcPr>
          <w:p>
            <w:r/>
            <w:r>
              <w:rPr>
                <w:rFonts w:ascii="Arial" w:hAnsi="Arial"/>
                <w:b w:val="0"/>
                <w:sz w:val="16"/>
                <w:rFonts w:ascii="Arial" w:hAnsi="Arial" w:eastAsia="Arial"/>
              </w:rPr>
              <w:t>Midterm focuses engine; final focuses product demo with selected features.</w:t>
            </w:r>
          </w:p>
        </w:tc>
      </w:tr>
    </w:tbl>
    <w:p/>
    <w:p>
      <w:pPr>
        <w:pStyle w:val="Heading1"/>
      </w:pPr>
      <w:r>
        <w:t>16. Conclusion</w:t>
      </w:r>
    </w:p>
    <w:p>
      <w:r>
        <w:t>LogiHub Intelligence nên được định vị là một Logistics Network Decision Cockpit, trong đó bài nghiên cứu đóng vai trò engine lõi. Engine không chỉ solve một bài toán tối ưu mà tạo ra một chuỗi decision outputs: demand profile, current network diagnosis, high-cost lanes, selected hubs, demand allocation, capacity check, seasonal peak plan, scenario comparison và implementation roadmap.</w:t>
      </w:r>
    </w:p>
    <w:p>
      <w:r>
        <w:t>Kết luận chiến lược từ mock outcome là: doanh nghiệp nên chuyển từ mạng lưới 3 hub quá tải sang 5-hub balanced network, gồm Gyeonggi, Daejeon/Chungcheong, Busan, Daegu/Gyeongbuk và Gwangju/Jeolla. Phương án này giảm annual logistics cost khoảng 17.1% trong giả định, cải thiện coverage 150 km từ 68% lên 86%, đưa utilization annual về vùng an toàn và tạo nền tảng để xử lý seasonal demand bằng temporary capacity trong peak season.</w:t>
      </w:r>
    </w:p>
    <w:p>
      <w:pPr>
        <w:pStyle w:val="Heading1"/>
      </w:pPr>
      <w:r>
        <w:t>Appendix A. Data schema</w:t>
      </w:r>
    </w:p>
    <w:p>
      <w:r>
        <w:rPr>
          <w:b/>
          <w:sz w:val="20"/>
        </w:rPr>
        <w:t>Bảng A1. Suggested data schema</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vAlign w:val="center"/>
          </w:tcPr>
          <w:p>
            <w:r/>
            <w:r>
              <w:rPr>
                <w:rFonts w:ascii="Arial" w:hAnsi="Arial"/>
                <w:b/>
                <w:sz w:val="15"/>
                <w:rFonts w:ascii="Arial" w:hAnsi="Arial" w:eastAsia="Arial"/>
              </w:rPr>
              <w:t>Field</w:t>
            </w:r>
          </w:p>
        </w:tc>
        <w:tc>
          <w:tcPr>
            <w:tcW w:type="dxa" w:w="3475"/>
            <w:shd w:fill="D9EAF7"/>
            <w:vAlign w:val="center"/>
          </w:tcPr>
          <w:p>
            <w:r/>
            <w:r>
              <w:rPr>
                <w:rFonts w:ascii="Arial" w:hAnsi="Arial"/>
                <w:b/>
                <w:sz w:val="15"/>
                <w:rFonts w:ascii="Arial" w:hAnsi="Arial" w:eastAsia="Arial"/>
              </w:rPr>
              <w:t>Type</w:t>
            </w:r>
          </w:p>
        </w:tc>
        <w:tc>
          <w:tcPr>
            <w:tcW w:type="dxa" w:w="3475"/>
            <w:shd w:fill="D9EAF7"/>
            <w:vAlign w:val="center"/>
          </w:tcPr>
          <w:p>
            <w:r/>
            <w:r>
              <w:rPr>
                <w:rFonts w:ascii="Arial" w:hAnsi="Arial"/>
                <w:b/>
                <w:sz w:val="15"/>
                <w:rFonts w:ascii="Arial" w:hAnsi="Arial" w:eastAsia="Arial"/>
              </w:rPr>
              <w:t>Description</w:t>
            </w:r>
          </w:p>
        </w:tc>
      </w:tr>
      <w:tr>
        <w:tc>
          <w:tcPr>
            <w:tcW w:type="dxa" w:w="3475"/>
            <w:vAlign w:val="center"/>
          </w:tcPr>
          <w:p>
            <w:r/>
            <w:r>
              <w:rPr>
                <w:rFonts w:ascii="Arial" w:hAnsi="Arial"/>
                <w:b w:val="0"/>
                <w:sz w:val="15"/>
                <w:rFonts w:ascii="Arial" w:hAnsi="Arial" w:eastAsia="Arial"/>
              </w:rPr>
              <w:t>shipment_id</w:t>
            </w:r>
          </w:p>
        </w:tc>
        <w:tc>
          <w:tcPr>
            <w:tcW w:type="dxa" w:w="3475"/>
            <w:vAlign w:val="center"/>
          </w:tcPr>
          <w:p>
            <w:r/>
            <w:r>
              <w:rPr>
                <w:rFonts w:ascii="Arial" w:hAnsi="Arial"/>
                <w:b w:val="0"/>
                <w:sz w:val="15"/>
                <w:rFonts w:ascii="Arial" w:hAnsi="Arial" w:eastAsia="Arial"/>
              </w:rPr>
              <w:t>string</w:t>
            </w:r>
          </w:p>
        </w:tc>
        <w:tc>
          <w:tcPr>
            <w:tcW w:type="dxa" w:w="3475"/>
            <w:vAlign w:val="center"/>
          </w:tcPr>
          <w:p>
            <w:r/>
            <w:r>
              <w:rPr>
                <w:rFonts w:ascii="Arial" w:hAnsi="Arial"/>
                <w:b w:val="0"/>
                <w:sz w:val="15"/>
                <w:rFonts w:ascii="Arial" w:hAnsi="Arial" w:eastAsia="Arial"/>
              </w:rPr>
              <w:t>Unique shipment identifier</w:t>
            </w:r>
          </w:p>
        </w:tc>
      </w:tr>
      <w:tr>
        <w:tc>
          <w:tcPr>
            <w:tcW w:type="dxa" w:w="3475"/>
            <w:vAlign w:val="center"/>
          </w:tcPr>
          <w:p>
            <w:r/>
            <w:r>
              <w:rPr>
                <w:rFonts w:ascii="Arial" w:hAnsi="Arial"/>
                <w:b w:val="0"/>
                <w:sz w:val="15"/>
                <w:rFonts w:ascii="Arial" w:hAnsi="Arial" w:eastAsia="Arial"/>
              </w:rPr>
              <w:t>origin_id</w:t>
            </w:r>
          </w:p>
        </w:tc>
        <w:tc>
          <w:tcPr>
            <w:tcW w:type="dxa" w:w="3475"/>
            <w:vAlign w:val="center"/>
          </w:tcPr>
          <w:p>
            <w:r/>
            <w:r>
              <w:rPr>
                <w:rFonts w:ascii="Arial" w:hAnsi="Arial"/>
                <w:b w:val="0"/>
                <w:sz w:val="15"/>
                <w:rFonts w:ascii="Arial" w:hAnsi="Arial" w:eastAsia="Arial"/>
              </w:rPr>
              <w:t>string</w:t>
            </w:r>
          </w:p>
        </w:tc>
        <w:tc>
          <w:tcPr>
            <w:tcW w:type="dxa" w:w="3475"/>
            <w:vAlign w:val="center"/>
          </w:tcPr>
          <w:p>
            <w:r/>
            <w:r>
              <w:rPr>
                <w:rFonts w:ascii="Arial" w:hAnsi="Arial"/>
                <w:b w:val="0"/>
                <w:sz w:val="15"/>
                <w:rFonts w:ascii="Arial" w:hAnsi="Arial" w:eastAsia="Arial"/>
              </w:rPr>
              <w:t>Factory/warehouse/supplier origin</w:t>
            </w:r>
          </w:p>
        </w:tc>
      </w:tr>
      <w:tr>
        <w:tc>
          <w:tcPr>
            <w:tcW w:type="dxa" w:w="3475"/>
            <w:vAlign w:val="center"/>
          </w:tcPr>
          <w:p>
            <w:r/>
            <w:r>
              <w:rPr>
                <w:rFonts w:ascii="Arial" w:hAnsi="Arial"/>
                <w:b w:val="0"/>
                <w:sz w:val="15"/>
                <w:rFonts w:ascii="Arial" w:hAnsi="Arial" w:eastAsia="Arial"/>
              </w:rPr>
              <w:t>destination_id</w:t>
            </w:r>
          </w:p>
        </w:tc>
        <w:tc>
          <w:tcPr>
            <w:tcW w:type="dxa" w:w="3475"/>
            <w:vAlign w:val="center"/>
          </w:tcPr>
          <w:p>
            <w:r/>
            <w:r>
              <w:rPr>
                <w:rFonts w:ascii="Arial" w:hAnsi="Arial"/>
                <w:b w:val="0"/>
                <w:sz w:val="15"/>
                <w:rFonts w:ascii="Arial" w:hAnsi="Arial" w:eastAsia="Arial"/>
              </w:rPr>
              <w:t>string</w:t>
            </w:r>
          </w:p>
        </w:tc>
        <w:tc>
          <w:tcPr>
            <w:tcW w:type="dxa" w:w="3475"/>
            <w:vAlign w:val="center"/>
          </w:tcPr>
          <w:p>
            <w:r/>
            <w:r>
              <w:rPr>
                <w:rFonts w:ascii="Arial" w:hAnsi="Arial"/>
                <w:b w:val="0"/>
                <w:sz w:val="15"/>
                <w:rFonts w:ascii="Arial" w:hAnsi="Arial" w:eastAsia="Arial"/>
              </w:rPr>
              <w:t>Customer/dealer/service center destination</w:t>
            </w:r>
          </w:p>
        </w:tc>
      </w:tr>
      <w:tr>
        <w:tc>
          <w:tcPr>
            <w:tcW w:type="dxa" w:w="3475"/>
            <w:vAlign w:val="center"/>
          </w:tcPr>
          <w:p>
            <w:r/>
            <w:r>
              <w:rPr>
                <w:rFonts w:ascii="Arial" w:hAnsi="Arial"/>
                <w:b w:val="0"/>
                <w:sz w:val="15"/>
                <w:rFonts w:ascii="Arial" w:hAnsi="Arial" w:eastAsia="Arial"/>
              </w:rPr>
              <w:t>origin_region</w:t>
            </w:r>
          </w:p>
        </w:tc>
        <w:tc>
          <w:tcPr>
            <w:tcW w:type="dxa" w:w="3475"/>
            <w:vAlign w:val="center"/>
          </w:tcPr>
          <w:p>
            <w:r/>
            <w:r>
              <w:rPr>
                <w:rFonts w:ascii="Arial" w:hAnsi="Arial"/>
                <w:b w:val="0"/>
                <w:sz w:val="15"/>
                <w:rFonts w:ascii="Arial" w:hAnsi="Arial" w:eastAsia="Arial"/>
              </w:rPr>
              <w:t>string</w:t>
            </w:r>
          </w:p>
        </w:tc>
        <w:tc>
          <w:tcPr>
            <w:tcW w:type="dxa" w:w="3475"/>
            <w:vAlign w:val="center"/>
          </w:tcPr>
          <w:p>
            <w:r/>
            <w:r>
              <w:rPr>
                <w:rFonts w:ascii="Arial" w:hAnsi="Arial"/>
                <w:b w:val="0"/>
                <w:sz w:val="15"/>
                <w:rFonts w:ascii="Arial" w:hAnsi="Arial" w:eastAsia="Arial"/>
              </w:rPr>
              <w:t>Standardized Korean region</w:t>
            </w:r>
          </w:p>
        </w:tc>
      </w:tr>
      <w:tr>
        <w:tc>
          <w:tcPr>
            <w:tcW w:type="dxa" w:w="3475"/>
            <w:vAlign w:val="center"/>
          </w:tcPr>
          <w:p>
            <w:r/>
            <w:r>
              <w:rPr>
                <w:rFonts w:ascii="Arial" w:hAnsi="Arial"/>
                <w:b w:val="0"/>
                <w:sz w:val="15"/>
                <w:rFonts w:ascii="Arial" w:hAnsi="Arial" w:eastAsia="Arial"/>
              </w:rPr>
              <w:t>destination_region</w:t>
            </w:r>
          </w:p>
        </w:tc>
        <w:tc>
          <w:tcPr>
            <w:tcW w:type="dxa" w:w="3475"/>
            <w:vAlign w:val="center"/>
          </w:tcPr>
          <w:p>
            <w:r/>
            <w:r>
              <w:rPr>
                <w:rFonts w:ascii="Arial" w:hAnsi="Arial"/>
                <w:b w:val="0"/>
                <w:sz w:val="15"/>
                <w:rFonts w:ascii="Arial" w:hAnsi="Arial" w:eastAsia="Arial"/>
              </w:rPr>
              <w:t>string</w:t>
            </w:r>
          </w:p>
        </w:tc>
        <w:tc>
          <w:tcPr>
            <w:tcW w:type="dxa" w:w="3475"/>
            <w:vAlign w:val="center"/>
          </w:tcPr>
          <w:p>
            <w:r/>
            <w:r>
              <w:rPr>
                <w:rFonts w:ascii="Arial" w:hAnsi="Arial"/>
                <w:b w:val="0"/>
                <w:sz w:val="15"/>
                <w:rFonts w:ascii="Arial" w:hAnsi="Arial" w:eastAsia="Arial"/>
              </w:rPr>
              <w:t>Standardized Korean region</w:t>
            </w:r>
          </w:p>
        </w:tc>
      </w:tr>
      <w:tr>
        <w:tc>
          <w:tcPr>
            <w:tcW w:type="dxa" w:w="3475"/>
            <w:vAlign w:val="center"/>
          </w:tcPr>
          <w:p>
            <w:r/>
            <w:r>
              <w:rPr>
                <w:rFonts w:ascii="Arial" w:hAnsi="Arial"/>
                <w:b w:val="0"/>
                <w:sz w:val="15"/>
                <w:rFonts w:ascii="Arial" w:hAnsi="Arial" w:eastAsia="Arial"/>
              </w:rPr>
              <w:t>period</w:t>
            </w:r>
          </w:p>
        </w:tc>
        <w:tc>
          <w:tcPr>
            <w:tcW w:type="dxa" w:w="3475"/>
            <w:vAlign w:val="center"/>
          </w:tcPr>
          <w:p>
            <w:r/>
            <w:r>
              <w:rPr>
                <w:rFonts w:ascii="Arial" w:hAnsi="Arial"/>
                <w:b w:val="0"/>
                <w:sz w:val="15"/>
                <w:rFonts w:ascii="Arial" w:hAnsi="Arial" w:eastAsia="Arial"/>
              </w:rPr>
              <w:t>date/month</w:t>
            </w:r>
          </w:p>
        </w:tc>
        <w:tc>
          <w:tcPr>
            <w:tcW w:type="dxa" w:w="3475"/>
            <w:vAlign w:val="center"/>
          </w:tcPr>
          <w:p>
            <w:r/>
            <w:r>
              <w:rPr>
                <w:rFonts w:ascii="Arial" w:hAnsi="Arial"/>
                <w:b w:val="0"/>
                <w:sz w:val="15"/>
                <w:rFonts w:ascii="Arial" w:hAnsi="Arial" w:eastAsia="Arial"/>
              </w:rPr>
              <w:t>Shipment period for seasonal modeling</w:t>
            </w:r>
          </w:p>
        </w:tc>
      </w:tr>
      <w:tr>
        <w:tc>
          <w:tcPr>
            <w:tcW w:type="dxa" w:w="3475"/>
            <w:vAlign w:val="center"/>
          </w:tcPr>
          <w:p>
            <w:r/>
            <w:r>
              <w:rPr>
                <w:rFonts w:ascii="Arial" w:hAnsi="Arial"/>
                <w:b w:val="0"/>
                <w:sz w:val="15"/>
                <w:rFonts w:ascii="Arial" w:hAnsi="Arial" w:eastAsia="Arial"/>
              </w:rPr>
              <w:t>volume</w:t>
            </w:r>
          </w:p>
        </w:tc>
        <w:tc>
          <w:tcPr>
            <w:tcW w:type="dxa" w:w="3475"/>
            <w:vAlign w:val="center"/>
          </w:tcPr>
          <w:p>
            <w:r/>
            <w:r>
              <w:rPr>
                <w:rFonts w:ascii="Arial" w:hAnsi="Arial"/>
                <w:b w:val="0"/>
                <w:sz w:val="15"/>
                <w:rFonts w:ascii="Arial" w:hAnsi="Arial" w:eastAsia="Arial"/>
              </w:rPr>
              <w:t>numeric</w:t>
            </w:r>
          </w:p>
        </w:tc>
        <w:tc>
          <w:tcPr>
            <w:tcW w:type="dxa" w:w="3475"/>
            <w:vAlign w:val="center"/>
          </w:tcPr>
          <w:p>
            <w:r/>
            <w:r>
              <w:rPr>
                <w:rFonts w:ascii="Arial" w:hAnsi="Arial"/>
                <w:b w:val="0"/>
                <w:sz w:val="15"/>
                <w:rFonts w:ascii="Arial" w:hAnsi="Arial" w:eastAsia="Arial"/>
              </w:rPr>
              <w:t>Pallet-equivalent, ton, unit, cbm or TEU</w:t>
            </w:r>
          </w:p>
        </w:tc>
      </w:tr>
      <w:tr>
        <w:tc>
          <w:tcPr>
            <w:tcW w:type="dxa" w:w="3475"/>
            <w:vAlign w:val="center"/>
          </w:tcPr>
          <w:p>
            <w:r/>
            <w:r>
              <w:rPr>
                <w:rFonts w:ascii="Arial" w:hAnsi="Arial"/>
                <w:b w:val="0"/>
                <w:sz w:val="15"/>
                <w:rFonts w:ascii="Arial" w:hAnsi="Arial" w:eastAsia="Arial"/>
              </w:rPr>
              <w:t>product_type</w:t>
            </w:r>
          </w:p>
        </w:tc>
        <w:tc>
          <w:tcPr>
            <w:tcW w:type="dxa" w:w="3475"/>
            <w:vAlign w:val="center"/>
          </w:tcPr>
          <w:p>
            <w:r/>
            <w:r>
              <w:rPr>
                <w:rFonts w:ascii="Arial" w:hAnsi="Arial"/>
                <w:b w:val="0"/>
                <w:sz w:val="15"/>
                <w:rFonts w:ascii="Arial" w:hAnsi="Arial" w:eastAsia="Arial"/>
              </w:rPr>
              <w:t>string</w:t>
            </w:r>
          </w:p>
        </w:tc>
        <w:tc>
          <w:tcPr>
            <w:tcW w:type="dxa" w:w="3475"/>
            <w:vAlign w:val="center"/>
          </w:tcPr>
          <w:p>
            <w:r/>
            <w:r>
              <w:rPr>
                <w:rFonts w:ascii="Arial" w:hAnsi="Arial"/>
                <w:b w:val="0"/>
                <w:sz w:val="15"/>
                <w:rFonts w:ascii="Arial" w:hAnsi="Arial" w:eastAsia="Arial"/>
              </w:rPr>
              <w:t>Product category for compatibility or seasonal factor</w:t>
            </w:r>
          </w:p>
        </w:tc>
      </w:tr>
      <w:tr>
        <w:tc>
          <w:tcPr>
            <w:tcW w:type="dxa" w:w="3475"/>
            <w:vAlign w:val="center"/>
          </w:tcPr>
          <w:p>
            <w:r/>
            <w:r>
              <w:rPr>
                <w:rFonts w:ascii="Arial" w:hAnsi="Arial"/>
                <w:b w:val="0"/>
                <w:sz w:val="15"/>
                <w:rFonts w:ascii="Arial" w:hAnsi="Arial" w:eastAsia="Arial"/>
              </w:rPr>
              <w:t>transport_cost</w:t>
            </w:r>
          </w:p>
        </w:tc>
        <w:tc>
          <w:tcPr>
            <w:tcW w:type="dxa" w:w="3475"/>
            <w:vAlign w:val="center"/>
          </w:tcPr>
          <w:p>
            <w:r/>
            <w:r>
              <w:rPr>
                <w:rFonts w:ascii="Arial" w:hAnsi="Arial"/>
                <w:b w:val="0"/>
                <w:sz w:val="15"/>
                <w:rFonts w:ascii="Arial" w:hAnsi="Arial" w:eastAsia="Arial"/>
              </w:rPr>
              <w:t>numeric</w:t>
            </w:r>
          </w:p>
        </w:tc>
        <w:tc>
          <w:tcPr>
            <w:tcW w:type="dxa" w:w="3475"/>
            <w:vAlign w:val="center"/>
          </w:tcPr>
          <w:p>
            <w:r/>
            <w:r>
              <w:rPr>
                <w:rFonts w:ascii="Arial" w:hAnsi="Arial"/>
                <w:b w:val="0"/>
                <w:sz w:val="15"/>
                <w:rFonts w:ascii="Arial" w:hAnsi="Arial" w:eastAsia="Arial"/>
              </w:rPr>
              <w:t>Actual or estimated lane cost</w:t>
            </w:r>
          </w:p>
        </w:tc>
      </w:tr>
      <w:tr>
        <w:tc>
          <w:tcPr>
            <w:tcW w:type="dxa" w:w="3475"/>
            <w:vAlign w:val="center"/>
          </w:tcPr>
          <w:p>
            <w:r/>
            <w:r>
              <w:rPr>
                <w:rFonts w:ascii="Arial" w:hAnsi="Arial"/>
                <w:b w:val="0"/>
                <w:sz w:val="15"/>
                <w:rFonts w:ascii="Arial" w:hAnsi="Arial" w:eastAsia="Arial"/>
              </w:rPr>
              <w:t>lead_time</w:t>
            </w:r>
          </w:p>
        </w:tc>
        <w:tc>
          <w:tcPr>
            <w:tcW w:type="dxa" w:w="3475"/>
            <w:vAlign w:val="center"/>
          </w:tcPr>
          <w:p>
            <w:r/>
            <w:r>
              <w:rPr>
                <w:rFonts w:ascii="Arial" w:hAnsi="Arial"/>
                <w:b w:val="0"/>
                <w:sz w:val="15"/>
                <w:rFonts w:ascii="Arial" w:hAnsi="Arial" w:eastAsia="Arial"/>
              </w:rPr>
              <w:t>numeric</w:t>
            </w:r>
          </w:p>
        </w:tc>
        <w:tc>
          <w:tcPr>
            <w:tcW w:type="dxa" w:w="3475"/>
            <w:vAlign w:val="center"/>
          </w:tcPr>
          <w:p>
            <w:r/>
            <w:r>
              <w:rPr>
                <w:rFonts w:ascii="Arial" w:hAnsi="Arial"/>
                <w:b w:val="0"/>
                <w:sz w:val="15"/>
                <w:rFonts w:ascii="Arial" w:hAnsi="Arial" w:eastAsia="Arial"/>
              </w:rPr>
              <w:t>Average transit time</w:t>
            </w:r>
          </w:p>
        </w:tc>
      </w:tr>
      <w:tr>
        <w:tc>
          <w:tcPr>
            <w:tcW w:type="dxa" w:w="3475"/>
            <w:vAlign w:val="center"/>
          </w:tcPr>
          <w:p>
            <w:r/>
            <w:r>
              <w:rPr>
                <w:rFonts w:ascii="Arial" w:hAnsi="Arial"/>
                <w:b w:val="0"/>
                <w:sz w:val="15"/>
                <w:rFonts w:ascii="Arial" w:hAnsi="Arial" w:eastAsia="Arial"/>
              </w:rPr>
              <w:t>warehouse_id</w:t>
            </w:r>
          </w:p>
        </w:tc>
        <w:tc>
          <w:tcPr>
            <w:tcW w:type="dxa" w:w="3475"/>
            <w:vAlign w:val="center"/>
          </w:tcPr>
          <w:p>
            <w:r/>
            <w:r>
              <w:rPr>
                <w:rFonts w:ascii="Arial" w:hAnsi="Arial"/>
                <w:b w:val="0"/>
                <w:sz w:val="15"/>
                <w:rFonts w:ascii="Arial" w:hAnsi="Arial" w:eastAsia="Arial"/>
              </w:rPr>
              <w:t>string</w:t>
            </w:r>
          </w:p>
        </w:tc>
        <w:tc>
          <w:tcPr>
            <w:tcW w:type="dxa" w:w="3475"/>
            <w:vAlign w:val="center"/>
          </w:tcPr>
          <w:p>
            <w:r/>
            <w:r>
              <w:rPr>
                <w:rFonts w:ascii="Arial" w:hAnsi="Arial"/>
                <w:b w:val="0"/>
                <w:sz w:val="15"/>
                <w:rFonts w:ascii="Arial" w:hAnsi="Arial" w:eastAsia="Arial"/>
              </w:rPr>
              <w:t>Candidate/current hub identifier</w:t>
            </w:r>
          </w:p>
        </w:tc>
      </w:tr>
      <w:tr>
        <w:tc>
          <w:tcPr>
            <w:tcW w:type="dxa" w:w="3475"/>
            <w:vAlign w:val="center"/>
          </w:tcPr>
          <w:p>
            <w:r/>
            <w:r>
              <w:rPr>
                <w:rFonts w:ascii="Arial" w:hAnsi="Arial"/>
                <w:b w:val="0"/>
                <w:sz w:val="15"/>
                <w:rFonts w:ascii="Arial" w:hAnsi="Arial" w:eastAsia="Arial"/>
              </w:rPr>
              <w:t>capacity</w:t>
            </w:r>
          </w:p>
        </w:tc>
        <w:tc>
          <w:tcPr>
            <w:tcW w:type="dxa" w:w="3475"/>
            <w:vAlign w:val="center"/>
          </w:tcPr>
          <w:p>
            <w:r/>
            <w:r>
              <w:rPr>
                <w:rFonts w:ascii="Arial" w:hAnsi="Arial"/>
                <w:b w:val="0"/>
                <w:sz w:val="15"/>
                <w:rFonts w:ascii="Arial" w:hAnsi="Arial" w:eastAsia="Arial"/>
              </w:rPr>
              <w:t>numeric</w:t>
            </w:r>
          </w:p>
        </w:tc>
        <w:tc>
          <w:tcPr>
            <w:tcW w:type="dxa" w:w="3475"/>
            <w:vAlign w:val="center"/>
          </w:tcPr>
          <w:p>
            <w:r/>
            <w:r>
              <w:rPr>
                <w:rFonts w:ascii="Arial" w:hAnsi="Arial"/>
                <w:b w:val="0"/>
                <w:sz w:val="15"/>
                <w:rFonts w:ascii="Arial" w:hAnsi="Arial" w:eastAsia="Arial"/>
              </w:rPr>
              <w:t>Annual/monthly throughput capacity</w:t>
            </w:r>
          </w:p>
        </w:tc>
      </w:tr>
      <w:tr>
        <w:tc>
          <w:tcPr>
            <w:tcW w:type="dxa" w:w="3475"/>
            <w:vAlign w:val="center"/>
          </w:tcPr>
          <w:p>
            <w:r/>
            <w:r>
              <w:rPr>
                <w:rFonts w:ascii="Arial" w:hAnsi="Arial"/>
                <w:b w:val="0"/>
                <w:sz w:val="15"/>
                <w:rFonts w:ascii="Arial" w:hAnsi="Arial" w:eastAsia="Arial"/>
              </w:rPr>
              <w:t>fixed_cost</w:t>
            </w:r>
          </w:p>
        </w:tc>
        <w:tc>
          <w:tcPr>
            <w:tcW w:type="dxa" w:w="3475"/>
            <w:vAlign w:val="center"/>
          </w:tcPr>
          <w:p>
            <w:r/>
            <w:r>
              <w:rPr>
                <w:rFonts w:ascii="Arial" w:hAnsi="Arial"/>
                <w:b w:val="0"/>
                <w:sz w:val="15"/>
                <w:rFonts w:ascii="Arial" w:hAnsi="Arial" w:eastAsia="Arial"/>
              </w:rPr>
              <w:t>numeric</w:t>
            </w:r>
          </w:p>
        </w:tc>
        <w:tc>
          <w:tcPr>
            <w:tcW w:type="dxa" w:w="3475"/>
            <w:vAlign w:val="center"/>
          </w:tcPr>
          <w:p>
            <w:r/>
            <w:r>
              <w:rPr>
                <w:rFonts w:ascii="Arial" w:hAnsi="Arial"/>
                <w:b w:val="0"/>
                <w:sz w:val="15"/>
                <w:rFonts w:ascii="Arial" w:hAnsi="Arial" w:eastAsia="Arial"/>
              </w:rPr>
              <w:t>Annual fixed cost</w:t>
            </w:r>
          </w:p>
        </w:tc>
      </w:tr>
      <w:tr>
        <w:tc>
          <w:tcPr>
            <w:tcW w:type="dxa" w:w="3475"/>
            <w:vAlign w:val="center"/>
          </w:tcPr>
          <w:p>
            <w:r/>
            <w:r>
              <w:rPr>
                <w:rFonts w:ascii="Arial" w:hAnsi="Arial"/>
                <w:b w:val="0"/>
                <w:sz w:val="15"/>
                <w:rFonts w:ascii="Arial" w:hAnsi="Arial" w:eastAsia="Arial"/>
              </w:rPr>
              <w:t>handling_cost</w:t>
            </w:r>
          </w:p>
        </w:tc>
        <w:tc>
          <w:tcPr>
            <w:tcW w:type="dxa" w:w="3475"/>
            <w:vAlign w:val="center"/>
          </w:tcPr>
          <w:p>
            <w:r/>
            <w:r>
              <w:rPr>
                <w:rFonts w:ascii="Arial" w:hAnsi="Arial"/>
                <w:b w:val="0"/>
                <w:sz w:val="15"/>
                <w:rFonts w:ascii="Arial" w:hAnsi="Arial" w:eastAsia="Arial"/>
              </w:rPr>
              <w:t>numeric</w:t>
            </w:r>
          </w:p>
        </w:tc>
        <w:tc>
          <w:tcPr>
            <w:tcW w:type="dxa" w:w="3475"/>
            <w:vAlign w:val="center"/>
          </w:tcPr>
          <w:p>
            <w:r/>
            <w:r>
              <w:rPr>
                <w:rFonts w:ascii="Arial" w:hAnsi="Arial"/>
                <w:b w:val="0"/>
                <w:sz w:val="15"/>
                <w:rFonts w:ascii="Arial" w:hAnsi="Arial" w:eastAsia="Arial"/>
              </w:rPr>
              <w:t>Cost per unit handled</w:t>
            </w:r>
          </w:p>
        </w:tc>
      </w:tr>
    </w:tbl>
    <w:p/>
    <w:p>
      <w:pPr>
        <w:pStyle w:val="Heading1"/>
      </w:pPr>
      <w:r>
        <w:t>Appendix B. Formula summary</w:t>
      </w:r>
    </w:p>
    <w:tbl>
      <w:tblPr>
        <w:tblStyle w:val="TableGrid"/>
        <w:tblW w:type="auto" w:w="0"/>
        <w:tblLook w:firstColumn="1" w:firstRow="1" w:lastColumn="0" w:lastRow="0" w:noHBand="0" w:noVBand="1" w:val="04A0"/>
      </w:tblPr>
      <w:tblGrid>
        <w:gridCol w:w="10426"/>
      </w:tblGrid>
      <w:tr>
        <w:tc>
          <w:tcPr>
            <w:tcW w:type="dxa" w:w="10426"/>
            <w:shd w:fill="F2F2F2"/>
          </w:tcPr>
          <w:p>
            <w:r/>
          </w:p>
          <w:p>
            <w:r>
              <w:rPr>
                <w:rFonts w:ascii="Consolas" w:hAnsi="Consolas"/>
                <w:sz w:val="18"/>
              </w:rPr>
              <w:t>Demand_i = sum outbound shipments from i + sum inbound shipments to i</w:t>
            </w:r>
          </w:p>
          <w:p>
            <w:r>
              <w:rPr>
                <w:rFonts w:ascii="Consolas" w:hAnsi="Consolas"/>
                <w:sz w:val="18"/>
              </w:rPr>
              <w:t>D_i,t = AnnualDemand_i / 12 x SeasonalIndex_t x RegionalSeasonFactor_i</w:t>
            </w:r>
          </w:p>
          <w:p>
            <w:r>
              <w:rPr>
                <w:rFonts w:ascii="Consolas" w:hAnsi="Consolas"/>
                <w:sz w:val="18"/>
              </w:rPr>
              <w:t>TransportCost_i,j = Demand_i x Distance_i,j x Rate_i,j</w:t>
            </w:r>
          </w:p>
          <w:p>
            <w:r>
              <w:rPr>
                <w:rFonts w:ascii="Consolas" w:hAnsi="Consolas"/>
                <w:sz w:val="18"/>
              </w:rPr>
              <w:t>TotalCost = FixedCost + TransportCost + HandlingCost + Seasonal/OverloadPenalty</w:t>
            </w:r>
          </w:p>
          <w:p>
            <w:r>
              <w:rPr>
                <w:rFonts w:ascii="Consolas" w:hAnsi="Consolas"/>
                <w:sz w:val="18"/>
              </w:rPr>
              <w:t>Utilization_j = AssignedDemand_j / Capacity_j</w:t>
            </w:r>
          </w:p>
          <w:p>
            <w:r>
              <w:rPr>
                <w:rFonts w:ascii="Consolas" w:hAnsi="Consolas"/>
                <w:sz w:val="18"/>
              </w:rPr>
              <w:t>PeakUtilization_j,t = AssignedDemand_j,t / MonthlyCapacity_j,t</w:t>
            </w:r>
          </w:p>
          <w:p>
            <w:r>
              <w:rPr>
                <w:rFonts w:ascii="Consolas" w:hAnsi="Consolas"/>
                <w:sz w:val="18"/>
              </w:rPr>
              <w:t>Coverage_R = demand within service radius R / total demand</w:t>
            </w:r>
          </w:p>
        </w:tc>
      </w:tr>
    </w:tbl>
    <w:p/>
    <w:p>
      <w:pPr>
        <w:pStyle w:val="Heading1"/>
      </w:pPr>
      <w:r>
        <w:t>Appendix C. Source references</w:t>
      </w:r>
    </w:p>
    <w:p>
      <w:r>
        <w:t>Các tài liệu nền tảng nên được ghi trong báo cáo/thuyết trình:</w:t>
      </w:r>
    </w:p>
    <w:p>
      <w:pPr>
        <w:pStyle w:val="ListBullet"/>
      </w:pPr>
      <w:r>
        <w:t>Distribution Network Design slides: facility location, capacity allocation, market/supply allocation, UFLP, P-median, P-center, SCLP, MCLP.</w:t>
      </w:r>
    </w:p>
    <w:p>
      <w:pPr>
        <w:pStyle w:val="ListBullet"/>
      </w:pPr>
      <w:r>
        <w:t>Aggregate Planning slides: capacity cost, planning horizon, capacity/inventory/backlog trade-off, constraints and outputs of aggregate planning.</w:t>
      </w:r>
    </w:p>
    <w:p>
      <w:pPr>
        <w:pStyle w:val="ListBullet"/>
      </w:pPr>
      <w:r>
        <w:t>Sales &amp; Operations Planning slides: predictable variability, managing supply/demand, S&amp;OP process and planning integration.</w:t>
      </w:r>
    </w:p>
    <w:p>
      <w:pPr>
        <w:pStyle w:val="ListBullet"/>
      </w:pPr>
      <w:r>
        <w:t>Overview of Logistics slides: logistics definition, transportation, warehousing, storage, inventory control, order fulfillment, logistics cost categories.</w:t>
      </w:r>
    </w:p>
    <w:p>
      <w:pPr>
        <w:pStyle w:val="ListBullet"/>
      </w:pPr>
      <w:r>
        <w:t>Chopra, Meindl &amp; Kalra, Supply Chain Management: Strategy, Planning, and Operation, 6th edition: network design, aggregate planning, S&amp;OP, transportation, inventory and sustainability.</w:t>
      </w:r>
    </w:p>
    <w:p>
      <w:pPr>
        <w:pStyle w:val="ListBullet"/>
      </w:pPr>
      <w:r>
        <w:t>Public Korean Freight O/D data and warehouse registration data can be used as proxy datasets during the research prototype. In a real enterprise product, customer shipment/order data replaces public O/D data.</w:t>
      </w:r>
    </w:p>
    <w:sectPr w:rsidR="00FC693F" w:rsidRPr="0006063C" w:rsidSect="00034616">
      <w:footerReference w:type="default" r:id="rId9"/>
      <w:pgSz w:w="12240" w:h="15840"/>
      <w:pgMar w:top="907"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LogiHub Intelligence | Strategic Warehouse &amp; Logistics Hub Allocation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