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LogiHub Cost Engine — 6 Cost Components &amp; Industry Benchmarks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8" w:name="X62afcccc173ca23e746cc5670527746db36d45c"/>
    <w:p>
      <w:pPr>
        <w:pStyle w:val="Heading1"/>
      </w:pPr>
      <w:r>
        <w:t xml:space="preserve">LOGIHUB COST ENGINE — 6 COST COMPONENTS &amp; INDUSTRY BENCHMARKS</w:t>
      </w:r>
    </w:p>
    <w:p>
      <w:pPr>
        <w:pStyle w:val="FirstParagraph"/>
      </w:pPr>
      <w:r>
        <w:rPr>
          <w:iCs/>
          <w:i/>
        </w:rPr>
        <w:t xml:space="preserve">This document explains in detail Module 6 (Cost Engine) of LogiHub. Group B implements Module 6 using this document as the sole reference source.</w:t>
      </w:r>
      <w:r>
        <w:t xml:space="preserve"> </w:t>
      </w:r>
      <w:r>
        <w:rPr>
          <w:iCs/>
          <w:i/>
        </w:rPr>
        <w:t xml:space="preserve">본 문서는 LogiHub의 모듈 6(비용 엔진)을 상세히 설명한다. 그룹 B는 본 문서를 유일한 참고 자료로 사용하여 모듈 6을 구현한다.</w:t>
      </w:r>
    </w:p>
    <w:p>
      <w:r>
        <w:pict>
          <v:rect style="width:0;height:1.5pt" o:hralign="center" o:hrstd="t" o:hr="t"/>
        </w:pict>
      </w:r>
    </w:p>
    <w:bookmarkStart w:id="20" w:name="overview-개요"/>
    <w:p>
      <w:pPr>
        <w:pStyle w:val="Heading2"/>
      </w:pPr>
      <w:r>
        <w:t xml:space="preserve">1. OVERVIEW / 개요</w:t>
      </w:r>
    </w:p>
    <w:p>
      <w:pPr>
        <w:pStyle w:val="FirstParagraph"/>
      </w:pPr>
      <w:r>
        <w:t xml:space="preserve">When the LogiHub engine calculates the total cost of a logistics network, it aggregates</w:t>
      </w:r>
      <w:r>
        <w:t xml:space="preserve"> </w:t>
      </w:r>
      <w:r>
        <w:rPr>
          <w:bCs/>
          <w:b/>
        </w:rPr>
        <w:t xml:space="preserve">6 distinct cost components</w:t>
      </w:r>
      <w:r>
        <w:t xml:space="preserve">. Each component has a specific mathematical formulation and requires one or more</w:t>
      </w:r>
      <w:r>
        <w:t xml:space="preserve"> </w:t>
      </w:r>
      <w:r>
        <w:rPr>
          <w:bCs/>
          <w:b/>
        </w:rPr>
        <w:t xml:space="preserve">coefficients</w:t>
      </w:r>
      <w:r>
        <w:t xml:space="preserve"> </w:t>
      </w:r>
      <w:r>
        <w:t xml:space="preserve">(rates, percentages, or fixed values). Since actual proprietary freight contracts (such as Samsung’s internal contracts) are unavailable, these coefficients are derived from</w:t>
      </w:r>
      <w:r>
        <w:t xml:space="preserve"> </w:t>
      </w:r>
      <w:r>
        <w:rPr>
          <w:bCs/>
          <w:b/>
        </w:rPr>
        <w:t xml:space="preserve">industry-average benchmarks in logistics</w:t>
      </w:r>
      <w:r>
        <w:t xml:space="preserve"> </w:t>
      </w:r>
      <w:r>
        <w:t xml:space="preserve">— referred to as</w:t>
      </w:r>
      <w:r>
        <w:t xml:space="preserve"> </w:t>
      </w:r>
      <w:r>
        <w:t xml:space="preserve">“</w:t>
      </w:r>
      <w:r>
        <w:t xml:space="preserve">industry benchmark coefficients.</w:t>
      </w:r>
      <w:r>
        <w:t xml:space="preserve">”</w:t>
      </w:r>
    </w:p>
    <w:p>
      <w:pPr>
        <w:pStyle w:val="BodyText"/>
      </w:pPr>
      <w:r>
        <w:rPr>
          <w:iCs/>
          <w:i/>
        </w:rPr>
        <w:t xml:space="preserve">LogiHub 엔진이 물류 네트워크의 총비용을 계산할 때,</w:t>
      </w:r>
      <w:r>
        <w:rPr>
          <w:iCs/>
          <w:i/>
        </w:rPr>
        <w:t xml:space="preserve"> </w:t>
      </w:r>
      <w:r>
        <w:rPr>
          <w:bCs/>
          <w:b/>
          <w:iCs/>
          <w:i/>
        </w:rPr>
        <w:t xml:space="preserve">6가지 개별 비용 구성 요소</w:t>
      </w:r>
      <w:r>
        <w:rPr>
          <w:iCs/>
          <w:i/>
        </w:rPr>
        <w:t xml:space="preserve">를 합산한다. 각 구성 요소는 고유한 공식을 가지며, 하나 이상의</w:t>
      </w:r>
      <w:r>
        <w:rPr>
          <w:iCs/>
          <w:i/>
        </w:rPr>
        <w:t xml:space="preserve"> </w:t>
      </w:r>
      <w:r>
        <w:rPr>
          <w:bCs/>
          <w:b/>
          <w:iCs/>
          <w:i/>
        </w:rPr>
        <w:t xml:space="preserve">계수</w:t>
      </w:r>
      <w:r>
        <w:rPr>
          <w:iCs/>
          <w:i/>
        </w:rPr>
        <w:t xml:space="preserve">(요율, 비율, 고정값)를 필요로 한다. 실제 물류 계약 데이터(예: 삼성 내부 계약)를 사용할 수 없으므로, 이러한 계수들은</w:t>
      </w:r>
      <w:r>
        <w:rPr>
          <w:iCs/>
          <w:i/>
        </w:rPr>
        <w:t xml:space="preserve"> </w:t>
      </w:r>
      <w:r>
        <w:rPr>
          <w:bCs/>
          <w:b/>
          <w:iCs/>
          <w:i/>
        </w:rPr>
        <w:t xml:space="preserve">물류 산업 평균 벤치마크</w:t>
      </w:r>
      <w:r>
        <w:rPr>
          <w:iCs/>
          <w:i/>
        </w:rPr>
        <w:t xml:space="preserve">(</w:t>
      </w:r>
      <w:r>
        <w:rPr>
          <w:iCs/>
          <w:i/>
        </w:rPr>
        <w:t xml:space="preserve">“</w:t>
      </w:r>
      <w:r>
        <w:rPr>
          <w:iCs/>
          <w:i/>
        </w:rPr>
        <w:t xml:space="preserve">산업 벤치마크 계수</w:t>
      </w:r>
      <w:r>
        <w:rPr>
          <w:iCs/>
          <w:i/>
        </w:rPr>
        <w:t xml:space="preserve">”</w:t>
      </w:r>
      <w:r>
        <w:rPr>
          <w:iCs/>
          <w:i/>
        </w:rPr>
        <w:t xml:space="preserve">)에서 도출되었다.</w:t>
      </w:r>
    </w:p>
    <w:p>
      <w:r>
        <w:pict>
          <v:rect style="width:0;height:1.5pt" o:hralign="center" o:hrstd="t" o:hr="t"/>
        </w:pict>
      </w:r>
    </w:p>
    <w:bookmarkEnd w:id="20"/>
    <w:bookmarkStart w:id="21" w:name="total-cost-formulation-총비용-공식"/>
    <w:p>
      <w:pPr>
        <w:pStyle w:val="Heading2"/>
      </w:pPr>
      <w:r>
        <w:t xml:space="preserve">2. TOTAL COST FORMULATION / 총비용 공식</w:t>
      </w:r>
    </w:p>
    <w:p>
      <w:pPr>
        <w:pStyle w:val="SourceCode"/>
      </w:pPr>
      <w:r>
        <w:rPr>
          <w:rStyle w:val="VerbatimChar"/>
        </w:rPr>
        <w:t xml:space="preserve">TOTAL ANNUAL LOGISTICS COST / 연간 총 물류 비용</w:t>
      </w:r>
      <w:r>
        <w:br/>
      </w:r>
      <w:r>
        <w:rPr>
          <w:rStyle w:val="VerbatimChar"/>
        </w:rPr>
        <w:t xml:space="preserve">=</w:t>
      </w:r>
      <w:r>
        <w:br/>
      </w:r>
      <w:r>
        <w:rPr>
          <w:rStyle w:val="VerbatimChar"/>
        </w:rPr>
        <w:t xml:space="preserve">(1) Transportation Cost / 운송 비용</w:t>
      </w:r>
      <w:r>
        <w:br/>
      </w:r>
      <w:r>
        <w:rPr>
          <w:rStyle w:val="VerbatimChar"/>
        </w:rPr>
        <w:t xml:space="preserve">+ (2) Warehouse Fixed Cost / 물류창고 고정 비용</w:t>
      </w:r>
      <w:r>
        <w:br/>
      </w:r>
      <w:r>
        <w:rPr>
          <w:rStyle w:val="VerbatimChar"/>
        </w:rPr>
        <w:t xml:space="preserve">+ (3) Handling Cost / 하역 및 처리 비용</w:t>
      </w:r>
      <w:r>
        <w:br/>
      </w:r>
      <w:r>
        <w:rPr>
          <w:rStyle w:val="VerbatimChar"/>
        </w:rPr>
        <w:t xml:space="preserve">+ (4) Inventory Holding Cost / 재고 보유 비용</w:t>
      </w:r>
      <w:r>
        <w:br/>
      </w:r>
      <w:r>
        <w:rPr>
          <w:rStyle w:val="VerbatimChar"/>
        </w:rPr>
        <w:t xml:space="preserve">+ (5) Seasonal Flex Cost / 성수기 유연성 비용</w:t>
      </w:r>
      <w:r>
        <w:br/>
      </w:r>
      <w:r>
        <w:rPr>
          <w:rStyle w:val="VerbatimChar"/>
        </w:rPr>
        <w:t xml:space="preserve">+ (6) SLA Penalty / SLA 패널티 및 배송 지연 비용</w:t>
      </w:r>
    </w:p>
    <w:p>
      <w:pPr>
        <w:pStyle w:val="FirstParagraph"/>
      </w:pPr>
      <w:r>
        <w:t xml:space="preserve">Each component can be calculated in detail across dimensions (demand region × warehouse × product line × month). The engine stores these values in a 5-dimensional</w:t>
      </w:r>
      <w:r>
        <w:t xml:space="preserve"> </w:t>
      </w:r>
      <w:r>
        <w:rPr>
          <w:bCs/>
          <w:b/>
        </w:rPr>
        <w:t xml:space="preserve">cost tensor</w:t>
      </w:r>
      <w:r>
        <w:t xml:space="preserve"> </w:t>
      </w:r>
      <w:r>
        <w:rPr>
          <w:rStyle w:val="VerbatimChar"/>
        </w:rPr>
        <w:t xml:space="preserve">C[i, j, p, t, k]</w:t>
      </w:r>
      <w:r>
        <w:t xml:space="preserve">, where</w:t>
      </w:r>
      <w:r>
        <w:t xml:space="preserve"> </w:t>
      </w:r>
      <w:r>
        <w:rPr>
          <w:rStyle w:val="VerbatimChar"/>
        </w:rPr>
        <w:t xml:space="preserve">k</w:t>
      </w:r>
      <w:r>
        <w:t xml:space="preserve"> </w:t>
      </w:r>
      <w:r>
        <w:t xml:space="preserve">represents the index of the 6 cost components.</w:t>
      </w:r>
    </w:p>
    <w:p>
      <w:pPr>
        <w:pStyle w:val="BodyText"/>
      </w:pPr>
      <w:r>
        <w:rPr>
          <w:iCs/>
          <w:i/>
        </w:rPr>
        <w:t xml:space="preserve">각 구성 요소는 (수요 지역 × 창고 × 제품군 × 월) 차원에 따라 상세히 계산될 수 있다. 엔진은 이러한 값들을 5차원</w:t>
      </w:r>
      <w:r>
        <w:rPr>
          <w:iCs/>
          <w:i/>
        </w:rPr>
        <w:t xml:space="preserve"> </w:t>
      </w:r>
      <w:r>
        <w:rPr>
          <w:bCs/>
          <w:b/>
          <w:iCs/>
          <w:i/>
        </w:rPr>
        <w:t xml:space="preserve">비용 텐서(cost tensor)</w:t>
      </w:r>
      <w:r>
        <w:rPr>
          <w:iCs/>
          <w:i/>
        </w:rPr>
        <w:t xml:space="preserve"> </w:t>
      </w:r>
      <w:r>
        <w:rPr>
          <w:rStyle w:val="VerbatimChar"/>
          <w:iCs/>
          <w:i/>
        </w:rPr>
        <w:t xml:space="preserve">C[i, j, p, t, k]</w:t>
      </w:r>
      <w:r>
        <w:rPr>
          <w:iCs/>
          <w:i/>
        </w:rPr>
        <w:t xml:space="preserve"> </w:t>
      </w:r>
      <w:r>
        <w:rPr>
          <w:iCs/>
          <w:i/>
        </w:rPr>
        <w:t xml:space="preserve">형태로 저장하며, 여기서</w:t>
      </w:r>
      <w:r>
        <w:rPr>
          <w:iCs/>
          <w:i/>
        </w:rPr>
        <w:t xml:space="preserve"> </w:t>
      </w:r>
      <w:r>
        <w:rPr>
          <w:rStyle w:val="VerbatimChar"/>
          <w:iCs/>
          <w:i/>
        </w:rPr>
        <w:t xml:space="preserve">k</w:t>
      </w:r>
      <w:r>
        <w:rPr>
          <w:iCs/>
          <w:i/>
        </w:rPr>
        <w:t xml:space="preserve">는 6가지 비용 구성 요소의 인덱스를 나타낸다.</w:t>
      </w:r>
    </w:p>
    <w:p>
      <w:r>
        <w:pict>
          <v:rect style="width:0;height:1.5pt" o:hralign="center" o:hrstd="t" o:hr="t"/>
        </w:pict>
      </w:r>
    </w:p>
    <w:bookmarkEnd w:id="21"/>
    <w:bookmarkStart w:id="28" w:name="cost-component-details-비용-구성-요소별-상세-내용"/>
    <w:p>
      <w:pPr>
        <w:pStyle w:val="Heading2"/>
      </w:pPr>
      <w:r>
        <w:t xml:space="preserve">3. COST COMPONENT DETAILS / 비용 구성 요소별 상세 내용</w:t>
      </w:r>
    </w:p>
    <w:bookmarkStart w:id="22" w:name="transportation-cost-운송-비용-transport-cost"/>
    <w:p>
      <w:pPr>
        <w:pStyle w:val="Heading3"/>
      </w:pPr>
      <w:r>
        <w:t xml:space="preserve">3.1 Transportation Cost / 운송 비용 (Transport Cost)</w:t>
      </w:r>
    </w:p>
    <w:p>
      <w:pPr>
        <w:pStyle w:val="FirstParagraph"/>
      </w:pPr>
      <w:r>
        <w:rPr>
          <w:bCs/>
          <w:b/>
        </w:rPr>
        <w:t xml:space="preserve">Definition:</w:t>
      </w:r>
      <w:r>
        <w:t xml:space="preserve"> </w:t>
      </w:r>
      <w:r>
        <w:t xml:space="preserve">Payments made to truck, vessel, or air carriers to move freight from warehouses to demand points.</w:t>
      </w:r>
      <w:r>
        <w:t xml:space="preserve"> </w:t>
      </w:r>
      <w:r>
        <w:rPr>
          <w:iCs/>
          <w:i/>
        </w:rPr>
        <w:t xml:space="preserve">정의: 창고에서 수요지까지 화물을 이동하기 위해 트럭, 선박, 항공 운송업체에 지불하는 비용.</w:t>
      </w:r>
    </w:p>
    <w:p>
      <w:pPr>
        <w:pStyle w:val="BodyText"/>
      </w:pPr>
      <w:r>
        <w:rPr>
          <w:bCs/>
          <w:b/>
        </w:rPr>
        <w:t xml:space="preserve">Mathematical Formulation:</w:t>
      </w:r>
      <w:r>
        <w:t xml:space="preserve"> </w:t>
      </w:r>
      <w:r>
        <w:rPr>
          <w:iCs/>
          <w:i/>
        </w:rPr>
        <w:t xml:space="preserve">공식:</w:t>
      </w:r>
    </w:p>
    <w:p>
      <w:pPr>
        <w:pStyle w:val="BodyText"/>
      </w:pPr>
      <m:oMathPara>
        <m:oMathParaPr>
          <m:jc m:val="center"/>
        </m:oMathParaPr>
        <m:oMath>
          <m:r>
            <m:rPr>
              <m:nor/>
              <m:sty m:val="p"/>
            </m:rPr>
            <m:t>TransportCost</m:t>
          </m:r>
          <m:r>
            <m:rPr>
              <m:sty m:val="p"/>
            </m:rPr>
            <m:t>=</m:t>
          </m:r>
          <m:r>
            <m:rPr>
              <m:nor/>
              <m:sty m:val="p"/>
            </m:rPr>
            <m:t>Demand (tons)</m:t>
          </m:r>
          <m:r>
            <m:rPr>
              <m:sty m:val="p"/>
            </m:rPr>
            <m:t>×</m:t>
          </m:r>
          <m:r>
            <m:rPr>
              <m:nor/>
              <m:sty m:val="p"/>
            </m:rPr>
            <m:t>Distance (km)</m:t>
          </m:r>
          <m:r>
            <m:rPr>
              <m:sty m:val="p"/>
            </m:rPr>
            <m:t>×</m:t>
          </m:r>
          <m:r>
            <m:rPr>
              <m:nor/>
              <m:sty m:val="p"/>
            </m:rPr>
            <m:t>Rate (USD/ton-km)</m:t>
          </m:r>
          <m:r>
            <m:rPr>
              <m:sty m:val="p"/>
            </m:rPr>
            <m:t>×</m:t>
          </m:r>
          <m:r>
            <m:rPr>
              <m:sty m:val="p"/>
            </m:rPr>
            <m:t>(</m:t>
          </m:r>
          <m:r>
            <m:t>1</m:t>
          </m:r>
          <m:r>
            <m:rPr>
              <m:sty m:val="p"/>
            </m:rPr>
            <m:t>+</m:t>
          </m:r>
          <m:r>
            <m:rPr>
              <m:nor/>
              <m:sty m:val="p"/>
            </m:rPr>
            <m:t>Surcharge</m:t>
          </m:r>
          <m:r>
            <m:rPr>
              <m:sty m:val="p"/>
            </m:rPr>
            <m:t>)</m:t>
          </m:r>
        </m:oMath>
      </m:oMathPara>
    </w:p>
    <w:p>
      <w:pPr>
        <w:pStyle w:val="FirstParagraph"/>
      </w:pPr>
      <w:r>
        <w:rPr>
          <w:bCs/>
          <w:b/>
        </w:rPr>
        <w:t xml:space="preserve">Freight Rates by Product Line:</w:t>
      </w:r>
      <w:r>
        <w:t xml:space="preserve"> </w:t>
      </w:r>
      <w:r>
        <w:rPr>
          <w:iCs/>
          <w:i/>
        </w:rPr>
        <w:t xml:space="preserve">제품군별 운송 요율:</w:t>
      </w:r>
    </w:p>
    <w:tbl>
      <w:tblPr>
        <w:tblStyle w:val="Table"/>
        <w:tblW w:type="pct" w:w="5000.0"/>
        <w:tblLook w:firstRow="1" w:lastRow="0" w:firstColumn="0" w:lastColumn="0" w:noHBand="0" w:noVBand="0" w:val="0020"/>
      </w:tblPr>
      <w:tblGrid>
        <w:gridCol w:w="2376"/>
        <w:gridCol w:w="3168"/>
        <w:gridCol w:w="2376"/>
      </w:tblGrid>
      <w:tr>
        <w:tc>
          <w:p>
            <w:pPr>
              <w:pStyle w:val="Compact"/>
              <w:jc w:val="left"/>
            </w:pPr>
            <w:r>
              <w:t xml:space="preserve">Product Line / 제품군</w:t>
            </w:r>
          </w:p>
        </w:tc>
        <w:tc>
          <w:p>
            <w:pPr>
              <w:pStyle w:val="Compact"/>
              <w:jc w:val="right"/>
            </w:pPr>
            <w:r>
              <w:t xml:space="preserve">Rate (USD/ton-km)</w:t>
            </w:r>
          </w:p>
        </w:tc>
        <w:tc>
          <w:p>
            <w:pPr>
              <w:pStyle w:val="Compact"/>
              <w:jc w:val="left"/>
            </w:pPr>
            <w:r>
              <w:t xml:space="preserve">Rationale / 요율 차이 사유</w:t>
            </w:r>
          </w:p>
        </w:tc>
      </w:tr>
      <w:tr>
        <w:tc>
          <w:p>
            <w:pPr>
              <w:pStyle w:val="Compact"/>
              <w:jc w:val="left"/>
            </w:pPr>
            <w:r>
              <w:t xml:space="preserve">Mobile launch / 모바일 출시</w:t>
            </w:r>
          </w:p>
        </w:tc>
        <w:tc>
          <w:p>
            <w:pPr>
              <w:pStyle w:val="Compact"/>
              <w:jc w:val="right"/>
            </w:pPr>
            <w:r>
              <w:t xml:space="preserve">0.18</w:t>
            </w:r>
          </w:p>
        </w:tc>
        <w:tc>
          <w:p>
            <w:pPr>
              <w:pStyle w:val="Compact"/>
              <w:jc w:val="left"/>
            </w:pPr>
            <w:r>
              <w:t xml:space="preserve">Express priority + high insurance coverage / 특송 우선순위 + 높은 보험 가입</w:t>
            </w:r>
          </w:p>
        </w:tc>
      </w:tr>
      <w:tr>
        <w:tc>
          <w:p>
            <w:pPr>
              <w:pStyle w:val="Compact"/>
              <w:jc w:val="left"/>
            </w:pPr>
            <w:r>
              <w:t xml:space="preserve">Bulky appliance / 대형 가전</w:t>
            </w:r>
          </w:p>
        </w:tc>
        <w:tc>
          <w:p>
            <w:pPr>
              <w:pStyle w:val="Compact"/>
              <w:jc w:val="right"/>
            </w:pPr>
            <w:r>
              <w:t xml:space="preserve">0.13</w:t>
            </w:r>
          </w:p>
        </w:tc>
        <w:tc>
          <w:p>
            <w:pPr>
              <w:pStyle w:val="Compact"/>
              <w:jc w:val="left"/>
            </w:pPr>
            <w:r>
              <w:t xml:space="preserve">Bulky volume, standard transit / 대형 화물, 표준 운송</w:t>
            </w:r>
          </w:p>
        </w:tc>
      </w:tr>
      <w:tr>
        <w:tc>
          <w:p>
            <w:pPr>
              <w:pStyle w:val="Compact"/>
              <w:jc w:val="left"/>
            </w:pPr>
            <w:r>
              <w:t xml:space="preserve">High-value secure (chip) / 고가 보안 화물 (칩)</w:t>
            </w:r>
          </w:p>
        </w:tc>
        <w:tc>
          <w:p>
            <w:pPr>
              <w:pStyle w:val="Compact"/>
              <w:jc w:val="right"/>
            </w:pPr>
            <w:r>
              <w:t xml:space="preserve">0.35</w:t>
            </w:r>
          </w:p>
        </w:tc>
        <w:tc>
          <w:p>
            <w:pPr>
              <w:pStyle w:val="Compact"/>
              <w:jc w:val="left"/>
            </w:pPr>
            <w:r>
              <w:t xml:space="preserve">High security, armored vehicles, escort / 철저한 보안, 전용 차량, 에스코트</w:t>
            </w:r>
          </w:p>
        </w:tc>
      </w:tr>
      <w:tr>
        <w:tc>
          <w:p>
            <w:pPr>
              <w:pStyle w:val="Compact"/>
              <w:jc w:val="left"/>
            </w:pPr>
            <w:r>
              <w:t xml:space="preserve">Finished goods / 일반 완제품</w:t>
            </w:r>
          </w:p>
        </w:tc>
        <w:tc>
          <w:p>
            <w:pPr>
              <w:pStyle w:val="Compact"/>
              <w:jc w:val="right"/>
            </w:pPr>
            <w:r>
              <w:t xml:space="preserve">0.10</w:t>
            </w:r>
          </w:p>
        </w:tc>
        <w:tc>
          <w:p>
            <w:pPr>
              <w:pStyle w:val="Compact"/>
              <w:jc w:val="left"/>
            </w:pPr>
            <w:r>
              <w:t xml:space="preserve">Standard trucking rate / 표준 트럭 운송 요율</w:t>
            </w:r>
          </w:p>
        </w:tc>
      </w:tr>
      <w:tr>
        <w:tc>
          <w:p>
            <w:pPr>
              <w:pStyle w:val="Compact"/>
              <w:jc w:val="left"/>
            </w:pPr>
            <w:r>
              <w:t xml:space="preserve">Spare parts / 예비 부품</w:t>
            </w:r>
          </w:p>
        </w:tc>
        <w:tc>
          <w:p>
            <w:pPr>
              <w:pStyle w:val="Compact"/>
              <w:jc w:val="right"/>
            </w:pPr>
            <w:r>
              <w:t xml:space="preserve">0.15</w:t>
            </w:r>
          </w:p>
        </w:tc>
        <w:tc>
          <w:p>
            <w:pPr>
              <w:pStyle w:val="Compact"/>
              <w:jc w:val="left"/>
            </w:pPr>
            <w:r>
              <w:t xml:space="preserve">Express delivery 24-48h / 24-48시간 내 신속 배송</w:t>
            </w:r>
          </w:p>
        </w:tc>
      </w:tr>
      <w:tr>
        <w:tc>
          <w:p>
            <w:pPr>
              <w:pStyle w:val="Compact"/>
              <w:jc w:val="left"/>
            </w:pPr>
            <w:r>
              <w:t xml:space="preserve">E-commerce small / 이커머스 소형 화물</w:t>
            </w:r>
          </w:p>
        </w:tc>
        <w:tc>
          <w:p>
            <w:pPr>
              <w:pStyle w:val="Compact"/>
              <w:jc w:val="right"/>
            </w:pPr>
            <w:r>
              <w:t xml:space="preserve">0.12</w:t>
            </w:r>
          </w:p>
        </w:tc>
        <w:tc>
          <w:p>
            <w:pPr>
              <w:pStyle w:val="Compact"/>
              <w:jc w:val="left"/>
            </w:pPr>
            <w:r>
              <w:t xml:space="preserve">Small parcel last-mile / 소형 패키지 라스트마일 배송</w:t>
            </w:r>
          </w:p>
        </w:tc>
      </w:tr>
    </w:tbl>
    <w:p>
      <w:pPr>
        <w:pStyle w:val="BodyText"/>
      </w:pPr>
      <w:r>
        <w:rPr>
          <w:bCs/>
          <w:b/>
        </w:rPr>
        <w:t xml:space="preserve">Surcharges:</w:t>
      </w:r>
      <w:r>
        <w:t xml:space="preserve"> </w:t>
      </w:r>
      <w:r>
        <w:rPr>
          <w:iCs/>
          <w:i/>
        </w:rPr>
        <w:t xml:space="preserve">할증료 (Surcharges):</w:t>
      </w:r>
    </w:p>
    <w:tbl>
      <w:tblPr>
        <w:tblStyle w:val="Table"/>
        <w:tblW w:type="pct" w:w="5000.0"/>
        <w:tblLook w:firstRow="1" w:lastRow="0" w:firstColumn="0" w:lastColumn="0" w:noHBand="0" w:noVBand="0" w:val="0020"/>
      </w:tblPr>
      <w:tblGrid>
        <w:gridCol w:w="2376"/>
        <w:gridCol w:w="3168"/>
        <w:gridCol w:w="2376"/>
      </w:tblGrid>
      <w:tr>
        <w:tc>
          <w:p>
            <w:pPr>
              <w:pStyle w:val="Compact"/>
              <w:jc w:val="left"/>
            </w:pPr>
            <w:r>
              <w:t xml:space="preserve">Condition / 조건</w:t>
            </w:r>
          </w:p>
        </w:tc>
        <w:tc>
          <w:p>
            <w:pPr>
              <w:pStyle w:val="Compact"/>
              <w:jc w:val="right"/>
            </w:pPr>
            <w:r>
              <w:t xml:space="preserve">Surcharge / 할증률</w:t>
            </w:r>
          </w:p>
        </w:tc>
        <w:tc>
          <w:p>
            <w:pPr>
              <w:pStyle w:val="Compact"/>
              <w:jc w:val="left"/>
            </w:pPr>
            <w:r>
              <w:t xml:space="preserve">Rationale / 적용 사유</w:t>
            </w:r>
          </w:p>
        </w:tc>
      </w:tr>
      <w:tr>
        <w:tc>
          <w:p>
            <w:pPr>
              <w:pStyle w:val="Compact"/>
              <w:jc w:val="left"/>
            </w:pPr>
            <w:r>
              <w:t xml:space="preserve">Long-haul &gt; 300 km / 장거리 (&gt;300 km)</w:t>
            </w:r>
          </w:p>
        </w:tc>
        <w:tc>
          <w:p>
            <w:pPr>
              <w:pStyle w:val="Compact"/>
              <w:jc w:val="right"/>
            </w:pPr>
            <w:r>
              <w:t xml:space="preserve">+8%</w:t>
            </w:r>
          </w:p>
        </w:tc>
        <w:tc>
          <w:p>
            <w:pPr>
              <w:pStyle w:val="Compact"/>
              <w:jc w:val="left"/>
            </w:pPr>
            <w:r>
              <w:t xml:space="preserve">Driver fatigue, road tolls / 운전사 피로도, 고속도로 통행료</w:t>
            </w:r>
          </w:p>
        </w:tc>
      </w:tr>
      <w:tr>
        <w:tc>
          <w:p>
            <w:pPr>
              <w:pStyle w:val="Compact"/>
              <w:jc w:val="left"/>
            </w:pPr>
            <w:r>
              <w:t xml:space="preserve">Jeju Island / 제주도 (섬 지역)</w:t>
            </w:r>
          </w:p>
        </w:tc>
        <w:tc>
          <w:p>
            <w:pPr>
              <w:pStyle w:val="Compact"/>
              <w:jc w:val="right"/>
            </w:pPr>
            <w:r>
              <w:t xml:space="preserve">+35%</w:t>
            </w:r>
          </w:p>
        </w:tc>
        <w:tc>
          <w:p>
            <w:pPr>
              <w:pStyle w:val="Compact"/>
              <w:jc w:val="left"/>
            </w:pPr>
            <w:r>
              <w:t xml:space="preserve">Ferry transport surcharge / 페리 선적 운송 비용</w:t>
            </w:r>
          </w:p>
        </w:tc>
      </w:tr>
      <w:tr>
        <w:tc>
          <w:p>
            <w:pPr>
              <w:pStyle w:val="Compact"/>
              <w:jc w:val="left"/>
            </w:pPr>
            <w:r>
              <w:t xml:space="preserve">Bulky freight / 부피 화물</w:t>
            </w:r>
          </w:p>
        </w:tc>
        <w:tc>
          <w:p>
            <w:pPr>
              <w:pStyle w:val="Compact"/>
              <w:jc w:val="right"/>
            </w:pPr>
            <w:r>
              <w:t xml:space="preserve">+20%</w:t>
            </w:r>
          </w:p>
        </w:tc>
        <w:tc>
          <w:p>
            <w:pPr>
              <w:pStyle w:val="Compact"/>
              <w:jc w:val="left"/>
            </w:pPr>
            <w:r>
              <w:t xml:space="preserve">Underutilized weight capacity / 중량 대비 공간 점유율 높음</w:t>
            </w:r>
          </w:p>
        </w:tc>
      </w:tr>
      <w:tr>
        <w:tc>
          <w:p>
            <w:pPr>
              <w:pStyle w:val="Compact"/>
              <w:jc w:val="left"/>
            </w:pPr>
            <w:r>
              <w:t xml:space="preserve">High security / 고보안 운송</w:t>
            </w:r>
          </w:p>
        </w:tc>
        <w:tc>
          <w:p>
            <w:pPr>
              <w:pStyle w:val="Compact"/>
              <w:jc w:val="right"/>
            </w:pPr>
            <w:r>
              <w:t xml:space="preserve">+25%</w:t>
            </w:r>
          </w:p>
        </w:tc>
        <w:tc>
          <w:p>
            <w:pPr>
              <w:pStyle w:val="Compact"/>
              <w:jc w:val="left"/>
            </w:pPr>
            <w:r>
              <w:t xml:space="preserve">Specialized monitoring, safe stops / 전용 모니터링, 안전 구역 주차</w:t>
            </w:r>
          </w:p>
        </w:tc>
      </w:tr>
      <w:tr>
        <w:tc>
          <w:p>
            <w:pPr>
              <w:pStyle w:val="Compact"/>
              <w:jc w:val="left"/>
            </w:pPr>
            <w:r>
              <w:t xml:space="preserve">Expedited delivery / 긴급 배송</w:t>
            </w:r>
          </w:p>
        </w:tc>
        <w:tc>
          <w:p>
            <w:pPr>
              <w:pStyle w:val="Compact"/>
              <w:jc w:val="right"/>
            </w:pPr>
            <w:r>
              <w:t xml:space="preserve">+50%</w:t>
            </w:r>
          </w:p>
        </w:tc>
        <w:tc>
          <w:p>
            <w:pPr>
              <w:pStyle w:val="Compact"/>
              <w:jc w:val="left"/>
            </w:pPr>
            <w:r>
              <w:t xml:space="preserve">Dedicated trucks, immediate routing / 전용 차량 배차, 즉시 출발</w:t>
            </w:r>
          </w:p>
        </w:tc>
      </w:tr>
    </w:tbl>
    <w:p>
      <w:pPr>
        <w:pStyle w:val="BodyText"/>
      </w:pPr>
      <w:r>
        <w:rPr>
          <w:bCs/>
          <w:b/>
        </w:rPr>
        <w:t xml:space="preserve">Example Calculation / 계산 예시:</w:t>
      </w:r>
      <w:r>
        <w:t xml:space="preserve"> </w:t>
      </w:r>
      <w:r>
        <w:t xml:space="preserve">Transporting 100 tons of mobile phones from Suwon to Busan (385 km) with a long-haul surcharge of +8%:</w:t>
      </w:r>
      <w:r>
        <w:t xml:space="preserve"> </w:t>
      </w:r>
      <w:r>
        <w:rPr>
          <w:iCs/>
          <w:i/>
        </w:rPr>
        <w:t xml:space="preserve">수원에서 부산(385 km)까지 모바일 폰 100톤을 운송하는 경우 (장거리 할증 +8% 적용):</w:t>
      </w:r>
    </w:p>
    <w:p>
      <w:pPr>
        <w:pStyle w:val="BodyText"/>
      </w:pPr>
      <m:oMathPara>
        <m:oMathParaPr>
          <m:jc m:val="center"/>
        </m:oMathParaPr>
        <m:oMath>
          <m:r>
            <m:t>100</m:t>
          </m:r>
          <m:r>
            <m:rPr>
              <m:nor/>
              <m:sty m:val="p"/>
            </m:rPr>
            <m:t> tons</m:t>
          </m:r>
          <m:r>
            <m:rPr>
              <m:sty m:val="p"/>
            </m:rPr>
            <m:t>×</m:t>
          </m:r>
          <m:r>
            <m:t>385</m:t>
          </m:r>
          <m:r>
            <m:rPr>
              <m:nor/>
              <m:sty m:val="p"/>
            </m:rPr>
            <m:t> km</m:t>
          </m:r>
          <m:r>
            <m:rPr>
              <m:sty m:val="p"/>
            </m:rPr>
            <m:t>×</m:t>
          </m:r>
          <m:r>
            <m:t>0.18</m:t>
          </m:r>
          <m:r>
            <m:rPr>
              <m:nor/>
              <m:sty m:val="p"/>
            </m:rPr>
            <m:t> USD/ton-km</m:t>
          </m:r>
          <m:r>
            <m:rPr>
              <m:sty m:val="p"/>
            </m:rPr>
            <m:t>×</m:t>
          </m:r>
          <m:r>
            <m:t>1.08</m:t>
          </m:r>
          <m:r>
            <m:rPr>
              <m:sty m:val="p"/>
            </m:rPr>
            <m:t>=</m:t>
          </m:r>
          <m:r>
            <m:t>7</m:t>
          </m:r>
          <m:r>
            <m:rPr>
              <m:sty m:val="p"/>
            </m:rPr>
            <m:t>,</m:t>
          </m:r>
          <m:r>
            <m:t>484</m:t>
          </m:r>
          <m:r>
            <m:rPr>
              <m:nor/>
              <m:sty m:val="p"/>
            </m:rPr>
            <m:t> USD</m:t>
          </m:r>
        </m:oMath>
      </m:oMathPara>
    </w:p>
    <w:p>
      <w:r>
        <w:pict>
          <v:rect style="width:0;height:1.5pt" o:hralign="center" o:hrstd="t" o:hr="t"/>
        </w:pict>
      </w:r>
    </w:p>
    <w:bookmarkEnd w:id="22"/>
    <w:bookmarkStart w:id="23" w:name="Xb320cfe3ab7b2c3cfc6e4e7c9ea042948020e93"/>
    <w:p>
      <w:pPr>
        <w:pStyle w:val="Heading3"/>
      </w:pPr>
      <w:r>
        <w:t xml:space="preserve">3.2 Warehouse Fixed Cost / 물류창고 고정 비용 (Warehouse Fixed Cost)</w:t>
      </w:r>
    </w:p>
    <w:p>
      <w:pPr>
        <w:pStyle w:val="FirstParagraph"/>
      </w:pPr>
      <w:r>
        <w:rPr>
          <w:bCs/>
          <w:b/>
        </w:rPr>
        <w:t xml:space="preserve">Definition:</w:t>
      </w:r>
      <w:r>
        <w:t xml:space="preserve"> </w:t>
      </w:r>
      <w:r>
        <w:t xml:space="preserve">Annualized expense of leasing, operating, securing, and maintaining a warehouse facility—incurred regardless of the actual throughput volume.</w:t>
      </w:r>
      <w:r>
        <w:t xml:space="preserve"> </w:t>
      </w:r>
      <w:r>
        <w:rPr>
          <w:iCs/>
          <w:i/>
        </w:rPr>
        <w:t xml:space="preserve">정의: 창고 임대, 운영, 보안 및 시스템 유지 관리에 소요되는 연간 비용. 처리 물동량에 관계없이 고정적으로 발생.</w:t>
      </w:r>
    </w:p>
    <w:p>
      <w:pPr>
        <w:pStyle w:val="BodyText"/>
      </w:pPr>
      <w:r>
        <w:rPr>
          <w:bCs/>
          <w:b/>
        </w:rPr>
        <w:t xml:space="preserve">Mathematical Formulation:</w:t>
      </w:r>
      <w:r>
        <w:t xml:space="preserve"> </w:t>
      </w:r>
      <w:r>
        <w:rPr>
          <w:iCs/>
          <w:i/>
        </w:rPr>
        <w:t xml:space="preserve">공식:</w:t>
      </w:r>
    </w:p>
    <w:p>
      <w:pPr>
        <w:pStyle w:val="BodyText"/>
      </w:pPr>
      <m:oMathPara>
        <m:oMathParaPr>
          <m:jc m:val="center"/>
        </m:oMathParaPr>
        <m:oMath>
          <m:sSub>
            <m:e>
              <m:r>
                <m:rPr>
                  <m:nor/>
                  <m:sty m:val="p"/>
                </m:rPr>
                <m:t>WarehouseFixedCost</m:t>
              </m:r>
            </m:e>
            <m:sub>
              <m:r>
                <m:t>j</m:t>
              </m:r>
            </m:sub>
          </m:sSub>
          <m:r>
            <m:rPr>
              <m:sty m:val="p"/>
            </m:rPr>
            <m:t>=</m:t>
          </m:r>
          <m:sSub>
            <m:e>
              <m:r>
                <m:t>F</m:t>
              </m:r>
            </m:e>
            <m:sub>
              <m:r>
                <m:t>j</m:t>
              </m:r>
            </m:sub>
          </m:sSub>
          <m:r>
            <m:rPr>
              <m:sty m:val="p"/>
            </m:rPr>
            <m:t>×</m:t>
          </m:r>
          <m:sSub>
            <m:e>
              <m:r>
                <m:t>y</m:t>
              </m:r>
            </m:e>
            <m:sub>
              <m:r>
                <m:t>j</m:t>
              </m:r>
            </m:sub>
          </m:sSub>
        </m:oMath>
      </m:oMathPara>
    </w:p>
    <w:p>
      <w:pPr>
        <w:pStyle w:val="FirstParagraph"/>
      </w:pPr>
      <w:r>
        <w:t xml:space="preserve">where</w:t>
      </w:r>
      <w:r>
        <w:t xml:space="preserve"> </w:t>
      </w:r>
      <m:oMath>
        <m:sSub>
          <m:e>
            <m:r>
              <m:t>F</m:t>
            </m:r>
          </m:e>
          <m:sub>
            <m:r>
              <m:t>j</m:t>
            </m:r>
          </m:sub>
        </m:sSub>
      </m:oMath>
      <w:r>
        <w:t xml:space="preserve"> </w:t>
      </w:r>
      <w:r>
        <w:t xml:space="preserve">is the annual fixed cost of warehouse</w:t>
      </w:r>
      <w:r>
        <w:t xml:space="preserve"> </w:t>
      </w:r>
      <m:oMath>
        <m:r>
          <m:t>j</m:t>
        </m:r>
      </m:oMath>
      <w:r>
        <w:t xml:space="preserve">, and</w:t>
      </w:r>
      <w:r>
        <w:t xml:space="preserve"> </w:t>
      </w:r>
      <m:oMath>
        <m:sSub>
          <m:e>
            <m:r>
              <m:t>y</m:t>
            </m:r>
          </m:e>
          <m:sub>
            <m:r>
              <m:t>j</m:t>
            </m:r>
          </m:sub>
        </m:sSub>
        <m:r>
          <m:rPr>
            <m:sty m:val="p"/>
          </m:rPr>
          <m:t>∈</m:t>
        </m:r>
        <m:r>
          <m:rPr>
            <m:sty m:val="p"/>
          </m:rPr>
          <m:t>{</m:t>
        </m:r>
        <m:r>
          <m:t>0</m:t>
        </m:r>
        <m:r>
          <m:rPr>
            <m:sty m:val="p"/>
          </m:rPr>
          <m:t>,</m:t>
        </m:r>
        <m:r>
          <m:t>1</m:t>
        </m:r>
        <m:r>
          <m:rPr>
            <m:sty m:val="p"/>
          </m:rPr>
          <m:t>}</m:t>
        </m:r>
      </m:oMath>
      <w:r>
        <w:t xml:space="preserve"> </w:t>
      </w:r>
      <w:r>
        <w:t xml:space="preserve">is a binary variable indicating whether warehouse</w:t>
      </w:r>
      <w:r>
        <w:t xml:space="preserve"> </w:t>
      </w:r>
      <m:oMath>
        <m:r>
          <m:t>j</m:t>
        </m:r>
      </m:oMath>
      <w:r>
        <w:t xml:space="preserve"> </w:t>
      </w:r>
      <w:r>
        <w:t xml:space="preserve">is open (</w:t>
      </w:r>
      <m:oMath>
        <m:sSub>
          <m:e>
            <m:r>
              <m:t>y</m:t>
            </m:r>
          </m:e>
          <m:sub>
            <m:r>
              <m:t>j</m:t>
            </m:r>
          </m:sub>
        </m:sSub>
        <m:r>
          <m:rPr>
            <m:sty m:val="p"/>
          </m:rPr>
          <m:t>=</m:t>
        </m:r>
        <m:r>
          <m:t>1</m:t>
        </m:r>
      </m:oMath>
      <w:r>
        <w:t xml:space="preserve">) or closed (</w:t>
      </w:r>
      <m:oMath>
        <m:sSub>
          <m:e>
            <m:r>
              <m:t>y</m:t>
            </m:r>
          </m:e>
          <m:sub>
            <m:r>
              <m:t>j</m:t>
            </m:r>
          </m:sub>
        </m:sSub>
        <m:r>
          <m:rPr>
            <m:sty m:val="p"/>
          </m:rPr>
          <m:t>=</m:t>
        </m:r>
        <m:r>
          <m:t>0</m:t>
        </m:r>
      </m:oMath>
      <w:r>
        <w:t xml:space="preserve">).</w:t>
      </w:r>
      <w:r>
        <w:t xml:space="preserve"> </w:t>
      </w:r>
      <w:r>
        <w:rPr>
          <w:iCs/>
          <w:i/>
        </w:rPr>
        <w:t xml:space="preserve">여기서</w:t>
      </w:r>
      <w:r>
        <w:rPr>
          <w:iCs/>
          <w:i/>
        </w:rPr>
        <w:t xml:space="preserve"> </w:t>
      </w:r>
      <m:oMath>
        <m:sSub>
          <m:e>
            <m:r>
              <m:t>F</m:t>
            </m:r>
          </m:e>
          <m:sub>
            <m:r>
              <m:t>j</m:t>
            </m:r>
          </m:sub>
        </m:sSub>
      </m:oMath>
      <w:r>
        <w:rPr>
          <w:iCs/>
          <w:i/>
        </w:rPr>
        <w:t xml:space="preserve">는 창고</w:t>
      </w:r>
      <w:r>
        <w:rPr>
          <w:iCs/>
          <w:i/>
        </w:rPr>
        <w:t xml:space="preserve"> </w:t>
      </w:r>
      <m:oMath>
        <m:r>
          <m:t>j</m:t>
        </m:r>
      </m:oMath>
      <w:r>
        <w:rPr>
          <w:iCs/>
          <w:i/>
        </w:rPr>
        <w:t xml:space="preserve">의 연간 고정 비용이며,</w:t>
      </w:r>
      <w:r>
        <w:rPr>
          <w:iCs/>
          <w:i/>
        </w:rPr>
        <w:t xml:space="preserve"> </w:t>
      </w:r>
      <m:oMath>
        <m:sSub>
          <m:e>
            <m:r>
              <m:t>y</m:t>
            </m:r>
          </m:e>
          <m:sub>
            <m:r>
              <m:t>j</m:t>
            </m:r>
          </m:sub>
        </m:sSub>
      </m:oMath>
      <w:r>
        <w:rPr>
          <w:iCs/>
          <w:i/>
        </w:rPr>
        <w:t xml:space="preserve">는 창고</w:t>
      </w:r>
      <w:r>
        <w:rPr>
          <w:iCs/>
          <w:i/>
        </w:rPr>
        <w:t xml:space="preserve"> </w:t>
      </w:r>
      <m:oMath>
        <m:r>
          <m:t>j</m:t>
        </m:r>
      </m:oMath>
      <w:r>
        <w:rPr>
          <w:iCs/>
          <w:i/>
        </w:rPr>
        <w:t xml:space="preserve">의 개설 여부를 나타내는 이진 변수이다 (개설 시 1, 폐쇄 시 0).</w:t>
      </w:r>
    </w:p>
    <w:p>
      <w:pPr>
        <w:pStyle w:val="BodyText"/>
      </w:pPr>
      <w:r>
        <w:rPr>
          <w:bCs/>
          <w:b/>
        </w:rPr>
        <w:t xml:space="preserve">Fixed Cost Benchmarks by Facility Type (USD/year):</w:t>
      </w:r>
      <w:r>
        <w:t xml:space="preserve"> </w:t>
      </w:r>
      <w:r>
        <w:rPr>
          <w:iCs/>
          <w:i/>
        </w:rPr>
        <w:t xml:space="preserve">시설 유형별 고정 비용 벤치마크:</w:t>
      </w:r>
    </w:p>
    <w:tbl>
      <w:tblPr>
        <w:tblStyle w:val="Table"/>
        <w:tblW w:type="pct" w:w="5000.0"/>
        <w:tblLook w:firstRow="1" w:lastRow="0" w:firstColumn="0" w:lastColumn="0" w:noHBand="0" w:noVBand="0" w:val="0020"/>
      </w:tblPr>
      <w:tblGrid>
        <w:gridCol w:w="2160"/>
        <w:gridCol w:w="2880"/>
        <w:gridCol w:w="2880"/>
      </w:tblGrid>
      <w:tr>
        <w:tc>
          <w:p>
            <w:pPr>
              <w:pStyle w:val="Compact"/>
              <w:jc w:val="left"/>
            </w:pPr>
            <w:r>
              <w:t xml:space="preserve">Facility Type / 창고 유형</w:t>
            </w:r>
          </w:p>
        </w:tc>
        <w:tc>
          <w:p>
            <w:pPr>
              <w:pStyle w:val="Compact"/>
              <w:jc w:val="right"/>
            </w:pPr>
            <w:r>
              <w:t xml:space="preserve">Standard Footprint / 표준 면적</w:t>
            </w:r>
          </w:p>
        </w:tc>
        <w:tc>
          <w:p>
            <w:pPr>
              <w:pStyle w:val="Compact"/>
              <w:jc w:val="right"/>
            </w:pPr>
            <w:r>
              <w:t xml:space="preserve">Fixed Cost/Year / 연간 고정 비용 (USD)</w:t>
            </w:r>
          </w:p>
        </w:tc>
      </w:tr>
      <w:tr>
        <w:tc>
          <w:p>
            <w:pPr>
              <w:pStyle w:val="Compact"/>
              <w:jc w:val="left"/>
            </w:pPr>
            <w:r>
              <w:t xml:space="preserve">Metropolitan Hub (Seoul/Suwon) / 수도권 허브</w:t>
            </w:r>
          </w:p>
        </w:tc>
        <w:tc>
          <w:p>
            <w:pPr>
              <w:pStyle w:val="Compact"/>
              <w:jc w:val="right"/>
            </w:pPr>
            <w:r>
              <w:t xml:space="preserve">25,000 m²</w:t>
            </w:r>
          </w:p>
        </w:tc>
        <w:tc>
          <w:p>
            <w:pPr>
              <w:pStyle w:val="Compact"/>
              <w:jc w:val="right"/>
            </w:pPr>
            <w:r>
              <w:t xml:space="preserve">6,800,000</w:t>
            </w:r>
          </w:p>
        </w:tc>
      </w:tr>
      <w:tr>
        <w:tc>
          <w:p>
            <w:pPr>
              <w:pStyle w:val="Compact"/>
              <w:jc w:val="left"/>
            </w:pPr>
            <w:r>
              <w:t xml:space="preserve">Regional Hub (Daejeon/Busan/Gwangju) / 권역별 허브</w:t>
            </w:r>
          </w:p>
        </w:tc>
        <w:tc>
          <w:p>
            <w:pPr>
              <w:pStyle w:val="Compact"/>
              <w:jc w:val="right"/>
            </w:pPr>
            <w:r>
              <w:t xml:space="preserve">22,000 m²</w:t>
            </w:r>
          </w:p>
        </w:tc>
        <w:tc>
          <w:p>
            <w:pPr>
              <w:pStyle w:val="Compact"/>
              <w:jc w:val="right"/>
            </w:pPr>
            <w:r>
              <w:t xml:space="preserve">5,400,000</w:t>
            </w:r>
          </w:p>
        </w:tc>
      </w:tr>
      <w:tr>
        <w:tc>
          <w:p>
            <w:pPr>
              <w:pStyle w:val="Compact"/>
              <w:jc w:val="left"/>
            </w:pPr>
            <w:r>
              <w:t xml:space="preserve">Dedicated Launch Center (Gumi) / 전용 출시 센터</w:t>
            </w:r>
          </w:p>
        </w:tc>
        <w:tc>
          <w:p>
            <w:pPr>
              <w:pStyle w:val="Compact"/>
              <w:jc w:val="right"/>
            </w:pPr>
            <w:r>
              <w:t xml:space="preserve">18,000 m²</w:t>
            </w:r>
          </w:p>
        </w:tc>
        <w:tc>
          <w:p>
            <w:pPr>
              <w:pStyle w:val="Compact"/>
              <w:jc w:val="right"/>
            </w:pPr>
            <w:r>
              <w:t xml:space="preserve">4,200,000</w:t>
            </w:r>
          </w:p>
        </w:tc>
      </w:tr>
      <w:tr>
        <w:tc>
          <w:p>
            <w:pPr>
              <w:pStyle w:val="Compact"/>
              <w:jc w:val="left"/>
            </w:pPr>
            <w:r>
              <w:t xml:space="preserve">Small Service Node / 소형 서비스 노드</w:t>
            </w:r>
          </w:p>
        </w:tc>
        <w:tc>
          <w:p>
            <w:pPr>
              <w:pStyle w:val="Compact"/>
              <w:jc w:val="right"/>
            </w:pPr>
            <w:r>
              <w:t xml:space="preserve">14,000 m²</w:t>
            </w:r>
          </w:p>
        </w:tc>
        <w:tc>
          <w:p>
            <w:pPr>
              <w:pStyle w:val="Compact"/>
              <w:jc w:val="right"/>
            </w:pPr>
            <w:r>
              <w:t xml:space="preserve">3,400,000</w:t>
            </w:r>
          </w:p>
        </w:tc>
      </w:tr>
      <w:tr>
        <w:tc>
          <w:p>
            <w:pPr>
              <w:pStyle w:val="Compact"/>
              <w:jc w:val="left"/>
            </w:pPr>
            <w:r>
              <w:t xml:space="preserve">High-Security Node (Semiconductors) / 고보안 노드 (반도체)</w:t>
            </w:r>
          </w:p>
        </w:tc>
        <w:tc>
          <w:p>
            <w:pPr>
              <w:pStyle w:val="Compact"/>
              <w:jc w:val="right"/>
            </w:pPr>
            <w:r>
              <w:t xml:space="preserve">20,000 m²</w:t>
            </w:r>
          </w:p>
        </w:tc>
        <w:tc>
          <w:p>
            <w:pPr>
              <w:pStyle w:val="Compact"/>
              <w:jc w:val="right"/>
            </w:pPr>
            <w:r>
              <w:t xml:space="preserve">7,500,000</w:t>
            </w:r>
          </w:p>
        </w:tc>
      </w:tr>
    </w:tbl>
    <w:p>
      <w:pPr>
        <w:pStyle w:val="BodyText"/>
      </w:pPr>
      <w:r>
        <w:rPr>
          <w:bCs/>
          <w:b/>
        </w:rPr>
        <w:t xml:space="preserve">Cost Driver Rationale:</w:t>
      </w:r>
      <w:r>
        <w:t xml:space="preserve"> </w:t>
      </w:r>
      <w:r>
        <w:t xml:space="preserve">Cost variances are driven by geographic location (Seoul land rent is significantly higher than Gwangju), security level requirements (semiconductor chips require extensive CCTV networks, biometric entry, and motion sensors), and automation technology level.</w:t>
      </w:r>
      <w:r>
        <w:t xml:space="preserve"> </w:t>
      </w:r>
      <w:r>
        <w:rPr>
          <w:iCs/>
          <w:i/>
        </w:rPr>
        <w:t xml:space="preserve">비용 차이 사유: 지리적 위치(서울의 임대료가 광주보다 훨씬 높음), 요구되는 보안 수준(반도체 창고는 광범위한 CCTV, 생체 인식 출입 및 모션 센서 필요), 물류 자동화 설비 수준에 따라 차이가 발생.</w:t>
      </w:r>
    </w:p>
    <w:p>
      <w:r>
        <w:pict>
          <v:rect style="width:0;height:1.5pt" o:hralign="center" o:hrstd="t" o:hr="t"/>
        </w:pict>
      </w:r>
    </w:p>
    <w:bookmarkEnd w:id="23"/>
    <w:bookmarkStart w:id="24" w:name="handling-cost-하역-및-처리-비용-handling-cost"/>
    <w:p>
      <w:pPr>
        <w:pStyle w:val="Heading3"/>
      </w:pPr>
      <w:r>
        <w:t xml:space="preserve">3.3 Handling Cost / 하역 및 처리 비용 (Handling Cost)</w:t>
      </w:r>
    </w:p>
    <w:p>
      <w:pPr>
        <w:pStyle w:val="FirstParagraph"/>
      </w:pPr>
      <w:r>
        <w:rPr>
          <w:bCs/>
          <w:b/>
        </w:rPr>
        <w:t xml:space="preserve">Definition:</w:t>
      </w:r>
      <w:r>
        <w:t xml:space="preserve"> </w:t>
      </w:r>
      <w:r>
        <w:t xml:space="preserve">Expenses incurred per ton of cargo processed through the facility, covering activities such as loading, unloading, packing, serial counting, and labeling.</w:t>
      </w:r>
      <w:r>
        <w:t xml:space="preserve"> </w:t>
      </w:r>
      <w:r>
        <w:rPr>
          <w:iCs/>
          <w:i/>
        </w:rPr>
        <w:t xml:space="preserve">정의: 창고를 거치는 화물 1톤당 발생하는 물리적 처리 비용. 상하차, 포장, 일련번호 검수, 라벨링 작업 등을 포함.</w:t>
      </w:r>
    </w:p>
    <w:p>
      <w:pPr>
        <w:pStyle w:val="BodyText"/>
      </w:pPr>
      <w:r>
        <w:rPr>
          <w:bCs/>
          <w:b/>
        </w:rPr>
        <w:t xml:space="preserve">Mathematical Formulation:</w:t>
      </w:r>
      <w:r>
        <w:t xml:space="preserve"> </w:t>
      </w:r>
      <w:r>
        <w:rPr>
          <w:iCs/>
          <w:i/>
        </w:rPr>
        <w:t xml:space="preserve">공식:</w:t>
      </w:r>
    </w:p>
    <w:p>
      <w:pPr>
        <w:pStyle w:val="BodyText"/>
      </w:pPr>
      <m:oMathPara>
        <m:oMathParaPr>
          <m:jc m:val="center"/>
        </m:oMathParaPr>
        <m:oMath>
          <m:r>
            <m:rPr>
              <m:nor/>
              <m:sty m:val="p"/>
            </m:rPr>
            <m:t>HandlingCost</m:t>
          </m:r>
          <m:r>
            <m:rPr>
              <m:sty m:val="p"/>
            </m:rPr>
            <m:t>=</m:t>
          </m:r>
          <m:r>
            <m:rPr>
              <m:nor/>
              <m:sty m:val="p"/>
            </m:rPr>
            <m:t>Volume (tons)</m:t>
          </m:r>
          <m:r>
            <m:rPr>
              <m:sty m:val="p"/>
            </m:rPr>
            <m:t>×</m:t>
          </m:r>
          <m:r>
            <m:rPr>
              <m:nor/>
              <m:sty m:val="p"/>
            </m:rPr>
            <m:t>HandlingRate (USD/ton)</m:t>
          </m:r>
        </m:oMath>
      </m:oMathPara>
    </w:p>
    <w:p>
      <w:pPr>
        <w:pStyle w:val="FirstParagraph"/>
      </w:pPr>
      <w:r>
        <w:rPr>
          <w:bCs/>
          <w:b/>
        </w:rPr>
        <w:t xml:space="preserve">Handling Benchmarks by Product Line (USD/ton):</w:t>
      </w:r>
      <w:r>
        <w:t xml:space="preserve"> </w:t>
      </w:r>
      <w:r>
        <w:rPr>
          <w:iCs/>
          <w:i/>
        </w:rPr>
        <w:t xml:space="preserve">제품군별 하역/처리 요율 벤치마크:</w:t>
      </w:r>
    </w:p>
    <w:tbl>
      <w:tblPr>
        <w:tblStyle w:val="Table"/>
        <w:tblW w:type="pct" w:w="0.0"/>
        <w:tblLook w:firstRow="1" w:lastRow="0" w:firstColumn="0" w:lastColumn="0" w:noHBand="0" w:noVBand="0" w:val="0020"/>
      </w:tblPr>
      <w:tblGrid/>
      <w:tr>
        <w:tc>
          <w:p>
            <w:pPr>
              <w:pStyle w:val="Compact"/>
              <w:jc w:val="left"/>
            </w:pPr>
            <w:r>
              <w:t xml:space="preserve">Product Line / 제품군</w:t>
            </w:r>
          </w:p>
        </w:tc>
        <w:tc>
          <w:p>
            <w:pPr>
              <w:pStyle w:val="Compact"/>
              <w:jc w:val="right"/>
            </w:pPr>
            <w:r>
              <w:t xml:space="preserve">Handling Rate (USD/ton) / 처리 요율</w:t>
            </w:r>
          </w:p>
        </w:tc>
      </w:tr>
      <w:tr>
        <w:tc>
          <w:p>
            <w:pPr>
              <w:pStyle w:val="Compact"/>
              <w:jc w:val="left"/>
            </w:pPr>
            <w:r>
              <w:t xml:space="preserve">Mobile launch / 모바일 출시</w:t>
            </w:r>
          </w:p>
        </w:tc>
        <w:tc>
          <w:p>
            <w:pPr>
              <w:pStyle w:val="Compact"/>
              <w:jc w:val="right"/>
            </w:pPr>
            <w:r>
              <w:t xml:space="preserve">25</w:t>
            </w:r>
          </w:p>
        </w:tc>
      </w:tr>
      <w:tr>
        <w:tc>
          <w:p>
            <w:pPr>
              <w:pStyle w:val="Compact"/>
              <w:jc w:val="left"/>
            </w:pPr>
            <w:r>
              <w:t xml:space="preserve">Bulky appliance / 대형 가전</w:t>
            </w:r>
          </w:p>
        </w:tc>
        <w:tc>
          <w:p>
            <w:pPr>
              <w:pStyle w:val="Compact"/>
              <w:jc w:val="right"/>
            </w:pPr>
            <w:r>
              <w:t xml:space="preserve">45</w:t>
            </w:r>
          </w:p>
        </w:tc>
      </w:tr>
      <w:tr>
        <w:tc>
          <w:p>
            <w:pPr>
              <w:pStyle w:val="Compact"/>
              <w:jc w:val="left"/>
            </w:pPr>
            <w:r>
              <w:t xml:space="preserve">High-value secure (chip) / 고가 보안 화물</w:t>
            </w:r>
          </w:p>
        </w:tc>
        <w:tc>
          <w:p>
            <w:pPr>
              <w:pStyle w:val="Compact"/>
              <w:jc w:val="right"/>
            </w:pPr>
            <w:r>
              <w:t xml:space="preserve">80</w:t>
            </w:r>
          </w:p>
        </w:tc>
      </w:tr>
      <w:tr>
        <w:tc>
          <w:p>
            <w:pPr>
              <w:pStyle w:val="Compact"/>
              <w:jc w:val="left"/>
            </w:pPr>
            <w:r>
              <w:t xml:space="preserve">Finished goods / 일반 완제품</w:t>
            </w:r>
          </w:p>
        </w:tc>
        <w:tc>
          <w:p>
            <w:pPr>
              <w:pStyle w:val="Compact"/>
              <w:jc w:val="right"/>
            </w:pPr>
            <w:r>
              <w:t xml:space="preserve">18</w:t>
            </w:r>
          </w:p>
        </w:tc>
      </w:tr>
      <w:tr>
        <w:tc>
          <w:p>
            <w:pPr>
              <w:pStyle w:val="Compact"/>
              <w:jc w:val="left"/>
            </w:pPr>
            <w:r>
              <w:t xml:space="preserve">Spare parts / 예비 부품</w:t>
            </w:r>
          </w:p>
        </w:tc>
        <w:tc>
          <w:p>
            <w:pPr>
              <w:pStyle w:val="Compact"/>
              <w:jc w:val="right"/>
            </w:pPr>
            <w:r>
              <w:t xml:space="preserve">22</w:t>
            </w:r>
          </w:p>
        </w:tc>
      </w:tr>
      <w:tr>
        <w:tc>
          <w:p>
            <w:pPr>
              <w:pStyle w:val="Compact"/>
              <w:jc w:val="left"/>
            </w:pPr>
            <w:r>
              <w:t xml:space="preserve">E-commerce small / 이커머스 소형</w:t>
            </w:r>
          </w:p>
        </w:tc>
        <w:tc>
          <w:p>
            <w:pPr>
              <w:pStyle w:val="Compact"/>
              <w:jc w:val="right"/>
            </w:pPr>
            <w:r>
              <w:t xml:space="preserve">20</w:t>
            </w:r>
          </w:p>
        </w:tc>
      </w:tr>
    </w:tbl>
    <w:p>
      <w:pPr>
        <w:pStyle w:val="BodyText"/>
      </w:pPr>
      <w:r>
        <w:rPr>
          <w:bCs/>
          <w:b/>
        </w:rPr>
        <w:t xml:space="preserve">Operational Rationale:</w:t>
      </w:r>
      <w:r>
        <w:t xml:space="preserve"> </w:t>
      </w:r>
      <w:r>
        <w:t xml:space="preserve">Bulky appliances require specialized heavy forklifts and two-man handling teams (45 USD/ton); high-value secure items require serial validation, continuous camera monitoring, and biometric logging (80 USD/ton); mobile launch goods require customized retail kit-packing (25 USD/ton); and standard finished goods require only basic pallet staging (18 USD/ton).</w:t>
      </w:r>
      <w:r>
        <w:t xml:space="preserve"> </w:t>
      </w:r>
      <w:r>
        <w:rPr>
          <w:iCs/>
          <w:i/>
        </w:rPr>
        <w:t xml:space="preserve">작업적 차이 사유: 대형 가전은 전용 중장비 지게차와 2인 1조 작업반이 필요함(45 USD/톤); 고가 보안 제품은 일련번호 검수, 실시간 카메라 녹화 및 생체 출입 기록이 필수적임(80 USD/톤); 모바일 출시 제품은 대형 소매용 키트 패킹 작업이 수반됨(25 USD/톤); 일반 완제품은 단순 팔레트 적재만 필요함(18 USD/톤).</w:t>
      </w:r>
    </w:p>
    <w:p>
      <w:r>
        <w:pict>
          <v:rect style="width:0;height:1.5pt" o:hralign="center" o:hrstd="t" o:hr="t"/>
        </w:pict>
      </w:r>
    </w:p>
    <w:bookmarkEnd w:id="24"/>
    <w:bookmarkStart w:id="25" w:name="X4abcbcbc47d4d09707cacef8832f4e5cf0eee2d"/>
    <w:p>
      <w:pPr>
        <w:pStyle w:val="Heading3"/>
      </w:pPr>
      <w:r>
        <w:t xml:space="preserve">3.4 Inventory Holding Cost / 재고 보유 비용 (Inventory Holding Cost)</w:t>
      </w:r>
    </w:p>
    <w:p>
      <w:pPr>
        <w:pStyle w:val="FirstParagraph"/>
      </w:pPr>
      <w:r>
        <w:rPr>
          <w:bCs/>
          <w:b/>
        </w:rPr>
        <w:t xml:space="preserve">Definition:</w:t>
      </w:r>
      <w:r>
        <w:t xml:space="preserve"> </w:t>
      </w:r>
      <w:r>
        <w:t xml:space="preserve">Capital tied up in physical inventory—representing the opportunity cost of capital (interest rates) plus physical storage risk and insurance.</w:t>
      </w:r>
      <w:r>
        <w:t xml:space="preserve"> </w:t>
      </w:r>
      <w:r>
        <w:rPr>
          <w:iCs/>
          <w:i/>
        </w:rPr>
        <w:t xml:space="preserve">정의: 보관 중인 실물 재고에 묶인 자본 비용. 자본의 기회비용(금리)과 실물 보관 위험, 보험료 등을 합산한 비용.</w:t>
      </w:r>
    </w:p>
    <w:p>
      <w:pPr>
        <w:pStyle w:val="BodyText"/>
      </w:pPr>
      <w:r>
        <w:rPr>
          <w:bCs/>
          <w:b/>
        </w:rPr>
        <w:t xml:space="preserve">Mathematical Formulation:</w:t>
      </w:r>
      <w:r>
        <w:t xml:space="preserve"> </w:t>
      </w:r>
      <w:r>
        <w:rPr>
          <w:iCs/>
          <w:i/>
        </w:rPr>
        <w:t xml:space="preserve">공식:</w:t>
      </w:r>
    </w:p>
    <w:p>
      <w:pPr>
        <w:pStyle w:val="BodyText"/>
      </w:pPr>
      <m:oMathPara>
        <m:oMathParaPr>
          <m:jc m:val="center"/>
        </m:oMathParaPr>
        <m:oMath>
          <m:r>
            <m:rPr>
              <m:nor/>
              <m:sty m:val="p"/>
            </m:rPr>
            <m:t>InventoryHoldingCost</m:t>
          </m:r>
          <m:r>
            <m:rPr>
              <m:sty m:val="p"/>
            </m:rPr>
            <m:t>=</m:t>
          </m:r>
          <m:r>
            <m:rPr>
              <m:nor/>
              <m:sty m:val="p"/>
            </m:rPr>
            <m:t>AvgInventory (tons)</m:t>
          </m:r>
          <m:r>
            <m:rPr>
              <m:sty m:val="p"/>
            </m:rPr>
            <m:t>×</m:t>
          </m:r>
          <m:r>
            <m:rPr>
              <m:nor/>
              <m:sty m:val="p"/>
            </m:rPr>
            <m:t>UnitValue (USD/ton)</m:t>
          </m:r>
          <m:r>
            <m:rPr>
              <m:sty m:val="p"/>
            </m:rPr>
            <m:t>×</m:t>
          </m:r>
          <m:r>
            <m:rPr>
              <m:nor/>
              <m:sty m:val="p"/>
            </m:rPr>
            <m:t>HoldingPct/month</m:t>
          </m:r>
        </m:oMath>
      </m:oMathPara>
    </w:p>
    <w:p>
      <w:pPr>
        <w:pStyle w:val="FirstParagraph"/>
      </w:pPr>
      <w:r>
        <w:t xml:space="preserve">where</w:t>
      </w:r>
      <w:r>
        <w:t xml:space="preserve"> </w:t>
      </w:r>
      <m:oMath>
        <m:r>
          <m:rPr>
            <m:nor/>
            <m:sty m:val="p"/>
          </m:rPr>
          <m:t>AvgInventory</m:t>
        </m:r>
        <m:r>
          <m:rPr>
            <m:sty m:val="p"/>
          </m:rPr>
          <m:t>≈</m:t>
        </m:r>
        <m:r>
          <m:t>0.5</m:t>
        </m:r>
        <m:r>
          <m:rPr>
            <m:sty m:val="p"/>
          </m:rPr>
          <m:t>×</m:t>
        </m:r>
        <m:r>
          <m:rPr>
            <m:nor/>
            <m:sty m:val="p"/>
          </m:rPr>
          <m:t>MonthlyDemand</m:t>
        </m:r>
      </m:oMath>
      <w:r>
        <w:t xml:space="preserve"> </w:t>
      </w:r>
      <w:r>
        <w:t xml:space="preserve">(based on standard inventory turnover assumptions).</w:t>
      </w:r>
      <w:r>
        <w:t xml:space="preserve"> </w:t>
      </w:r>
      <w:r>
        <w:rPr>
          <w:iCs/>
          <w:i/>
        </w:rPr>
        <w:t xml:space="preserve">여기서</w:t>
      </w:r>
      <w:r>
        <w:rPr>
          <w:iCs/>
          <w:i/>
        </w:rPr>
        <w:t xml:space="preserve"> </w:t>
      </w:r>
      <m:oMath>
        <m:r>
          <m:rPr>
            <m:nor/>
            <m:sty m:val="p"/>
          </m:rPr>
          <m:t>AvgInventory</m:t>
        </m:r>
        <m:r>
          <m:rPr>
            <m:sty m:val="p"/>
          </m:rPr>
          <m:t>≈</m:t>
        </m:r>
        <m:r>
          <m:t>0.5</m:t>
        </m:r>
        <m:r>
          <m:rPr>
            <m:sty m:val="p"/>
          </m:rPr>
          <m:t>×</m:t>
        </m:r>
        <m:r>
          <m:rPr>
            <m:nor/>
            <m:sty m:val="p"/>
          </m:rPr>
          <m:t>월간 수요</m:t>
        </m:r>
      </m:oMath>
      <w:r>
        <w:rPr>
          <w:iCs/>
          <w:i/>
        </w:rPr>
        <w:t xml:space="preserve">(표준 재고 회전율 가정 적용).</w:t>
      </w:r>
    </w:p>
    <w:p>
      <w:pPr>
        <w:pStyle w:val="BodyText"/>
      </w:pPr>
      <w:r>
        <w:rPr>
          <w:bCs/>
          <w:b/>
        </w:rPr>
        <w:t xml:space="preserve">Inventory Cost Benchmarks:</w:t>
      </w:r>
      <w:r>
        <w:t xml:space="preserve"> </w:t>
      </w:r>
      <w:r>
        <w:rPr>
          <w:iCs/>
          <w:i/>
        </w:rPr>
        <w:t xml:space="preserve">재고 보유 비용 벤치마크:</w:t>
      </w:r>
    </w:p>
    <w:tbl>
      <w:tblPr>
        <w:tblStyle w:val="Table"/>
        <w:tblW w:type="pct" w:w="5000.0"/>
        <w:tblLook w:firstRow="1" w:lastRow="0" w:firstColumn="0" w:lastColumn="0" w:noHBand="0" w:noVBand="0" w:val="0020"/>
      </w:tblPr>
      <w:tblGrid>
        <w:gridCol w:w="2160"/>
        <w:gridCol w:w="2880"/>
        <w:gridCol w:w="2880"/>
      </w:tblGrid>
      <w:tr>
        <w:tc>
          <w:p>
            <w:pPr>
              <w:pStyle w:val="Compact"/>
              <w:jc w:val="left"/>
            </w:pPr>
            <w:r>
              <w:t xml:space="preserve">Product Line / 제품군</w:t>
            </w:r>
          </w:p>
        </w:tc>
        <w:tc>
          <w:p>
            <w:pPr>
              <w:pStyle w:val="Compact"/>
              <w:jc w:val="right"/>
            </w:pPr>
            <w:r>
              <w:t xml:space="preserve">Unit Value (USD/ton) / 톤당 가치</w:t>
            </w:r>
          </w:p>
        </w:tc>
        <w:tc>
          <w:p>
            <w:pPr>
              <w:pStyle w:val="Compact"/>
              <w:jc w:val="right"/>
            </w:pPr>
            <w:r>
              <w:t xml:space="preserve">Monthly Holding Rate / 월간 보유 비율 (%)</w:t>
            </w:r>
          </w:p>
        </w:tc>
      </w:tr>
      <w:tr>
        <w:tc>
          <w:p>
            <w:pPr>
              <w:pStyle w:val="Compact"/>
              <w:jc w:val="left"/>
            </w:pPr>
            <w:r>
              <w:t xml:space="preserve">Mobile launch / 모바일 출시</w:t>
            </w:r>
          </w:p>
        </w:tc>
        <w:tc>
          <w:p>
            <w:pPr>
              <w:pStyle w:val="Compact"/>
              <w:jc w:val="right"/>
            </w:pPr>
            <w:r>
              <w:t xml:space="preserve">50,000</w:t>
            </w:r>
          </w:p>
        </w:tc>
        <w:tc>
          <w:p>
            <w:pPr>
              <w:pStyle w:val="Compact"/>
              <w:jc w:val="right"/>
            </w:pPr>
            <w:r>
              <w:t xml:space="preserve">2.5%</w:t>
            </w:r>
          </w:p>
        </w:tc>
      </w:tr>
      <w:tr>
        <w:tc>
          <w:p>
            <w:pPr>
              <w:pStyle w:val="Compact"/>
              <w:jc w:val="left"/>
            </w:pPr>
            <w:r>
              <w:t xml:space="preserve">Bulky appliance / 대형 가전</w:t>
            </w:r>
          </w:p>
        </w:tc>
        <w:tc>
          <w:p>
            <w:pPr>
              <w:pStyle w:val="Compact"/>
              <w:jc w:val="right"/>
            </w:pPr>
            <w:r>
              <w:t xml:space="preserve">8,000</w:t>
            </w:r>
          </w:p>
        </w:tc>
        <w:tc>
          <w:p>
            <w:pPr>
              <w:pStyle w:val="Compact"/>
              <w:jc w:val="right"/>
            </w:pPr>
            <w:r>
              <w:t xml:space="preserve">1.2%</w:t>
            </w:r>
          </w:p>
        </w:tc>
      </w:tr>
      <w:tr>
        <w:tc>
          <w:p>
            <w:pPr>
              <w:pStyle w:val="Compact"/>
              <w:jc w:val="left"/>
            </w:pPr>
            <w:r>
              <w:t xml:space="preserve">High-value secure (chip) / 고가 보안 화물</w:t>
            </w:r>
          </w:p>
        </w:tc>
        <w:tc>
          <w:p>
            <w:pPr>
              <w:pStyle w:val="Compact"/>
              <w:jc w:val="right"/>
            </w:pPr>
            <w:r>
              <w:t xml:space="preserve">200,000</w:t>
            </w:r>
          </w:p>
        </w:tc>
        <w:tc>
          <w:p>
            <w:pPr>
              <w:pStyle w:val="Compact"/>
              <w:jc w:val="right"/>
            </w:pPr>
            <w:r>
              <w:t xml:space="preserve">4.0%</w:t>
            </w:r>
          </w:p>
        </w:tc>
      </w:tr>
      <w:tr>
        <w:tc>
          <w:p>
            <w:pPr>
              <w:pStyle w:val="Compact"/>
              <w:jc w:val="left"/>
            </w:pPr>
            <w:r>
              <w:t xml:space="preserve">Finished goods / 일반 완제품</w:t>
            </w:r>
          </w:p>
        </w:tc>
        <w:tc>
          <w:p>
            <w:pPr>
              <w:pStyle w:val="Compact"/>
              <w:jc w:val="right"/>
            </w:pPr>
            <w:r>
              <w:t xml:space="preserve">12,000</w:t>
            </w:r>
          </w:p>
        </w:tc>
        <w:tc>
          <w:p>
            <w:pPr>
              <w:pStyle w:val="Compact"/>
              <w:jc w:val="right"/>
            </w:pPr>
            <w:r>
              <w:t xml:space="preserve">1.5%</w:t>
            </w:r>
          </w:p>
        </w:tc>
      </w:tr>
      <w:tr>
        <w:tc>
          <w:p>
            <w:pPr>
              <w:pStyle w:val="Compact"/>
              <w:jc w:val="left"/>
            </w:pPr>
            <w:r>
              <w:t xml:space="preserve">Spare parts / 예비 부품</w:t>
            </w:r>
          </w:p>
        </w:tc>
        <w:tc>
          <w:p>
            <w:pPr>
              <w:pStyle w:val="Compact"/>
              <w:jc w:val="right"/>
            </w:pPr>
            <w:r>
              <w:t xml:space="preserve">30,000</w:t>
            </w:r>
          </w:p>
        </w:tc>
        <w:tc>
          <w:p>
            <w:pPr>
              <w:pStyle w:val="Compact"/>
              <w:jc w:val="right"/>
            </w:pPr>
            <w:r>
              <w:t xml:space="preserve">2.0%</w:t>
            </w:r>
          </w:p>
        </w:tc>
      </w:tr>
      <w:tr>
        <w:tc>
          <w:p>
            <w:pPr>
              <w:pStyle w:val="Compact"/>
              <w:jc w:val="left"/>
            </w:pPr>
            <w:r>
              <w:t xml:space="preserve">E-commerce small / 이커머스 소형</w:t>
            </w:r>
          </w:p>
        </w:tc>
        <w:tc>
          <w:p>
            <w:pPr>
              <w:pStyle w:val="Compact"/>
              <w:jc w:val="right"/>
            </w:pPr>
            <w:r>
              <w:t xml:space="preserve">15,000</w:t>
            </w:r>
          </w:p>
        </w:tc>
        <w:tc>
          <w:p>
            <w:pPr>
              <w:pStyle w:val="Compact"/>
              <w:jc w:val="right"/>
            </w:pPr>
            <w:r>
              <w:t xml:space="preserve">1.8%</w:t>
            </w:r>
          </w:p>
        </w:tc>
      </w:tr>
    </w:tbl>
    <w:p>
      <w:pPr>
        <w:pStyle w:val="BodyText"/>
      </w:pPr>
      <w:r>
        <w:rPr>
          <w:bCs/>
          <w:b/>
        </w:rPr>
        <w:t xml:space="preserve">Economic Driver Rationale:</w:t>
      </w:r>
      <w:r>
        <w:t xml:space="preserve"> </w:t>
      </w:r>
      <w:r>
        <w:t xml:space="preserve">High-value semiconductor chips valued at 200,000 USD/ton incur an opportunity cost of 8,000 USD/ton/month. Conversely, low-value bulky appliances stored in standard facilities incur only 96 USD/ton/month. This massive variance explains why</w:t>
      </w:r>
      <w:r>
        <w:t xml:space="preserve"> </w:t>
      </w:r>
      <w:r>
        <w:rPr>
          <w:bCs/>
          <w:b/>
        </w:rPr>
        <w:t xml:space="preserve">semiconductor chips must follow a strict fast-moving flow</w:t>
      </w:r>
      <w:r>
        <w:t xml:space="preserve"> </w:t>
      </w:r>
      <w:r>
        <w:t xml:space="preserve">with minimal warehousing stockpiles.</w:t>
      </w:r>
      <w:r>
        <w:t xml:space="preserve"> </w:t>
      </w:r>
      <w:r>
        <w:rPr>
          <w:iCs/>
          <w:i/>
        </w:rPr>
        <w:t xml:space="preserve">경제적 차이 사유: 톤당 200,000 USD 가치의 고가 반도체 칩은 매월 톤당 8,000 USD의 막대한 기회비용이 발생한다. 반면, 일반 창고에 보관되는 저가 대형 가전은 월간 톤당 96 USD만 발생한다. 이 엄청난 격차가</w:t>
      </w:r>
      <w:r>
        <w:rPr>
          <w:iCs/>
          <w:i/>
        </w:rPr>
        <w:t xml:space="preserve"> </w:t>
      </w:r>
      <w:r>
        <w:rPr>
          <w:bCs/>
          <w:b/>
          <w:iCs/>
          <w:i/>
        </w:rPr>
        <w:t xml:space="preserve">반도체 칩이 반드시 빠른 회전율</w:t>
      </w:r>
      <w:r>
        <w:rPr>
          <w:iCs/>
          <w:i/>
        </w:rPr>
        <w:t xml:space="preserve">을 유지하고 장기 보관을 금지해야 하는 이유를 설명한다.</w:t>
      </w:r>
    </w:p>
    <w:p>
      <w:pPr>
        <w:pStyle w:val="BodyText"/>
      </w:pPr>
      <w:r>
        <w:rPr>
          <w:bCs/>
          <w:b/>
        </w:rPr>
        <w:t xml:space="preserve">Example Calculation / 계산 예시:</w:t>
      </w:r>
      <w:r>
        <w:t xml:space="preserve"> </w:t>
      </w:r>
      <w:r>
        <w:t xml:space="preserve">A facility holds an average inventory of 200 tons of mobile phones:</w:t>
      </w:r>
      <w:r>
        <w:t xml:space="preserve"> </w:t>
      </w:r>
      <w:r>
        <w:rPr>
          <w:iCs/>
          <w:i/>
        </w:rPr>
        <w:t xml:space="preserve">수요지 창고의 모바일 폰 평균 재고가 200톤인 경우:</w:t>
      </w:r>
    </w:p>
    <w:p>
      <w:pPr>
        <w:pStyle w:val="BodyText"/>
      </w:pPr>
      <m:oMathPara>
        <m:oMathParaPr>
          <m:jc m:val="center"/>
        </m:oMathParaPr>
        <m:oMath>
          <m:r>
            <m:t>200</m:t>
          </m:r>
          <m:r>
            <m:rPr>
              <m:nor/>
              <m:sty m:val="p"/>
            </m:rPr>
            <m:t> tons</m:t>
          </m:r>
          <m:r>
            <m:rPr>
              <m:sty m:val="p"/>
            </m:rPr>
            <m:t>×</m:t>
          </m:r>
          <m:r>
            <m:t>50</m:t>
          </m:r>
          <m:r>
            <m:rPr>
              <m:sty m:val="p"/>
            </m:rPr>
            <m:t>,</m:t>
          </m:r>
          <m:r>
            <m:t>000</m:t>
          </m:r>
          <m:r>
            <m:rPr>
              <m:nor/>
              <m:sty m:val="p"/>
            </m:rPr>
            <m:t> USD/ton</m:t>
          </m:r>
          <m:r>
            <m:rPr>
              <m:sty m:val="p"/>
            </m:rPr>
            <m:t>×</m:t>
          </m:r>
          <m:r>
            <m:t>0.025</m:t>
          </m:r>
          <m:r>
            <m:rPr>
              <m:sty m:val="p"/>
            </m:rPr>
            <m:t>=</m:t>
          </m:r>
          <m:r>
            <m:t>250</m:t>
          </m:r>
          <m:r>
            <m:rPr>
              <m:sty m:val="p"/>
            </m:rPr>
            <m:t>,</m:t>
          </m:r>
          <m:r>
            <m:t>000</m:t>
          </m:r>
          <m:r>
            <m:rPr>
              <m:nor/>
              <m:sty m:val="p"/>
            </m:rPr>
            <m:t> USD/month</m:t>
          </m:r>
        </m:oMath>
      </m:oMathPara>
    </w:p>
    <w:p>
      <w:r>
        <w:pict>
          <v:rect style="width:0;height:1.5pt" o:hralign="center" o:hrstd="t" o:hr="t"/>
        </w:pict>
      </w:r>
    </w:p>
    <w:bookmarkEnd w:id="25"/>
    <w:bookmarkStart w:id="26" w:name="X82776f2ce31212dfd7deef2cb1b9a55a2306bb0"/>
    <w:p>
      <w:pPr>
        <w:pStyle w:val="Heading3"/>
      </w:pPr>
      <w:r>
        <w:t xml:space="preserve">3.5 Seasonal Flex Cost / 성수기 유연성 비용 (Seasonal Flex Cost)</w:t>
      </w:r>
    </w:p>
    <w:p>
      <w:pPr>
        <w:pStyle w:val="FirstParagraph"/>
      </w:pPr>
      <w:r>
        <w:rPr>
          <w:bCs/>
          <w:b/>
        </w:rPr>
        <w:t xml:space="preserve">Definition:</w:t>
      </w:r>
      <w:r>
        <w:t xml:space="preserve"> </w:t>
      </w:r>
      <w:r>
        <w:t xml:space="preserve">Extra costs incurred when shipment demand exceeds the standard capacity of a warehouse (e.g., during Galaxy flagship launches). The facility must pay staff overtime wages or leverage third-party logistics (3PL) spillover spaces.</w:t>
      </w:r>
      <w:r>
        <w:t xml:space="preserve"> </w:t>
      </w:r>
      <w:r>
        <w:rPr>
          <w:iCs/>
          <w:i/>
        </w:rPr>
        <w:t xml:space="preserve">정의: 출고 수요가 창고의 표준 수용량을 초과할 때(예: 갤럭시 플래그십 출시월) 발생하는 추가 비용. 초과 근무 수당을 지불하거나 3자 물류(3PL) 외부 창고 공간을 확보해야 함.</w:t>
      </w:r>
    </w:p>
    <w:p>
      <w:pPr>
        <w:pStyle w:val="BodyText"/>
      </w:pPr>
      <w:r>
        <w:rPr>
          <w:bCs/>
          <w:b/>
        </w:rPr>
        <w:t xml:space="preserve">Mathematical Formulation:</w:t>
      </w:r>
      <w:r>
        <w:t xml:space="preserve"> </w:t>
      </w:r>
      <w:r>
        <w:rPr>
          <w:iCs/>
          <w:i/>
        </w:rPr>
        <w:t xml:space="preserve">공식:</w:t>
      </w:r>
    </w:p>
    <w:p>
      <w:pPr>
        <w:pStyle w:val="BodyText"/>
      </w:pPr>
      <m:oMathPara>
        <m:oMathParaPr>
          <m:jc m:val="center"/>
        </m:oMathParaPr>
        <m:oMath>
          <m:r>
            <m:rPr>
              <m:nor/>
              <m:sty m:val="p"/>
            </m:rPr>
            <m:t>Overflow</m:t>
          </m:r>
          <m:r>
            <m:rPr>
              <m:sty m:val="p"/>
            </m:rPr>
            <m:t>=</m:t>
          </m:r>
          <m:r>
            <m:rPr>
              <m:nor/>
              <m:sty m:val="p"/>
            </m:rPr>
            <m:t>max</m:t>
          </m:r>
          <m:r>
            <m:rPr>
              <m:sty m:val="p"/>
            </m:rPr>
            <m:t>(</m:t>
          </m:r>
          <m:r>
            <m:t>0</m:t>
          </m:r>
          <m:r>
            <m:rPr>
              <m:sty m:val="p"/>
            </m:rPr>
            <m:t>,</m:t>
          </m:r>
          <m:r>
            <m:rPr>
              <m:nor/>
              <m:sty m:val="p"/>
            </m:rPr>
            <m:t>MonthlyDemand</m:t>
          </m:r>
          <m:r>
            <m:rPr>
              <m:sty m:val="p"/>
            </m:rPr>
            <m:t>−</m:t>
          </m:r>
          <m:r>
            <m:rPr>
              <m:nor/>
              <m:sty m:val="p"/>
            </m:rPr>
            <m:t>BaseCapacity</m:t>
          </m:r>
          <m:r>
            <m:rPr>
              <m:sty m:val="p"/>
            </m:rPr>
            <m:t>)</m:t>
          </m:r>
        </m:oMath>
      </m:oMathPara>
    </w:p>
    <w:p>
      <w:pPr>
        <w:pStyle w:val="FirstParagraph"/>
      </w:pPr>
      <m:oMathPara>
        <m:oMathParaPr>
          <m:jc m:val="center"/>
        </m:oMathParaPr>
        <m:oMath>
          <m:r>
            <m:rPr>
              <m:nor/>
              <m:sty m:val="p"/>
            </m:rPr>
            <m:t>OvertimeCost</m:t>
          </m:r>
          <m:r>
            <m:rPr>
              <m:sty m:val="p"/>
            </m:rPr>
            <m:t>=</m:t>
          </m:r>
          <m:r>
            <m:rPr>
              <m:nor/>
              <m:sty m:val="p"/>
            </m:rPr>
            <m:t>min</m:t>
          </m:r>
          <m:r>
            <m:rPr>
              <m:sty m:val="p"/>
            </m:rPr>
            <m:t>(</m:t>
          </m:r>
          <m:r>
            <m:rPr>
              <m:nor/>
              <m:sty m:val="p"/>
            </m:rPr>
            <m:t>Overflow</m:t>
          </m:r>
          <m:r>
            <m:rPr>
              <m:sty m:val="p"/>
            </m:rPr>
            <m:t>,</m:t>
          </m:r>
          <m:r>
            <m:rPr>
              <m:nor/>
              <m:sty m:val="p"/>
            </m:rPr>
            <m:t>BaseCapacity</m:t>
          </m:r>
          <m:r>
            <m:rPr>
              <m:sty m:val="p"/>
            </m:rPr>
            <m:t>×</m:t>
          </m:r>
          <m:r>
            <m:t>0.20</m:t>
          </m:r>
          <m:r>
            <m:rPr>
              <m:sty m:val="p"/>
            </m:rPr>
            <m:t>)</m:t>
          </m:r>
          <m:r>
            <m:rPr>
              <m:sty m:val="p"/>
            </m:rPr>
            <m:t>×</m:t>
          </m:r>
          <m:r>
            <m:rPr>
              <m:nor/>
              <m:sty m:val="p"/>
            </m:rPr>
            <m:t>BaseRate</m:t>
          </m:r>
          <m:r>
            <m:rPr>
              <m:sty m:val="p"/>
            </m:rPr>
            <m:t>×</m:t>
          </m:r>
          <m:r>
            <m:t>1.5</m:t>
          </m:r>
        </m:oMath>
      </m:oMathPara>
    </w:p>
    <w:p>
      <w:pPr>
        <w:pStyle w:val="FirstParagraph"/>
      </w:pPr>
      <m:oMathPara>
        <m:oMathParaPr>
          <m:jc m:val="center"/>
        </m:oMathParaPr>
        <m:oMath>
          <m:r>
            <m:rPr>
              <m:nor/>
              <m:sty m:val="p"/>
            </m:rPr>
            <m:t>ThreePLCost</m:t>
          </m:r>
          <m:r>
            <m:rPr>
              <m:sty m:val="p"/>
            </m:rPr>
            <m:t>=</m:t>
          </m:r>
          <m:r>
            <m:rPr>
              <m:nor/>
              <m:sty m:val="p"/>
            </m:rPr>
            <m:t>max</m:t>
          </m:r>
          <m:r>
            <m:rPr>
              <m:sty m:val="p"/>
            </m:rPr>
            <m:t>(</m:t>
          </m:r>
          <m:r>
            <m:t>0</m:t>
          </m:r>
          <m:r>
            <m:rPr>
              <m:sty m:val="p"/>
            </m:rPr>
            <m:t>,</m:t>
          </m:r>
          <m:r>
            <m:rPr>
              <m:nor/>
              <m:sty m:val="p"/>
            </m:rPr>
            <m:t>Overflow</m:t>
          </m:r>
          <m:r>
            <m:rPr>
              <m:sty m:val="p"/>
            </m:rPr>
            <m:t>−</m:t>
          </m:r>
          <m:r>
            <m:rPr>
              <m:nor/>
              <m:sty m:val="p"/>
            </m:rPr>
            <m:t>BaseCapacity</m:t>
          </m:r>
          <m:r>
            <m:rPr>
              <m:sty m:val="p"/>
            </m:rPr>
            <m:t>×</m:t>
          </m:r>
          <m:r>
            <m:t>0.20</m:t>
          </m:r>
          <m:r>
            <m:rPr>
              <m:sty m:val="p"/>
            </m:rPr>
            <m:t>)</m:t>
          </m:r>
          <m:r>
            <m:rPr>
              <m:sty m:val="p"/>
            </m:rPr>
            <m:t>×</m:t>
          </m:r>
          <m:r>
            <m:rPr>
              <m:nor/>
              <m:sty m:val="p"/>
            </m:rPr>
            <m:t>BaseRate</m:t>
          </m:r>
          <m:r>
            <m:rPr>
              <m:sty m:val="p"/>
            </m:rPr>
            <m:t>×</m:t>
          </m:r>
          <m:r>
            <m:t>2.0</m:t>
          </m:r>
        </m:oMath>
      </m:oMathPara>
    </w:p>
    <w:p>
      <w:pPr>
        <w:pStyle w:val="FirstParagraph"/>
      </w:pPr>
      <m:oMathPara>
        <m:oMathParaPr>
          <m:jc m:val="center"/>
        </m:oMathParaPr>
        <m:oMath>
          <m:r>
            <m:rPr>
              <m:nor/>
              <m:sty m:val="p"/>
            </m:rPr>
            <m:t>SeasonalFlexCost</m:t>
          </m:r>
          <m:r>
            <m:rPr>
              <m:sty m:val="p"/>
            </m:rPr>
            <m:t>=</m:t>
          </m:r>
          <m:r>
            <m:rPr>
              <m:nor/>
              <m:sty m:val="p"/>
            </m:rPr>
            <m:t>OvertimeCost</m:t>
          </m:r>
          <m:r>
            <m:rPr>
              <m:sty m:val="p"/>
            </m:rPr>
            <m:t>+</m:t>
          </m:r>
          <m:r>
            <m:rPr>
              <m:nor/>
              <m:sty m:val="p"/>
            </m:rPr>
            <m:t>ThreePLCost</m:t>
          </m:r>
        </m:oMath>
      </m:oMathPara>
    </w:p>
    <w:p>
      <w:pPr>
        <w:pStyle w:val="FirstParagraph"/>
      </w:pPr>
      <w:r>
        <w:rPr>
          <w:bCs/>
          <w:b/>
        </w:rPr>
        <w:t xml:space="preserve">Calculation Logic:</w:t>
      </w:r>
      <w:r>
        <w:t xml:space="preserve"> </w:t>
      </w:r>
      <w:r>
        <w:t xml:space="preserve">The initial overflow tier (up to 20% of base capacity) is handled via internal overtime labor at a 1.5x multiplier. Any overflow exceeding this 20% threshold must be routed to 3PL partners at a 2.0x multiplier.</w:t>
      </w:r>
      <w:r>
        <w:t xml:space="preserve"> </w:t>
      </w:r>
      <w:r>
        <w:rPr>
          <w:iCs/>
          <w:i/>
        </w:rPr>
        <w:t xml:space="preserve">계산 로직: 초과분 중 1차 범위(기본 용량의 20% 이하)는 1.5배의 가중치가 부여되는 직원 초과 근무로 충당한다. 20% 임계치를 넘는 추가 초과분은 2.0배 가중치의 3PL 파트너 창고로 이전 배정한다.</w:t>
      </w:r>
    </w:p>
    <w:p>
      <w:pPr>
        <w:pStyle w:val="BodyText"/>
      </w:pPr>
      <w:r>
        <w:rPr>
          <w:bCs/>
          <w:b/>
        </w:rPr>
        <w:t xml:space="preserve">Benchmark Multipliers:</w:t>
      </w:r>
      <w:r>
        <w:t xml:space="preserve"> </w:t>
      </w:r>
      <w:r>
        <w:rPr>
          <w:iCs/>
          <w:i/>
        </w:rPr>
        <w:t xml:space="preserve">할증 배수 벤치마크:</w:t>
      </w:r>
    </w:p>
    <w:tbl>
      <w:tblPr>
        <w:tblStyle w:val="Table"/>
        <w:tblW w:type="pct" w:w="5000.0"/>
        <w:tblLook w:firstRow="1" w:lastRow="0" w:firstColumn="0" w:lastColumn="0" w:noHBand="0" w:noVBand="0" w:val="0020"/>
      </w:tblPr>
      <w:tblGrid>
        <w:gridCol w:w="2376"/>
        <w:gridCol w:w="3168"/>
        <w:gridCol w:w="2376"/>
      </w:tblGrid>
      <w:tr>
        <w:tc>
          <w:p>
            <w:pPr>
              <w:pStyle w:val="Compact"/>
              <w:jc w:val="left"/>
            </w:pPr>
            <w:r>
              <w:t xml:space="preserve">Multiplier Type / 배수 유형</w:t>
            </w:r>
          </w:p>
        </w:tc>
        <w:tc>
          <w:p>
            <w:pPr>
              <w:pStyle w:val="Compact"/>
              <w:jc w:val="right"/>
            </w:pPr>
            <w:r>
              <w:t xml:space="preserve">Value / 가중 배수</w:t>
            </w:r>
          </w:p>
        </w:tc>
        <w:tc>
          <w:p>
            <w:pPr>
              <w:pStyle w:val="Compact"/>
              <w:jc w:val="left"/>
            </w:pPr>
            <w:r>
              <w:t xml:space="preserve">Operational Rationale / 적용 사유</w:t>
            </w:r>
          </w:p>
        </w:tc>
      </w:tr>
      <w:tr>
        <w:tc>
          <w:p>
            <w:pPr>
              <w:pStyle w:val="Compact"/>
              <w:jc w:val="left"/>
            </w:pPr>
            <w:r>
              <w:t xml:space="preserve">Overtime rate / 초과 근무 요율</w:t>
            </w:r>
          </w:p>
        </w:tc>
        <w:tc>
          <w:p>
            <w:pPr>
              <w:pStyle w:val="Compact"/>
              <w:jc w:val="right"/>
            </w:pPr>
            <w:r>
              <w:t xml:space="preserve">1.5×</w:t>
            </w:r>
          </w:p>
        </w:tc>
        <w:tc>
          <w:p>
            <w:pPr>
              <w:pStyle w:val="Compact"/>
              <w:jc w:val="left"/>
            </w:pPr>
            <w:r>
              <w:t xml:space="preserve">Mandated overtime rate under South Korean Labor Standard Act / 한국 근로기준법상 연장근로 수당 규정</w:t>
            </w:r>
          </w:p>
        </w:tc>
      </w:tr>
      <w:tr>
        <w:tc>
          <w:p>
            <w:pPr>
              <w:pStyle w:val="Compact"/>
              <w:jc w:val="left"/>
            </w:pPr>
            <w:r>
              <w:t xml:space="preserve">3PL rate / 3PL 위탁 요율</w:t>
            </w:r>
          </w:p>
        </w:tc>
        <w:tc>
          <w:p>
            <w:pPr>
              <w:pStyle w:val="Compact"/>
              <w:jc w:val="right"/>
            </w:pPr>
            <w:r>
              <w:t xml:space="preserve">2.0×</w:t>
            </w:r>
          </w:p>
        </w:tc>
        <w:tc>
          <w:p>
            <w:pPr>
              <w:pStyle w:val="Compact"/>
              <w:jc w:val="left"/>
            </w:pPr>
            <w:r>
              <w:t xml:space="preserve">Partner margin, short-term lease surcharges, setup costs / 파트너 마진, 단기 임대 할증, 셋업 비용</w:t>
            </w:r>
          </w:p>
        </w:tc>
      </w:tr>
    </w:tbl>
    <w:p>
      <w:pPr>
        <w:pStyle w:val="BodyText"/>
      </w:pPr>
      <w:r>
        <w:rPr>
          <w:bCs/>
          <w:b/>
        </w:rPr>
        <w:t xml:space="preserve">Example Calculation / 계산 예시:</w:t>
      </w:r>
      <w:r>
        <w:t xml:space="preserve"> </w:t>
      </w:r>
      <w:r>
        <w:t xml:space="preserve">Suwon DC has a monthly base capacity of 480,000 units. During a launch month, demand spikes to 752,000 units (resulting in an overflow of 272,000 units):</w:t>
      </w:r>
      <w:r>
        <w:t xml:space="preserve"> </w:t>
      </w:r>
      <w:r>
        <w:rPr>
          <w:iCs/>
          <w:i/>
        </w:rPr>
        <w:t xml:space="preserve">수원 DC의 기본 월간 용량이 480,000개일 때, 신제품 출시월에 수요가 752,000개로 급증한 경우 (초과분 = 272,000개):</w:t>
      </w:r>
    </w:p>
    <w:p>
      <w:pPr>
        <w:pStyle w:val="BodyText"/>
      </w:pPr>
      <m:oMathPara>
        <m:oMathParaPr>
          <m:jc m:val="center"/>
        </m:oMathParaPr>
        <m:oMath>
          <m:r>
            <m:rPr>
              <m:nor/>
              <m:sty m:val="p"/>
            </m:rPr>
            <m:t>Overtime Portion</m:t>
          </m:r>
          <m:r>
            <m:rPr>
              <m:sty m:val="p"/>
            </m:rPr>
            <m:t>=</m:t>
          </m:r>
          <m:r>
            <m:rPr>
              <m:nor/>
              <m:sty m:val="p"/>
            </m:rPr>
            <m:t>min</m:t>
          </m:r>
          <m:r>
            <m:rPr>
              <m:sty m:val="p"/>
            </m:rPr>
            <m:t>(</m:t>
          </m:r>
          <m:r>
            <m:t>272</m:t>
          </m:r>
          <m:r>
            <m:rPr>
              <m:sty m:val="p"/>
            </m:rPr>
            <m:t>,</m:t>
          </m:r>
          <m:r>
            <m:t>000</m:t>
          </m:r>
          <m:r>
            <m:rPr>
              <m:sty m:val="p"/>
            </m:rPr>
            <m:t>,</m:t>
          </m:r>
          <m:r>
            <m:t>480</m:t>
          </m:r>
          <m:r>
            <m:rPr>
              <m:sty m:val="p"/>
            </m:rPr>
            <m:t>,</m:t>
          </m:r>
          <m:r>
            <m:t>000</m:t>
          </m:r>
          <m:r>
            <m:rPr>
              <m:sty m:val="p"/>
            </m:rPr>
            <m:t>×</m:t>
          </m:r>
          <m:r>
            <m:t>0.20</m:t>
          </m:r>
          <m:r>
            <m:rPr>
              <m:sty m:val="p"/>
            </m:rPr>
            <m:t>)</m:t>
          </m:r>
          <m:r>
            <m:rPr>
              <m:sty m:val="p"/>
            </m:rPr>
            <m:t>=</m:t>
          </m:r>
          <m:r>
            <m:t>96</m:t>
          </m:r>
          <m:r>
            <m:rPr>
              <m:sty m:val="p"/>
            </m:rPr>
            <m:t>,</m:t>
          </m:r>
          <m:r>
            <m:t>000</m:t>
          </m:r>
          <m:r>
            <m:rPr>
              <m:nor/>
              <m:sty m:val="p"/>
            </m:rPr>
            <m:t> units</m:t>
          </m:r>
        </m:oMath>
      </m:oMathPara>
    </w:p>
    <w:p>
      <w:pPr>
        <w:pStyle w:val="FirstParagraph"/>
      </w:pPr>
      <m:oMathPara>
        <m:oMathParaPr>
          <m:jc m:val="center"/>
        </m:oMathParaPr>
        <m:oMath>
          <m:r>
            <m:rPr>
              <m:nor/>
              <m:sty m:val="p"/>
            </m:rPr>
            <m:t>3PL Portion</m:t>
          </m:r>
          <m:r>
            <m:rPr>
              <m:sty m:val="p"/>
            </m:rPr>
            <m:t>=</m:t>
          </m:r>
          <m:r>
            <m:t>272</m:t>
          </m:r>
          <m:r>
            <m:rPr>
              <m:sty m:val="p"/>
            </m:rPr>
            <m:t>,</m:t>
          </m:r>
          <m:r>
            <m:t>000</m:t>
          </m:r>
          <m:r>
            <m:rPr>
              <m:sty m:val="p"/>
            </m:rPr>
            <m:t>−</m:t>
          </m:r>
          <m:r>
            <m:t>96</m:t>
          </m:r>
          <m:r>
            <m:rPr>
              <m:sty m:val="p"/>
            </m:rPr>
            <m:t>,</m:t>
          </m:r>
          <m:r>
            <m:t>000</m:t>
          </m:r>
          <m:r>
            <m:rPr>
              <m:sty m:val="p"/>
            </m:rPr>
            <m:t>=</m:t>
          </m:r>
          <m:r>
            <m:t>176</m:t>
          </m:r>
          <m:r>
            <m:rPr>
              <m:sty m:val="p"/>
            </m:rPr>
            <m:t>,</m:t>
          </m:r>
          <m:r>
            <m:t>000</m:t>
          </m:r>
          <m:r>
            <m:rPr>
              <m:nor/>
              <m:sty m:val="p"/>
            </m:rPr>
            <m:t> units</m:t>
          </m:r>
        </m:oMath>
      </m:oMathPara>
    </w:p>
    <w:p>
      <w:pPr>
        <w:pStyle w:val="FirstParagraph"/>
      </w:pPr>
      <m:oMathPara>
        <m:oMathParaPr>
          <m:jc m:val="center"/>
        </m:oMathParaPr>
        <m:oMath>
          <m:r>
            <m:rPr>
              <m:nor/>
              <m:sty m:val="p"/>
            </m:rPr>
            <m:t>OvertimeCost</m:t>
          </m:r>
          <m:r>
            <m:rPr>
              <m:sty m:val="p"/>
            </m:rPr>
            <m:t>=</m:t>
          </m:r>
          <m:r>
            <m:t>96</m:t>
          </m:r>
          <m:r>
            <m:rPr>
              <m:sty m:val="p"/>
            </m:rPr>
            <m:t>,</m:t>
          </m:r>
          <m:r>
            <m:t>000</m:t>
          </m:r>
          <m:r>
            <m:rPr>
              <m:sty m:val="p"/>
            </m:rPr>
            <m:t>×</m:t>
          </m:r>
          <m:r>
            <m:rPr>
              <m:nor/>
              <m:sty m:val="p"/>
            </m:rPr>
            <m:t>BaseRate</m:t>
          </m:r>
          <m:r>
            <m:rPr>
              <m:sty m:val="p"/>
            </m:rPr>
            <m:t>×</m:t>
          </m:r>
          <m:r>
            <m:t>1.5</m:t>
          </m:r>
        </m:oMath>
      </m:oMathPara>
    </w:p>
    <w:p>
      <w:pPr>
        <w:pStyle w:val="FirstParagraph"/>
      </w:pPr>
      <m:oMathPara>
        <m:oMathParaPr>
          <m:jc m:val="center"/>
        </m:oMathParaPr>
        <m:oMath>
          <m:r>
            <m:rPr>
              <m:nor/>
              <m:sty m:val="p"/>
            </m:rPr>
            <m:t>ThreePLCost</m:t>
          </m:r>
          <m:r>
            <m:rPr>
              <m:sty m:val="p"/>
            </m:rPr>
            <m:t>=</m:t>
          </m:r>
          <m:r>
            <m:t>176</m:t>
          </m:r>
          <m:r>
            <m:rPr>
              <m:sty m:val="p"/>
            </m:rPr>
            <m:t>,</m:t>
          </m:r>
          <m:r>
            <m:t>000</m:t>
          </m:r>
          <m:r>
            <m:rPr>
              <m:sty m:val="p"/>
            </m:rPr>
            <m:t>×</m:t>
          </m:r>
          <m:r>
            <m:rPr>
              <m:nor/>
              <m:sty m:val="p"/>
            </m:rPr>
            <m:t>BaseRate</m:t>
          </m:r>
          <m:r>
            <m:rPr>
              <m:sty m:val="p"/>
            </m:rPr>
            <m:t>×</m:t>
          </m:r>
          <m:r>
            <m:t>2.0</m:t>
          </m:r>
        </m:oMath>
      </m:oMathPara>
    </w:p>
    <w:p>
      <w:r>
        <w:pict>
          <v:rect style="width:0;height:1.5pt" o:hralign="center" o:hrstd="t" o:hr="t"/>
        </w:pict>
      </w:r>
    </w:p>
    <w:bookmarkEnd w:id="26"/>
    <w:bookmarkStart w:id="27" w:name="X459a3d89ca26ff0da2b642d56d9ca7e320cc42d"/>
    <w:p>
      <w:pPr>
        <w:pStyle w:val="Heading3"/>
      </w:pPr>
      <w:r>
        <w:t xml:space="preserve">3.6 SLA Penalty / SLA 패널티 및 배송 지연 비용 (SLA Penalty)</w:t>
      </w:r>
    </w:p>
    <w:p>
      <w:pPr>
        <w:pStyle w:val="FirstParagraph"/>
      </w:pPr>
      <w:r>
        <w:rPr>
          <w:bCs/>
          <w:b/>
        </w:rPr>
        <w:t xml:space="preserve">Definition:</w:t>
      </w:r>
      <w:r>
        <w:t xml:space="preserve"> </w:t>
      </w:r>
      <w:r>
        <w:t xml:space="preserve">Penalties incurred when a warehouse is located too far from the customer region, causing transport times to exceed the Service Level Agreement (SLA). Compensation may involve shipping refunds, discounts, or production line penalties.</w:t>
      </w:r>
      <w:r>
        <w:t xml:space="preserve"> </w:t>
      </w:r>
      <w:r>
        <w:rPr>
          <w:iCs/>
          <w:i/>
        </w:rPr>
        <w:t xml:space="preserve">정의: 창고가 서비스 지역에서 너무 멀리 떨어져 있어 배송 시간이 계약 약정(SLA)을 초과할 때 발생하는 벌금 및 배상금. 배송비 환불, 할인권 지급, 혹은 생산 지연 배상금 등을 포함.</w:t>
      </w:r>
    </w:p>
    <w:p>
      <w:pPr>
        <w:pStyle w:val="BodyText"/>
      </w:pPr>
      <w:r>
        <w:rPr>
          <w:bCs/>
          <w:b/>
        </w:rPr>
        <w:t xml:space="preserve">Mathematical Formulation:</w:t>
      </w:r>
      <w:r>
        <w:t xml:space="preserve"> </w:t>
      </w:r>
      <w:r>
        <w:rPr>
          <w:iCs/>
          <w:i/>
        </w:rPr>
        <w:t xml:space="preserve">공식:</w:t>
      </w:r>
    </w:p>
    <w:p>
      <w:pPr>
        <w:pStyle w:val="BodyText"/>
      </w:pPr>
      <m:oMathPara>
        <m:oMathParaPr>
          <m:jc m:val="center"/>
        </m:oMathParaPr>
        <m:oMath>
          <m:sSub>
            <m:e>
              <m:r>
                <m:rPr>
                  <m:nor/>
                  <m:sty m:val="p"/>
                </m:rPr>
                <m:t>SLA Penalty</m:t>
              </m:r>
            </m:e>
            <m:sub>
              <m:r>
                <m:t>i</m:t>
              </m:r>
              <m:r>
                <m:rPr>
                  <m:sty m:val="p"/>
                </m:rPr>
                <m:t>,</m:t>
              </m:r>
              <m:r>
                <m:t>j</m:t>
              </m:r>
              <m:r>
                <m:rPr>
                  <m:sty m:val="p"/>
                </m:rPr>
                <m:t>,</m:t>
              </m:r>
              <m:r>
                <m:t>p</m:t>
              </m:r>
            </m:sub>
          </m:sSub>
          <m:r>
            <m:rPr>
              <m:sty m:val="p"/>
            </m:rPr>
            <m:t>=</m:t>
          </m:r>
          <m:d>
            <m:dPr>
              <m:begChr m:val="{"/>
              <m:endChr m:val=""/>
              <m:grow/>
            </m:dPr>
            <m:e>
              <m:m>
                <m:mPr>
                  <m:baseJc m:val="center"/>
                  <m:plcHide m:val="1"/>
                  <m:mcs>
                    <m:mc>
                      <m:mcPr>
                        <m:mcJc m:val="left"/>
                        <m:count m:val="1"/>
                      </m:mcPr>
                    </m:mc>
                    <m:mc>
                      <m:mcPr>
                        <m:mcJc m:val="left"/>
                        <m:count m:val="1"/>
                      </m:mcPr>
                    </m:mc>
                  </m:mcs>
                </m:mPr>
                <m:mr>
                  <m:e>
                    <m:sSub>
                      <m:e>
                        <m:r>
                          <m:rPr>
                            <m:nor/>
                            <m:sty m:val="p"/>
                          </m:rPr>
                          <m:t>Demand</m:t>
                        </m:r>
                      </m:e>
                      <m:sub>
                        <m:r>
                          <m:t>i</m:t>
                        </m:r>
                        <m:r>
                          <m:rPr>
                            <m:sty m:val="p"/>
                          </m:rPr>
                          <m:t>,</m:t>
                        </m:r>
                        <m:r>
                          <m:t>p</m:t>
                        </m:r>
                      </m:sub>
                    </m:sSub>
                    <m:r>
                      <m:rPr>
                        <m:sty m:val="p"/>
                      </m:rPr>
                      <m:t>×</m:t>
                    </m:r>
                    <m:sSub>
                      <m:e>
                        <m:r>
                          <m:rPr>
                            <m:nor/>
                            <m:sty m:val="p"/>
                          </m:rPr>
                          <m:t>PenaltyRate</m:t>
                        </m:r>
                      </m:e>
                      <m:sub>
                        <m:r>
                          <m:t>p</m:t>
                        </m:r>
                      </m:sub>
                    </m:sSub>
                  </m:e>
                  <m:e>
                    <m:r>
                      <m:rPr>
                        <m:nor/>
                        <m:sty m:val="p"/>
                      </m:rPr>
                      <m:t>if </m:t>
                    </m:r>
                    <m:r>
                      <m:rPr>
                        <m:nor/>
                        <m:sty m:val="p"/>
                      </m:rPr>
                      <m:t>Distance</m:t>
                    </m:r>
                    <m:r>
                      <m:rPr>
                        <m:sty m:val="p"/>
                      </m:rPr>
                      <m:t>(</m:t>
                    </m:r>
                    <m:r>
                      <m:t>i</m:t>
                    </m:r>
                    <m:r>
                      <m:rPr>
                        <m:sty m:val="p"/>
                      </m:rPr>
                      <m:t>,</m:t>
                    </m:r>
                    <m:r>
                      <m:t>j</m:t>
                    </m:r>
                    <m:r>
                      <m:rPr>
                        <m:sty m:val="p"/>
                      </m:rPr>
                      <m:t>)</m:t>
                    </m:r>
                    <m:r>
                      <m:rPr>
                        <m:sty m:val="p"/>
                      </m:rPr>
                      <m:t>&gt;</m:t>
                    </m:r>
                    <m:sSub>
                      <m:e>
                        <m:r>
                          <m:rPr>
                            <m:nor/>
                            <m:sty m:val="p"/>
                          </m:rPr>
                          <m:t>SLARadius</m:t>
                        </m:r>
                      </m:e>
                      <m:sub>
                        <m:r>
                          <m:t>p</m:t>
                        </m:r>
                      </m:sub>
                    </m:sSub>
                  </m:e>
                </m:mr>
                <m:mr>
                  <m:e>
                    <m:r>
                      <m:t>0</m:t>
                    </m:r>
                  </m:e>
                  <m:e>
                    <m:r>
                      <m:rPr>
                        <m:nor/>
                        <m:sty m:val="p"/>
                      </m:rPr>
                      <m:t>otherwise</m:t>
                    </m:r>
                  </m:e>
                </m:mr>
              </m:m>
            </m:e>
          </m:d>
        </m:oMath>
      </m:oMathPara>
    </w:p>
    <w:p>
      <w:pPr>
        <w:pStyle w:val="FirstParagraph"/>
      </w:pPr>
      <w:r>
        <w:rPr>
          <w:bCs/>
          <w:b/>
        </w:rPr>
        <w:t xml:space="preserve">SLA Benchmarks by Product Line:</w:t>
      </w:r>
      <w:r>
        <w:t xml:space="preserve"> </w:t>
      </w:r>
      <w:r>
        <w:rPr>
          <w:iCs/>
          <w:i/>
        </w:rPr>
        <w:t xml:space="preserve">제품군별 SLA 기준 벤치마크:</w:t>
      </w:r>
    </w:p>
    <w:tbl>
      <w:tblPr>
        <w:tblStyle w:val="Table"/>
        <w:tblW w:type="pct" w:w="5000.0"/>
        <w:tblLook w:firstRow="1" w:lastRow="0" w:firstColumn="0" w:lastColumn="0" w:noHBand="0" w:noVBand="0" w:val="0020"/>
      </w:tblPr>
      <w:tblGrid>
        <w:gridCol w:w="2160"/>
        <w:gridCol w:w="2880"/>
        <w:gridCol w:w="2880"/>
      </w:tblGrid>
      <w:tr>
        <w:tc>
          <w:p>
            <w:pPr>
              <w:pStyle w:val="Compact"/>
              <w:jc w:val="left"/>
            </w:pPr>
            <w:r>
              <w:t xml:space="preserve">Product Line / 제품군</w:t>
            </w:r>
          </w:p>
        </w:tc>
        <w:tc>
          <w:p>
            <w:pPr>
              <w:pStyle w:val="Compact"/>
              <w:jc w:val="right"/>
            </w:pPr>
            <w:r>
              <w:t xml:space="preserve">SLA Service Radius (km) / 서비스 반경</w:t>
            </w:r>
          </w:p>
        </w:tc>
        <w:tc>
          <w:p>
            <w:pPr>
              <w:pStyle w:val="Compact"/>
              <w:jc w:val="right"/>
            </w:pPr>
            <w:r>
              <w:t xml:space="preserve">Penalty Rate (USD/ton) / 패널티 요율</w:t>
            </w:r>
          </w:p>
        </w:tc>
      </w:tr>
      <w:tr>
        <w:tc>
          <w:p>
            <w:pPr>
              <w:pStyle w:val="Compact"/>
              <w:jc w:val="left"/>
            </w:pPr>
            <w:r>
              <w:t xml:space="preserve">Mobile launch / 모바일 출시</w:t>
            </w:r>
          </w:p>
        </w:tc>
        <w:tc>
          <w:p>
            <w:pPr>
              <w:pStyle w:val="Compact"/>
              <w:jc w:val="right"/>
            </w:pPr>
            <w:r>
              <w:t xml:space="preserve">200</w:t>
            </w:r>
          </w:p>
        </w:tc>
        <w:tc>
          <w:p>
            <w:pPr>
              <w:pStyle w:val="Compact"/>
              <w:jc w:val="right"/>
            </w:pPr>
            <w:r>
              <w:t xml:space="preserve">200</w:t>
            </w:r>
          </w:p>
        </w:tc>
      </w:tr>
      <w:tr>
        <w:tc>
          <w:p>
            <w:pPr>
              <w:pStyle w:val="Compact"/>
              <w:jc w:val="left"/>
            </w:pPr>
            <w:r>
              <w:t xml:space="preserve">Bulky appliance / 대형 가전</w:t>
            </w:r>
          </w:p>
        </w:tc>
        <w:tc>
          <w:p>
            <w:pPr>
              <w:pStyle w:val="Compact"/>
              <w:jc w:val="right"/>
            </w:pPr>
            <w:r>
              <w:t xml:space="preserve">400</w:t>
            </w:r>
          </w:p>
        </w:tc>
        <w:tc>
          <w:p>
            <w:pPr>
              <w:pStyle w:val="Compact"/>
              <w:jc w:val="right"/>
            </w:pPr>
            <w:r>
              <w:t xml:space="preserve">80</w:t>
            </w:r>
          </w:p>
        </w:tc>
      </w:tr>
      <w:tr>
        <w:tc>
          <w:p>
            <w:pPr>
              <w:pStyle w:val="Compact"/>
              <w:jc w:val="left"/>
            </w:pPr>
            <w:r>
              <w:t xml:space="preserve">High-value secure (chip) / 고가 보안 화물</w:t>
            </w:r>
          </w:p>
        </w:tc>
        <w:tc>
          <w:p>
            <w:pPr>
              <w:pStyle w:val="Compact"/>
              <w:jc w:val="right"/>
            </w:pPr>
            <w:r>
              <w:t xml:space="preserve">150</w:t>
            </w:r>
          </w:p>
        </w:tc>
        <w:tc>
          <w:p>
            <w:pPr>
              <w:pStyle w:val="Compact"/>
              <w:jc w:val="right"/>
            </w:pPr>
            <w:r>
              <w:t xml:space="preserve">800</w:t>
            </w:r>
          </w:p>
        </w:tc>
      </w:tr>
      <w:tr>
        <w:tc>
          <w:p>
            <w:pPr>
              <w:pStyle w:val="Compact"/>
              <w:jc w:val="left"/>
            </w:pPr>
            <w:r>
              <w:t xml:space="preserve">Finished goods / 일반 완제품</w:t>
            </w:r>
          </w:p>
        </w:tc>
        <w:tc>
          <w:p>
            <w:pPr>
              <w:pStyle w:val="Compact"/>
              <w:jc w:val="right"/>
            </w:pPr>
            <w:r>
              <w:t xml:space="preserve">350</w:t>
            </w:r>
          </w:p>
        </w:tc>
        <w:tc>
          <w:p>
            <w:pPr>
              <w:pStyle w:val="Compact"/>
              <w:jc w:val="right"/>
            </w:pPr>
            <w:r>
              <w:t xml:space="preserve">60</w:t>
            </w:r>
          </w:p>
        </w:tc>
      </w:tr>
      <w:tr>
        <w:tc>
          <w:p>
            <w:pPr>
              <w:pStyle w:val="Compact"/>
              <w:jc w:val="left"/>
            </w:pPr>
            <w:r>
              <w:t xml:space="preserve">Spare parts / 예비 부품</w:t>
            </w:r>
          </w:p>
        </w:tc>
        <w:tc>
          <w:p>
            <w:pPr>
              <w:pStyle w:val="Compact"/>
              <w:jc w:val="right"/>
            </w:pPr>
            <w:r>
              <w:t xml:space="preserve">200</w:t>
            </w:r>
          </w:p>
        </w:tc>
        <w:tc>
          <w:p>
            <w:pPr>
              <w:pStyle w:val="Compact"/>
              <w:jc w:val="right"/>
            </w:pPr>
            <w:r>
              <w:t xml:space="preserve">250</w:t>
            </w:r>
          </w:p>
        </w:tc>
      </w:tr>
      <w:tr>
        <w:tc>
          <w:p>
            <w:pPr>
              <w:pStyle w:val="Compact"/>
              <w:jc w:val="left"/>
            </w:pPr>
            <w:r>
              <w:t xml:space="preserve">E-commerce small / 이커머스 소형</w:t>
            </w:r>
          </w:p>
        </w:tc>
        <w:tc>
          <w:p>
            <w:pPr>
              <w:pStyle w:val="Compact"/>
              <w:jc w:val="right"/>
            </w:pPr>
            <w:r>
              <w:t xml:space="preserve">100</w:t>
            </w:r>
          </w:p>
        </w:tc>
        <w:tc>
          <w:p>
            <w:pPr>
              <w:pStyle w:val="Compact"/>
              <w:jc w:val="right"/>
            </w:pPr>
            <w:r>
              <w:t xml:space="preserve">100</w:t>
            </w:r>
          </w:p>
        </w:tc>
      </w:tr>
    </w:tbl>
    <w:p>
      <w:pPr>
        <w:pStyle w:val="BodyText"/>
      </w:pPr>
      <w:r>
        <w:rPr>
          <w:bCs/>
          <w:b/>
        </w:rPr>
        <w:t xml:space="preserve">Operational Rationale:</w:t>
      </w:r>
      <w:r>
        <w:t xml:space="preserve"> </w:t>
      </w:r>
      <w:r>
        <w:t xml:space="preserve">Retail customers buying flagship mobile phones expect same-day or next-day delivery (narrow 200 km radius, high penalty). Bulky appliances can tolerate 2-3 day deliveries (broad 400 km radius, low penalty). Semiconductor chips delivered to B2B manufacturing plants (LG, Apple) carry extremely severe penalties of 800 USD/ton because delivery delays can cause factory line-stops.</w:t>
      </w:r>
      <w:r>
        <w:t xml:space="preserve"> </w:t>
      </w:r>
      <w:r>
        <w:rPr>
          <w:iCs/>
          <w:i/>
        </w:rPr>
        <w:t xml:space="preserve">작업적 차이 사유: 신형 플래그십 폰을 구매하는 일반 소비자는 당일 혹은 익일 배송을 원하므로 서비스 반경이 200 km로 좁고 패널티가 높음. 대형 가전은 2-3일의 배송 여유가 있어 반경이 400 km로 넓고 패널티가 낮음. 반도체 칩은 B2B 제조업체(LG, 애플 등) 공장으로 배송되어 지연 시 라인 가동 중단(Line-stop)을 야기하므로 톤당 800 USD의 매우 엄격한 패널티가 부과됨.</w:t>
      </w:r>
    </w:p>
    <w:p>
      <w:r>
        <w:pict>
          <v:rect style="width:0;height:1.5pt" o:hralign="center" o:hrstd="t" o:hr="t"/>
        </w:pict>
      </w:r>
    </w:p>
    <w:bookmarkEnd w:id="27"/>
    <w:bookmarkEnd w:id="28"/>
    <w:bookmarkStart w:id="29" w:name="X138b5c7623493eccd8b25220bf2bbe3d761d400"/>
    <w:p>
      <w:pPr>
        <w:pStyle w:val="Heading2"/>
      </w:pPr>
      <w:r>
        <w:t xml:space="preserve">4. GLOBAL CONFIGURATION COEFFICIENTS / 글로벌 설정 계수</w:t>
      </w:r>
    </w:p>
    <w:p>
      <w:pPr>
        <w:pStyle w:val="FirstParagraph"/>
      </w:pPr>
      <w:r>
        <w:t xml:space="preserve">All coefficients are centralized in the configuration file</w:t>
      </w:r>
      <w:r>
        <w:t xml:space="preserve"> </w:t>
      </w:r>
      <w:r>
        <w:rPr>
          <w:rStyle w:val="VerbatimChar"/>
        </w:rPr>
        <w:t xml:space="preserve">engine/config.py</w:t>
      </w:r>
      <w:r>
        <w:t xml:space="preserve"> </w:t>
      </w:r>
      <w:r>
        <w:t xml:space="preserve">to facilitate calibration. When adjustments are needed, changes are applied exclusively here, preventing hardcoded values in code modules.</w:t>
      </w:r>
      <w:r>
        <w:t xml:space="preserve"> </w:t>
      </w:r>
      <w:r>
        <w:rPr>
          <w:iCs/>
          <w:i/>
        </w:rPr>
        <w:t xml:space="preserve">모든 계수는 손쉬운 조정을 위해 설정 파일인</w:t>
      </w:r>
      <w:r>
        <w:rPr>
          <w:iCs/>
          <w:i/>
        </w:rPr>
        <w:t xml:space="preserve"> </w:t>
      </w:r>
      <w:r>
        <w:rPr>
          <w:rStyle w:val="VerbatimChar"/>
          <w:iCs/>
          <w:i/>
        </w:rPr>
        <w:t xml:space="preserve">engine/config.py</w:t>
      </w:r>
      <w:r>
        <w:rPr>
          <w:iCs/>
          <w:i/>
        </w:rPr>
        <w:t xml:space="preserve">에 일원화되어 관리된다. 계수 변경 필요 시 본 파일만 수정하며, 개별 코드 모듈의 하드코딩을 원천 차단한다.</w:t>
      </w:r>
    </w:p>
    <w:p>
      <w:pPr>
        <w:pStyle w:val="SourceCode"/>
      </w:pPr>
      <w:r>
        <w:rPr>
          <w:rStyle w:val="CommentTok"/>
        </w:rPr>
        <w:t xml:space="preserve"># engine/config.py</w:t>
      </w:r>
      <w:r>
        <w:br/>
      </w:r>
      <w:r>
        <w:br/>
      </w:r>
      <w:r>
        <w:rPr>
          <w:rStyle w:val="CommentTok"/>
        </w:rPr>
        <w:t xml:space="preserve"># === Transport ===</w:t>
      </w:r>
      <w:r>
        <w:br/>
      </w:r>
      <w:r>
        <w:rPr>
          <w:rStyle w:val="NormalTok"/>
        </w:rPr>
        <w:t xml:space="preserve">TRANSPORT_RATE_BY_PRODUCT </w:t>
      </w:r>
      <w:r>
        <w:rPr>
          <w:rStyle w:val="OperatorTok"/>
        </w:rPr>
        <w:t xml:space="preserve">=</w:t>
      </w:r>
      <w:r>
        <w:rPr>
          <w:rStyle w:val="NormalTok"/>
        </w:rPr>
        <w:t xml:space="preserve"> {  </w:t>
      </w:r>
      <w:r>
        <w:rPr>
          <w:rStyle w:val="CommentTok"/>
        </w:rPr>
        <w:t xml:space="preserve"># USD per ton-km</w:t>
      </w:r>
      <w:r>
        <w:br/>
      </w:r>
      <w:r>
        <w:rPr>
          <w:rStyle w:val="NormalTok"/>
        </w:rPr>
        <w:t xml:space="preserve">    </w:t>
      </w:r>
      <w:r>
        <w:rPr>
          <w:rStyle w:val="StringTok"/>
        </w:rPr>
        <w:t xml:space="preserve">"mobile_launch"</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StringTok"/>
        </w:rPr>
        <w:t xml:space="preserve">"bulky_appliance"</w:t>
      </w:r>
      <w:r>
        <w:rPr>
          <w:rStyle w:val="NormalTok"/>
        </w:rPr>
        <w:t xml:space="preserve">: </w:t>
      </w:r>
      <w:r>
        <w:rPr>
          <w:rStyle w:val="FloatTok"/>
        </w:rPr>
        <w:t xml:space="preserve">0.13</w:t>
      </w:r>
      <w:r>
        <w:rPr>
          <w:rStyle w:val="NormalTok"/>
        </w:rPr>
        <w:t xml:space="preserve">,</w:t>
      </w:r>
      <w:r>
        <w:br/>
      </w:r>
      <w:r>
        <w:rPr>
          <w:rStyle w:val="NormalTok"/>
        </w:rPr>
        <w:t xml:space="preserve">    </w:t>
      </w:r>
      <w:r>
        <w:rPr>
          <w:rStyle w:val="StringTok"/>
        </w:rPr>
        <w:t xml:space="preserve">"high_value_secure"</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StringTok"/>
        </w:rPr>
        <w:t xml:space="preserve">"finished_goods"</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"spare_parts"</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"ecommerce_small"</w:t>
      </w:r>
      <w:r>
        <w:rPr>
          <w:rStyle w:val="NormalTok"/>
        </w:rPr>
        <w:t xml:space="preserve">: </w:t>
      </w:r>
      <w:r>
        <w:rPr>
          <w:rStyle w:val="FloatTok"/>
        </w:rPr>
        <w:t xml:space="preserve">0.12</w:t>
      </w:r>
      <w:r>
        <w:rPr>
          <w:rStyle w:val="NormalTok"/>
        </w:rPr>
        <w:t xml:space="preserve">,</w:t>
      </w:r>
      <w:r>
        <w:br/>
      </w:r>
      <w:r>
        <w:rPr>
          <w:rStyle w:val="NormalTok"/>
        </w:rPr>
        <w:t xml:space="preserve">}</w:t>
      </w:r>
      <w:r>
        <w:br/>
      </w:r>
      <w:r>
        <w:br/>
      </w:r>
      <w:r>
        <w:rPr>
          <w:rStyle w:val="NormalTok"/>
        </w:rPr>
        <w:t xml:space="preserve">SURCHARGE </w:t>
      </w:r>
      <w:r>
        <w:rPr>
          <w:rStyle w:val="OperatorTok"/>
        </w:rPr>
        <w:t xml:space="preserve">=</w:t>
      </w:r>
      <w:r>
        <w:rPr>
          <w:rStyle w:val="NormalTok"/>
        </w:rPr>
        <w:t xml:space="preserve"> {</w:t>
      </w:r>
      <w:r>
        <w:br/>
      </w:r>
      <w:r>
        <w:rPr>
          <w:rStyle w:val="NormalTok"/>
        </w:rPr>
        <w:t xml:space="preserve">    </w:t>
      </w:r>
      <w:r>
        <w:rPr>
          <w:rStyle w:val="StringTok"/>
        </w:rPr>
        <w:t xml:space="preserve">"long_haul_300km"</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StringTok"/>
        </w:rPr>
        <w:t xml:space="preserve">"island_jeju"</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StringTok"/>
        </w:rPr>
        <w:t xml:space="preserve">"bulky"</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"secure"</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"expedite"</w:t>
      </w:r>
      <w:r>
        <w:rPr>
          <w:rStyle w:val="NormalTok"/>
        </w:rPr>
        <w:t xml:space="preserve">: </w:t>
      </w:r>
      <w:r>
        <w:rPr>
          <w:rStyle w:val="FloatTok"/>
        </w:rPr>
        <w:t xml:space="preserve">0.50</w:t>
      </w:r>
      <w:r>
        <w:rPr>
          <w:rStyle w:val="NormalTok"/>
        </w:rPr>
        <w:t xml:space="preserve">,</w:t>
      </w:r>
      <w:r>
        <w:br/>
      </w:r>
      <w:r>
        <w:rPr>
          <w:rStyle w:val="NormalTok"/>
        </w:rPr>
        <w:t xml:space="preserve">}</w:t>
      </w:r>
      <w:r>
        <w:br/>
      </w:r>
      <w:r>
        <w:br/>
      </w:r>
      <w:r>
        <w:rPr>
          <w:rStyle w:val="CommentTok"/>
        </w:rPr>
        <w:t xml:space="preserve"># === Warehouse fixed cost ===</w:t>
      </w:r>
      <w:r>
        <w:br/>
      </w:r>
      <w:r>
        <w:rPr>
          <w:rStyle w:val="NormalTok"/>
        </w:rPr>
        <w:t xml:space="preserve">WAREHOUSE_FIXED_COST_USD </w:t>
      </w:r>
      <w:r>
        <w:rPr>
          <w:rStyle w:val="OperatorTok"/>
        </w:rPr>
        <w:t xml:space="preserve">=</w:t>
      </w:r>
      <w:r>
        <w:rPr>
          <w:rStyle w:val="NormalTok"/>
        </w:rPr>
        <w:t xml:space="preserve"> {  </w:t>
      </w:r>
      <w:r>
        <w:rPr>
          <w:rStyle w:val="CommentTok"/>
        </w:rPr>
        <w:t xml:space="preserve"># per year</w:t>
      </w:r>
      <w:r>
        <w:br/>
      </w:r>
      <w:r>
        <w:rPr>
          <w:rStyle w:val="NormalTok"/>
        </w:rPr>
        <w:t xml:space="preserve">    </w:t>
      </w:r>
      <w:r>
        <w:rPr>
          <w:rStyle w:val="StringTok"/>
        </w:rPr>
        <w:t xml:space="preserve">"metro"</w:t>
      </w:r>
      <w:r>
        <w:rPr>
          <w:rStyle w:val="NormalTok"/>
        </w:rPr>
        <w:t xml:space="preserve">: </w:t>
      </w:r>
      <w:r>
        <w:rPr>
          <w:rStyle w:val="DecValTok"/>
        </w:rPr>
        <w:t xml:space="preserve">6_800_000</w:t>
      </w:r>
      <w:r>
        <w:rPr>
          <w:rStyle w:val="NormalTok"/>
        </w:rPr>
        <w:t xml:space="preserve">,</w:t>
      </w:r>
      <w:r>
        <w:br/>
      </w:r>
      <w:r>
        <w:rPr>
          <w:rStyle w:val="NormalTok"/>
        </w:rPr>
        <w:t xml:space="preserve">    </w:t>
      </w:r>
      <w:r>
        <w:rPr>
          <w:rStyle w:val="StringTok"/>
        </w:rPr>
        <w:t xml:space="preserve">"regional"</w:t>
      </w:r>
      <w:r>
        <w:rPr>
          <w:rStyle w:val="NormalTok"/>
        </w:rPr>
        <w:t xml:space="preserve">: </w:t>
      </w:r>
      <w:r>
        <w:rPr>
          <w:rStyle w:val="DecValTok"/>
        </w:rPr>
        <w:t xml:space="preserve">5_400_000</w:t>
      </w:r>
      <w:r>
        <w:rPr>
          <w:rStyle w:val="NormalTok"/>
        </w:rPr>
        <w:t xml:space="preserve">,</w:t>
      </w:r>
      <w:r>
        <w:br/>
      </w:r>
      <w:r>
        <w:rPr>
          <w:rStyle w:val="NormalTok"/>
        </w:rPr>
        <w:t xml:space="preserve">    </w:t>
      </w:r>
      <w:r>
        <w:rPr>
          <w:rStyle w:val="StringTok"/>
        </w:rPr>
        <w:t xml:space="preserve">"launch"</w:t>
      </w:r>
      <w:r>
        <w:rPr>
          <w:rStyle w:val="NormalTok"/>
        </w:rPr>
        <w:t xml:space="preserve">: </w:t>
      </w:r>
      <w:r>
        <w:rPr>
          <w:rStyle w:val="DecValTok"/>
        </w:rPr>
        <w:t xml:space="preserve">4_200_000</w:t>
      </w:r>
      <w:r>
        <w:rPr>
          <w:rStyle w:val="NormalTok"/>
        </w:rPr>
        <w:t xml:space="preserve">,</w:t>
      </w:r>
      <w:r>
        <w:br/>
      </w:r>
      <w:r>
        <w:rPr>
          <w:rStyle w:val="NormalTok"/>
        </w:rPr>
        <w:t xml:space="preserve">    </w:t>
      </w:r>
      <w:r>
        <w:rPr>
          <w:rStyle w:val="StringTok"/>
        </w:rPr>
        <w:t xml:space="preserve">"service_node"</w:t>
      </w:r>
      <w:r>
        <w:rPr>
          <w:rStyle w:val="NormalTok"/>
        </w:rPr>
        <w:t xml:space="preserve">: </w:t>
      </w:r>
      <w:r>
        <w:rPr>
          <w:rStyle w:val="DecValTok"/>
        </w:rPr>
        <w:t xml:space="preserve">3_400_000</w:t>
      </w:r>
      <w:r>
        <w:rPr>
          <w:rStyle w:val="NormalTok"/>
        </w:rPr>
        <w:t xml:space="preserve">,</w:t>
      </w:r>
      <w:r>
        <w:br/>
      </w:r>
      <w:r>
        <w:rPr>
          <w:rStyle w:val="NormalTok"/>
        </w:rPr>
        <w:t xml:space="preserve">    </w:t>
      </w:r>
      <w:r>
        <w:rPr>
          <w:rStyle w:val="StringTok"/>
        </w:rPr>
        <w:t xml:space="preserve">"secure"</w:t>
      </w:r>
      <w:r>
        <w:rPr>
          <w:rStyle w:val="NormalTok"/>
        </w:rPr>
        <w:t xml:space="preserve">: </w:t>
      </w:r>
      <w:r>
        <w:rPr>
          <w:rStyle w:val="DecValTok"/>
        </w:rPr>
        <w:t xml:space="preserve">7_500_000</w:t>
      </w:r>
      <w:r>
        <w:rPr>
          <w:rStyle w:val="NormalTok"/>
        </w:rPr>
        <w:t xml:space="preserve">,</w:t>
      </w:r>
      <w:r>
        <w:br/>
      </w:r>
      <w:r>
        <w:rPr>
          <w:rStyle w:val="NormalTok"/>
        </w:rPr>
        <w:t xml:space="preserve">}</w:t>
      </w:r>
      <w:r>
        <w:br/>
      </w:r>
      <w:r>
        <w:br/>
      </w:r>
      <w:r>
        <w:rPr>
          <w:rStyle w:val="CommentTok"/>
        </w:rPr>
        <w:t xml:space="preserve"># === Handling ===</w:t>
      </w:r>
      <w:r>
        <w:br/>
      </w:r>
      <w:r>
        <w:rPr>
          <w:rStyle w:val="NormalTok"/>
        </w:rPr>
        <w:t xml:space="preserve">HANDLING_RATE_BY_PRODUCT </w:t>
      </w:r>
      <w:r>
        <w:rPr>
          <w:rStyle w:val="OperatorTok"/>
        </w:rPr>
        <w:t xml:space="preserve">=</w:t>
      </w:r>
      <w:r>
        <w:rPr>
          <w:rStyle w:val="NormalTok"/>
        </w:rPr>
        <w:t xml:space="preserve"> {  </w:t>
      </w:r>
      <w:r>
        <w:rPr>
          <w:rStyle w:val="CommentTok"/>
        </w:rPr>
        <w:t xml:space="preserve"># USD per ton</w:t>
      </w:r>
      <w:r>
        <w:br/>
      </w:r>
      <w:r>
        <w:rPr>
          <w:rStyle w:val="NormalTok"/>
        </w:rPr>
        <w:t xml:space="preserve">    </w:t>
      </w:r>
      <w:r>
        <w:rPr>
          <w:rStyle w:val="StringTok"/>
        </w:rPr>
        <w:t xml:space="preserve">"mobile_launch"</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StringTok"/>
        </w:rPr>
        <w:t xml:space="preserve">"bulky_appliance"</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"high_value_secure"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"finished_goods"</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StringTok"/>
        </w:rPr>
        <w:t xml:space="preserve">"spare_parts"</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StringTok"/>
        </w:rPr>
        <w:t xml:space="preserve">"ecommerce_small"</w:t>
      </w:r>
      <w:r>
        <w:rPr>
          <w:rStyle w:val="NormalTok"/>
        </w:rPr>
        <w:t xml:space="preserve">: </w:t>
      </w:r>
      <w:r>
        <w:rPr>
          <w:rStyle w:val="DecValTok"/>
        </w:rPr>
        <w:t xml:space="preserve">20</w:t>
      </w:r>
      <w:r>
        <w:rPr>
          <w:rStyle w:val="NormalTok"/>
        </w:rPr>
        <w:t xml:space="preserve">,</w:t>
      </w:r>
      <w:r>
        <w:br/>
      </w:r>
      <w:r>
        <w:rPr>
          <w:rStyle w:val="NormalTok"/>
        </w:rPr>
        <w:t xml:space="preserve">}</w:t>
      </w:r>
      <w:r>
        <w:br/>
      </w:r>
      <w:r>
        <w:br/>
      </w:r>
      <w:r>
        <w:rPr>
          <w:rStyle w:val="CommentTok"/>
        </w:rPr>
        <w:t xml:space="preserve"># === Inventory ===</w:t>
      </w:r>
      <w:r>
        <w:br/>
      </w:r>
      <w:r>
        <w:rPr>
          <w:rStyle w:val="NormalTok"/>
        </w:rPr>
        <w:t xml:space="preserve">UNIT_VALUE_USD_PER_TON </w:t>
      </w:r>
      <w:r>
        <w:rPr>
          <w:rStyle w:val="OperatorTok"/>
        </w:rPr>
        <w:t xml:space="preserve">=</w:t>
      </w:r>
      <w:r>
        <w:rPr>
          <w:rStyle w:val="NormalTok"/>
        </w:rPr>
        <w:t xml:space="preserve"> {</w:t>
      </w:r>
      <w:r>
        <w:br/>
      </w:r>
      <w:r>
        <w:rPr>
          <w:rStyle w:val="NormalTok"/>
        </w:rPr>
        <w:t xml:space="preserve">    </w:t>
      </w:r>
      <w:r>
        <w:rPr>
          <w:rStyle w:val="StringTok"/>
        </w:rPr>
        <w:t xml:space="preserve">"mobile_launch"</w:t>
      </w:r>
      <w:r>
        <w:rPr>
          <w:rStyle w:val="NormalTok"/>
        </w:rPr>
        <w:t xml:space="preserve">: </w:t>
      </w:r>
      <w:r>
        <w:rPr>
          <w:rStyle w:val="DecValTok"/>
        </w:rPr>
        <w:t xml:space="preserve">50_000</w:t>
      </w:r>
      <w:r>
        <w:rPr>
          <w:rStyle w:val="NormalTok"/>
        </w:rPr>
        <w:t xml:space="preserve">,</w:t>
      </w:r>
      <w:r>
        <w:br/>
      </w:r>
      <w:r>
        <w:rPr>
          <w:rStyle w:val="NormalTok"/>
        </w:rPr>
        <w:t xml:space="preserve">    </w:t>
      </w:r>
      <w:r>
        <w:rPr>
          <w:rStyle w:val="StringTok"/>
        </w:rPr>
        <w:t xml:space="preserve">"bulky_appliance"</w:t>
      </w:r>
      <w:r>
        <w:rPr>
          <w:rStyle w:val="NormalTok"/>
        </w:rPr>
        <w:t xml:space="preserve">: </w:t>
      </w:r>
      <w:r>
        <w:rPr>
          <w:rStyle w:val="DecValTok"/>
        </w:rPr>
        <w:t xml:space="preserve">8_000</w:t>
      </w:r>
      <w:r>
        <w:rPr>
          <w:rStyle w:val="NormalTok"/>
        </w:rPr>
        <w:t xml:space="preserve">,</w:t>
      </w:r>
      <w:r>
        <w:br/>
      </w:r>
      <w:r>
        <w:rPr>
          <w:rStyle w:val="NormalTok"/>
        </w:rPr>
        <w:t xml:space="preserve">    </w:t>
      </w:r>
      <w:r>
        <w:rPr>
          <w:rStyle w:val="StringTok"/>
        </w:rPr>
        <w:t xml:space="preserve">"high_value_secure"</w:t>
      </w:r>
      <w:r>
        <w:rPr>
          <w:rStyle w:val="NormalTok"/>
        </w:rPr>
        <w:t xml:space="preserve">: </w:t>
      </w:r>
      <w:r>
        <w:rPr>
          <w:rStyle w:val="DecValTok"/>
        </w:rPr>
        <w:t xml:space="preserve">200_000</w:t>
      </w:r>
      <w:r>
        <w:rPr>
          <w:rStyle w:val="NormalTok"/>
        </w:rPr>
        <w:t xml:space="preserve">,</w:t>
      </w:r>
      <w:r>
        <w:br/>
      </w:r>
      <w:r>
        <w:rPr>
          <w:rStyle w:val="NormalTok"/>
        </w:rPr>
        <w:t xml:space="preserve">    </w:t>
      </w:r>
      <w:r>
        <w:rPr>
          <w:rStyle w:val="StringTok"/>
        </w:rPr>
        <w:t xml:space="preserve">"finished_goods"</w:t>
      </w:r>
      <w:r>
        <w:rPr>
          <w:rStyle w:val="NormalTok"/>
        </w:rPr>
        <w:t xml:space="preserve">: </w:t>
      </w:r>
      <w:r>
        <w:rPr>
          <w:rStyle w:val="DecValTok"/>
        </w:rPr>
        <w:t xml:space="preserve">12_000</w:t>
      </w:r>
      <w:r>
        <w:rPr>
          <w:rStyle w:val="NormalTok"/>
        </w:rPr>
        <w:t xml:space="preserve">,</w:t>
      </w:r>
      <w:r>
        <w:br/>
      </w:r>
      <w:r>
        <w:rPr>
          <w:rStyle w:val="NormalTok"/>
        </w:rPr>
        <w:t xml:space="preserve">    </w:t>
      </w:r>
      <w:r>
        <w:rPr>
          <w:rStyle w:val="StringTok"/>
        </w:rPr>
        <w:t xml:space="preserve">"spare_parts"</w:t>
      </w:r>
      <w:r>
        <w:rPr>
          <w:rStyle w:val="NormalTok"/>
        </w:rPr>
        <w:t xml:space="preserve">: </w:t>
      </w:r>
      <w:r>
        <w:rPr>
          <w:rStyle w:val="DecValTok"/>
        </w:rPr>
        <w:t xml:space="preserve">30_000</w:t>
      </w:r>
      <w:r>
        <w:rPr>
          <w:rStyle w:val="NormalTok"/>
        </w:rPr>
        <w:t xml:space="preserve">,</w:t>
      </w:r>
      <w:r>
        <w:br/>
      </w:r>
      <w:r>
        <w:rPr>
          <w:rStyle w:val="NormalTok"/>
        </w:rPr>
        <w:t xml:space="preserve">    </w:t>
      </w:r>
      <w:r>
        <w:rPr>
          <w:rStyle w:val="StringTok"/>
        </w:rPr>
        <w:t xml:space="preserve">"ecommerce_small"</w:t>
      </w:r>
      <w:r>
        <w:rPr>
          <w:rStyle w:val="NormalTok"/>
        </w:rPr>
        <w:t xml:space="preserve">: </w:t>
      </w:r>
      <w:r>
        <w:rPr>
          <w:rStyle w:val="DecValTok"/>
        </w:rPr>
        <w:t xml:space="preserve">15_000</w:t>
      </w:r>
      <w:r>
        <w:rPr>
          <w:rStyle w:val="NormalTok"/>
        </w:rPr>
        <w:t xml:space="preserve">,</w:t>
      </w:r>
      <w:r>
        <w:br/>
      </w:r>
      <w:r>
        <w:rPr>
          <w:rStyle w:val="NormalTok"/>
        </w:rPr>
        <w:t xml:space="preserve">}</w:t>
      </w:r>
      <w:r>
        <w:br/>
      </w:r>
      <w:r>
        <w:br/>
      </w:r>
      <w:r>
        <w:rPr>
          <w:rStyle w:val="NormalTok"/>
        </w:rPr>
        <w:t xml:space="preserve">HOLDING_COST_PCT_PER_MONTH </w:t>
      </w:r>
      <w:r>
        <w:rPr>
          <w:rStyle w:val="OperatorTok"/>
        </w:rPr>
        <w:t xml:space="preserve">=</w:t>
      </w:r>
      <w:r>
        <w:rPr>
          <w:rStyle w:val="NormalTok"/>
        </w:rPr>
        <w:t xml:space="preserve"> {</w:t>
      </w:r>
      <w:r>
        <w:br/>
      </w:r>
      <w:r>
        <w:rPr>
          <w:rStyle w:val="NormalTok"/>
        </w:rPr>
        <w:t xml:space="preserve">    </w:t>
      </w:r>
      <w:r>
        <w:rPr>
          <w:rStyle w:val="StringTok"/>
        </w:rPr>
        <w:t xml:space="preserve">"mobile_launch"</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StringTok"/>
        </w:rPr>
        <w:t xml:space="preserve">"bulky_appliance"</w:t>
      </w:r>
      <w:r>
        <w:rPr>
          <w:rStyle w:val="NormalTok"/>
        </w:rPr>
        <w:t xml:space="preserve">: </w:t>
      </w:r>
      <w:r>
        <w:rPr>
          <w:rStyle w:val="FloatTok"/>
        </w:rPr>
        <w:t xml:space="preserve">0.012</w:t>
      </w:r>
      <w:r>
        <w:rPr>
          <w:rStyle w:val="NormalTok"/>
        </w:rPr>
        <w:t xml:space="preserve">,</w:t>
      </w:r>
      <w:r>
        <w:br/>
      </w:r>
      <w:r>
        <w:rPr>
          <w:rStyle w:val="NormalTok"/>
        </w:rPr>
        <w:t xml:space="preserve">    </w:t>
      </w:r>
      <w:r>
        <w:rPr>
          <w:rStyle w:val="StringTok"/>
        </w:rPr>
        <w:t xml:space="preserve">"high_value_secure"</w:t>
      </w:r>
      <w:r>
        <w:rPr>
          <w:rStyle w:val="NormalTok"/>
        </w:rPr>
        <w:t xml:space="preserve">: </w:t>
      </w:r>
      <w:r>
        <w:rPr>
          <w:rStyle w:val="FloatTok"/>
        </w:rPr>
        <w:t xml:space="preserve">0.040</w:t>
      </w:r>
      <w:r>
        <w:rPr>
          <w:rStyle w:val="NormalTok"/>
        </w:rPr>
        <w:t xml:space="preserve">,</w:t>
      </w:r>
      <w:r>
        <w:br/>
      </w:r>
      <w:r>
        <w:rPr>
          <w:rStyle w:val="NormalTok"/>
        </w:rPr>
        <w:t xml:space="preserve">    </w:t>
      </w:r>
      <w:r>
        <w:rPr>
          <w:rStyle w:val="StringTok"/>
        </w:rPr>
        <w:t xml:space="preserve">"finished_goods"</w:t>
      </w:r>
      <w:r>
        <w:rPr>
          <w:rStyle w:val="NormalTok"/>
        </w:rPr>
        <w:t xml:space="preserve">: </w:t>
      </w:r>
      <w:r>
        <w:rPr>
          <w:rStyle w:val="FloatTok"/>
        </w:rPr>
        <w:t xml:space="preserve">0.015</w:t>
      </w:r>
      <w:r>
        <w:rPr>
          <w:rStyle w:val="NormalTok"/>
        </w:rPr>
        <w:t xml:space="preserve">,</w:t>
      </w:r>
      <w:r>
        <w:br/>
      </w:r>
      <w:r>
        <w:rPr>
          <w:rStyle w:val="NormalTok"/>
        </w:rPr>
        <w:t xml:space="preserve">    </w:t>
      </w:r>
      <w:r>
        <w:rPr>
          <w:rStyle w:val="StringTok"/>
        </w:rPr>
        <w:t xml:space="preserve">"spare_parts"</w:t>
      </w:r>
      <w:r>
        <w:rPr>
          <w:rStyle w:val="NormalTok"/>
        </w:rPr>
        <w:t xml:space="preserve">: </w:t>
      </w:r>
      <w:r>
        <w:rPr>
          <w:rStyle w:val="FloatTok"/>
        </w:rPr>
        <w:t xml:space="preserve">0.020</w:t>
      </w:r>
      <w:r>
        <w:rPr>
          <w:rStyle w:val="NormalTok"/>
        </w:rPr>
        <w:t xml:space="preserve">,</w:t>
      </w:r>
      <w:r>
        <w:br/>
      </w:r>
      <w:r>
        <w:rPr>
          <w:rStyle w:val="NormalTok"/>
        </w:rPr>
        <w:t xml:space="preserve">    </w:t>
      </w:r>
      <w:r>
        <w:rPr>
          <w:rStyle w:val="StringTok"/>
        </w:rPr>
        <w:t xml:space="preserve">"ecommerce_small"</w:t>
      </w:r>
      <w:r>
        <w:rPr>
          <w:rStyle w:val="NormalTok"/>
        </w:rPr>
        <w:t xml:space="preserve">: </w:t>
      </w:r>
      <w:r>
        <w:rPr>
          <w:rStyle w:val="FloatTok"/>
        </w:rPr>
        <w:t xml:space="preserve">0.018</w:t>
      </w:r>
      <w:r>
        <w:rPr>
          <w:rStyle w:val="NormalTok"/>
        </w:rPr>
        <w:t xml:space="preserve">,</w:t>
      </w:r>
      <w:r>
        <w:br/>
      </w:r>
      <w:r>
        <w:rPr>
          <w:rStyle w:val="NormalTok"/>
        </w:rPr>
        <w:t xml:space="preserve">}</w:t>
      </w:r>
      <w:r>
        <w:br/>
      </w:r>
      <w:r>
        <w:br/>
      </w:r>
      <w:r>
        <w:rPr>
          <w:rStyle w:val="CommentTok"/>
        </w:rPr>
        <w:t xml:space="preserve"># === Seasonal flex ===</w:t>
      </w:r>
      <w:r>
        <w:br/>
      </w:r>
      <w:r>
        <w:rPr>
          <w:rStyle w:val="NormalTok"/>
        </w:rPr>
        <w:t xml:space="preserve">OVERTIME_MULTIPLIER </w:t>
      </w:r>
      <w:r>
        <w:rPr>
          <w:rStyle w:val="OperatorTok"/>
        </w:rPr>
        <w:t xml:space="preserve">=</w:t>
      </w:r>
      <w:r>
        <w:rPr>
          <w:rStyle w:val="NormalTok"/>
        </w:rPr>
        <w:t xml:space="preserve"> </w:t>
      </w:r>
      <w:r>
        <w:rPr>
          <w:rStyle w:val="FloatTok"/>
        </w:rPr>
        <w:t xml:space="preserve">1.5</w:t>
      </w:r>
      <w:r>
        <w:br/>
      </w:r>
      <w:r>
        <w:rPr>
          <w:rStyle w:val="NormalTok"/>
        </w:rPr>
        <w:t xml:space="preserve">THREEPL_MULTIPLIER </w:t>
      </w:r>
      <w:r>
        <w:rPr>
          <w:rStyle w:val="OperatorTok"/>
        </w:rPr>
        <w:t xml:space="preserve">=</w:t>
      </w:r>
      <w:r>
        <w:rPr>
          <w:rStyle w:val="NormalTok"/>
        </w:rPr>
        <w:t xml:space="preserve"> </w:t>
      </w:r>
      <w:r>
        <w:rPr>
          <w:rStyle w:val="FloatTok"/>
        </w:rPr>
        <w:t xml:space="preserve">2.0</w:t>
      </w:r>
      <w:r>
        <w:br/>
      </w:r>
      <w:r>
        <w:rPr>
          <w:rStyle w:val="NormalTok"/>
        </w:rPr>
        <w:t xml:space="preserve">OVERTIME_CAPACITY_PCT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Overtime covers maximum 20% of base capacity</w:t>
      </w:r>
      <w:r>
        <w:br/>
      </w:r>
      <w:r>
        <w:br/>
      </w:r>
      <w:r>
        <w:rPr>
          <w:rStyle w:val="CommentTok"/>
        </w:rPr>
        <w:t xml:space="preserve"># === SLA ===</w:t>
      </w:r>
      <w:r>
        <w:br/>
      </w:r>
      <w:r>
        <w:rPr>
          <w:rStyle w:val="NormalTok"/>
        </w:rPr>
        <w:t xml:space="preserve">SLA_RADIUS_KM </w:t>
      </w:r>
      <w:r>
        <w:rPr>
          <w:rStyle w:val="OperatorTok"/>
        </w:rPr>
        <w:t xml:space="preserve">=</w:t>
      </w:r>
      <w:r>
        <w:rPr>
          <w:rStyle w:val="NormalTok"/>
        </w:rPr>
        <w:t xml:space="preserve"> {</w:t>
      </w:r>
      <w:r>
        <w:br/>
      </w:r>
      <w:r>
        <w:rPr>
          <w:rStyle w:val="NormalTok"/>
        </w:rPr>
        <w:t xml:space="preserve">    </w:t>
      </w:r>
      <w:r>
        <w:rPr>
          <w:rStyle w:val="StringTok"/>
        </w:rPr>
        <w:t xml:space="preserve">"mobile_launch"</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"bulky_appliance"</w:t>
      </w:r>
      <w:r>
        <w:rPr>
          <w:rStyle w:val="NormalTok"/>
        </w:rPr>
        <w:t xml:space="preserve">: </w:t>
      </w:r>
      <w:r>
        <w:rPr>
          <w:rStyle w:val="DecValTok"/>
        </w:rPr>
        <w:t xml:space="preserve">400</w:t>
      </w:r>
      <w:r>
        <w:rPr>
          <w:rStyle w:val="NormalTok"/>
        </w:rPr>
        <w:t xml:space="preserve">,</w:t>
      </w:r>
      <w:r>
        <w:br/>
      </w:r>
      <w:r>
        <w:rPr>
          <w:rStyle w:val="NormalTok"/>
        </w:rPr>
        <w:t xml:space="preserve">    </w:t>
      </w:r>
      <w:r>
        <w:rPr>
          <w:rStyle w:val="StringTok"/>
        </w:rPr>
        <w:t xml:space="preserve">"high_value_secure"</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"finished_goods"</w:t>
      </w:r>
      <w:r>
        <w:rPr>
          <w:rStyle w:val="NormalTok"/>
        </w:rPr>
        <w:t xml:space="preserve">: </w:t>
      </w:r>
      <w:r>
        <w:rPr>
          <w:rStyle w:val="DecValTok"/>
        </w:rPr>
        <w:t xml:space="preserve">350</w:t>
      </w:r>
      <w:r>
        <w:rPr>
          <w:rStyle w:val="NormalTok"/>
        </w:rPr>
        <w:t xml:space="preserve">,</w:t>
      </w:r>
      <w:r>
        <w:br/>
      </w:r>
      <w:r>
        <w:rPr>
          <w:rStyle w:val="NormalTok"/>
        </w:rPr>
        <w:t xml:space="preserve">    </w:t>
      </w:r>
      <w:r>
        <w:rPr>
          <w:rStyle w:val="StringTok"/>
        </w:rPr>
        <w:t xml:space="preserve">"spare_parts"</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"ecommerce_small"</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NormalTok"/>
        </w:rPr>
        <w:t xml:space="preserve">SLA_PENALTY_PER_TON </w:t>
      </w:r>
      <w:r>
        <w:rPr>
          <w:rStyle w:val="OperatorTok"/>
        </w:rPr>
        <w:t xml:space="preserve">=</w:t>
      </w:r>
      <w:r>
        <w:rPr>
          <w:rStyle w:val="NormalTok"/>
        </w:rPr>
        <w:t xml:space="preserve"> {</w:t>
      </w:r>
      <w:r>
        <w:br/>
      </w:r>
      <w:r>
        <w:rPr>
          <w:rStyle w:val="NormalTok"/>
        </w:rPr>
        <w:t xml:space="preserve">    </w:t>
      </w:r>
      <w:r>
        <w:rPr>
          <w:rStyle w:val="StringTok"/>
        </w:rPr>
        <w:t xml:space="preserve">"mobile_launch"</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"bulky_appliance"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"high_value_secure"</w:t>
      </w:r>
      <w:r>
        <w:rPr>
          <w:rStyle w:val="NormalTok"/>
        </w:rPr>
        <w:t xml:space="preserve">: </w:t>
      </w:r>
      <w:r>
        <w:rPr>
          <w:rStyle w:val="DecValTok"/>
        </w:rPr>
        <w:t xml:space="preserve">800</w:t>
      </w:r>
      <w:r>
        <w:rPr>
          <w:rStyle w:val="NormalTok"/>
        </w:rPr>
        <w:t xml:space="preserve">,</w:t>
      </w:r>
      <w:r>
        <w:br/>
      </w:r>
      <w:r>
        <w:rPr>
          <w:rStyle w:val="NormalTok"/>
        </w:rPr>
        <w:t xml:space="preserve">    </w:t>
      </w:r>
      <w:r>
        <w:rPr>
          <w:rStyle w:val="StringTok"/>
        </w:rPr>
        <w:t xml:space="preserve">"finished_goods"</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"spare_parts"</w:t>
      </w:r>
      <w:r>
        <w:rPr>
          <w:rStyle w:val="NormalTok"/>
        </w:rPr>
        <w:t xml:space="preserve">: </w:t>
      </w:r>
      <w:r>
        <w:rPr>
          <w:rStyle w:val="DecValTok"/>
        </w:rPr>
        <w:t xml:space="preserve">250</w:t>
      </w:r>
      <w:r>
        <w:rPr>
          <w:rStyle w:val="NormalTok"/>
        </w:rPr>
        <w:t xml:space="preserve">,</w:t>
      </w:r>
      <w:r>
        <w:br/>
      </w:r>
      <w:r>
        <w:rPr>
          <w:rStyle w:val="NormalTok"/>
        </w:rPr>
        <w:t xml:space="preserve">    </w:t>
      </w:r>
      <w:r>
        <w:rPr>
          <w:rStyle w:val="StringTok"/>
        </w:rPr>
        <w:t xml:space="preserve">"ecommerce_small"</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CommentTok"/>
        </w:rPr>
        <w:t xml:space="preserve"># === Capacity bands ===</w:t>
      </w:r>
      <w:r>
        <w:br/>
      </w:r>
      <w:r>
        <w:rPr>
          <w:rStyle w:val="NormalTok"/>
        </w:rPr>
        <w:t xml:space="preserve">UTILIZATION_BANDS </w:t>
      </w:r>
      <w:r>
        <w:rPr>
          <w:rStyle w:val="OperatorTok"/>
        </w:rPr>
        <w:t xml:space="preserve">=</w:t>
      </w:r>
      <w:r>
        <w:rPr>
          <w:rStyle w:val="NormalTok"/>
        </w:rPr>
        <w:t xml:space="preserve"> {</w:t>
      </w:r>
      <w:r>
        <w:br/>
      </w:r>
      <w:r>
        <w:rPr>
          <w:rStyle w:val="NormalTok"/>
        </w:rPr>
        <w:t xml:space="preserve">    </w:t>
      </w:r>
      <w:r>
        <w:rPr>
          <w:rStyle w:val="StringTok"/>
        </w:rPr>
        <w:t xml:space="preserve">"underused"</w:t>
      </w:r>
      <w:r>
        <w:rPr>
          <w:rStyle w:val="NormalTok"/>
        </w:rPr>
        <w:t xml:space="preserve">: (</w:t>
      </w:r>
      <w:r>
        <w:rPr>
          <w:rStyle w:val="FloatTok"/>
        </w:rPr>
        <w:t xml:space="preserve">0.0</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"healthy"</w:t>
      </w:r>
      <w:r>
        <w:rPr>
          <w:rStyle w:val="NormalTok"/>
        </w:rPr>
        <w:t xml:space="preserve">: (</w:t>
      </w:r>
      <w:r>
        <w:rPr>
          <w:rStyle w:val="FloatTok"/>
        </w:rPr>
        <w:t xml:space="preserve">0.7</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"watchlist"</w:t>
      </w:r>
      <w:r>
        <w:rPr>
          <w:rStyle w:val="NormalTok"/>
        </w:rPr>
        <w:t xml:space="preserve">: (</w:t>
      </w:r>
      <w:r>
        <w:rPr>
          <w:rStyle w:val="FloatTok"/>
        </w:rPr>
        <w:t xml:space="preserve">0.9</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"overload"</w:t>
      </w:r>
      <w:r>
        <w:rPr>
          <w:rStyle w:val="NormalTok"/>
        </w:rPr>
        <w:t xml:space="preserve">: (</w:t>
      </w:r>
      <w:r>
        <w:rPr>
          <w:rStyle w:val="FloatTok"/>
        </w:rPr>
        <w:t xml:space="preserve">1.0</w:t>
      </w:r>
      <w:r>
        <w:rPr>
          <w:rStyle w:val="NormalTok"/>
        </w:rPr>
        <w:t xml:space="preserve">, </w:t>
      </w:r>
      <w:r>
        <w:rPr>
          <w:rStyle w:val="FloatTok"/>
        </w:rPr>
        <w:t xml:space="preserve">1.1</w:t>
      </w:r>
      <w:r>
        <w:rPr>
          <w:rStyle w:val="NormalTok"/>
        </w:rPr>
        <w:t xml:space="preserve">),</w:t>
      </w:r>
      <w:r>
        <w:br/>
      </w:r>
      <w:r>
        <w:rPr>
          <w:rStyle w:val="NormalTok"/>
        </w:rPr>
        <w:t xml:space="preserve">    </w:t>
      </w:r>
      <w:r>
        <w:rPr>
          <w:rStyle w:val="StringTok"/>
        </w:rPr>
        <w:t xml:space="preserve">"critical"</w:t>
      </w:r>
      <w:r>
        <w:rPr>
          <w:rStyle w:val="NormalTok"/>
        </w:rPr>
        <w:t xml:space="preserve">: (</w:t>
      </w:r>
      <w:r>
        <w:rPr>
          <w:rStyle w:val="FloatTok"/>
        </w:rPr>
        <w:t xml:space="preserve">1.1</w:t>
      </w:r>
      <w:r>
        <w:rPr>
          <w:rStyle w:val="NormalTok"/>
        </w:rPr>
        <w:t xml:space="preserve">, </w:t>
      </w:r>
      <w:r>
        <w:rPr>
          <w:rStyle w:val="FloatTok"/>
        </w:rPr>
        <w:t xml:space="preserve">99.0</w:t>
      </w:r>
      <w:r>
        <w:rPr>
          <w:rStyle w:val="NormalTok"/>
        </w:rPr>
        <w:t xml:space="preserve">),</w:t>
      </w:r>
      <w:r>
        <w:br/>
      </w:r>
      <w:r>
        <w:rPr>
          <w:rStyle w:val="NormalTok"/>
        </w:rPr>
        <w:t xml:space="preserve">}</w:t>
      </w:r>
    </w:p>
    <w:p>
      <w:pPr>
        <w:pStyle w:val="FirstParagraph"/>
      </w:pPr>
      <w:r>
        <w:t xml:space="preserve">There are</w:t>
      </w:r>
      <w:r>
        <w:t xml:space="preserve"> </w:t>
      </w:r>
      <w:r>
        <w:rPr>
          <w:bCs/>
          <w:b/>
        </w:rPr>
        <w:t xml:space="preserve">approximately 50 distinct parameters</w:t>
      </w:r>
      <w:r>
        <w:t xml:space="preserve"> </w:t>
      </w:r>
      <w:r>
        <w:t xml:space="preserve">managed in the configuration script. These form the primary calibration variables of the engine; modifying this single file dynamically recalibrates the entire model.</w:t>
      </w:r>
      <w:r>
        <w:t xml:space="preserve"> </w:t>
      </w:r>
      <w:r>
        <w:rPr>
          <w:iCs/>
          <w:i/>
        </w:rPr>
        <w:t xml:space="preserve">설정 스크립트에서는</w:t>
      </w:r>
      <w:r>
        <w:rPr>
          <w:iCs/>
          <w:i/>
        </w:rPr>
        <w:t xml:space="preserve"> </w:t>
      </w:r>
      <w:r>
        <w:rPr>
          <w:bCs/>
          <w:b/>
          <w:iCs/>
          <w:i/>
        </w:rPr>
        <w:t xml:space="preserve">약 50개의 개별 파라미터</w:t>
      </w:r>
      <w:r>
        <w:rPr>
          <w:iCs/>
          <w:i/>
        </w:rPr>
        <w:t xml:space="preserve">를 일괄 관리한다. 이는 엔진의 핵심 조정 변수 집합으로, 이 파일의 파라미터를 수정하면 전체 모델 계산이 동적으로 보정된다.</w:t>
      </w:r>
    </w:p>
    <w:p>
      <w:r>
        <w:pict>
          <v:rect style="width:0;height:1.5pt" o:hralign="center" o:hrstd="t" o:hr="t"/>
        </w:pict>
      </w:r>
    </w:p>
    <w:bookmarkEnd w:id="29"/>
    <w:bookmarkStart w:id="34" w:name="Xb35d310386723db5e4e58d62e9dd30a151c76e5"/>
    <w:p>
      <w:pPr>
        <w:pStyle w:val="Heading2"/>
      </w:pPr>
      <w:r>
        <w:t xml:space="preserve">5. RECONCILING</w:t>
      </w:r>
      <w:r>
        <w:t xml:space="preserve"> </w:t>
      </w:r>
      <w:r>
        <w:t xml:space="preserve">“</w:t>
      </w:r>
      <w:r>
        <w:t xml:space="preserve">INDUSTRY BENCHMARKS</w:t>
      </w:r>
      <w:r>
        <w:t xml:space="preserve">”</w:t>
      </w:r>
      <w:r>
        <w:t xml:space="preserve"> </w:t>
      </w:r>
      <w:r>
        <w:t xml:space="preserve">/</w:t>
      </w:r>
      <w:r>
        <w:t xml:space="preserve"> </w:t>
      </w:r>
      <w:r>
        <w:t xml:space="preserve">“</w:t>
      </w:r>
      <w:r>
        <w:t xml:space="preserve">산업 벤치마크</w:t>
      </w:r>
      <w:r>
        <w:t xml:space="preserve">”</w:t>
      </w:r>
      <w:r>
        <w:t xml:space="preserve">의 정의와 의의</w:t>
      </w:r>
    </w:p>
    <w:bookmarkStart w:id="30" w:name="X50d3dbdc2ad7e231e4d243f84783f705d3718bc"/>
    <w:p>
      <w:pPr>
        <w:pStyle w:val="Heading3"/>
      </w:pPr>
      <w:r>
        <w:t xml:space="preserve">5.1 Three Classes of Cost Coefficients / 비용 계수의 3가지 분류</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Coefficient Class / 계수 분류</w:t>
            </w:r>
          </w:p>
        </w:tc>
        <w:tc>
          <w:p>
            <w:pPr>
              <w:pStyle w:val="Compact"/>
              <w:jc w:val="left"/>
            </w:pPr>
            <w:r>
              <w:t xml:space="preserve">Primary Source / 출처</w:t>
            </w:r>
          </w:p>
        </w:tc>
        <w:tc>
          <w:p>
            <w:pPr>
              <w:pStyle w:val="Compact"/>
              <w:jc w:val="left"/>
            </w:pPr>
            <w:r>
              <w:t xml:space="preserve">Precision Level / 정확도</w:t>
            </w:r>
          </w:p>
        </w:tc>
        <w:tc>
          <w:p>
            <w:pPr>
              <w:pStyle w:val="Compact"/>
              <w:jc w:val="left"/>
            </w:pPr>
            <w:r>
              <w:t xml:space="preserve">Primary User / 사용 목적</w:t>
            </w:r>
          </w:p>
        </w:tc>
      </w:tr>
      <w:tr>
        <w:tc>
          <w:p>
            <w:pPr>
              <w:pStyle w:val="Compact"/>
              <w:jc w:val="left"/>
            </w:pPr>
            <w:r>
              <w:rPr>
                <w:bCs/>
                <w:b/>
              </w:rPr>
              <w:t xml:space="preserve">Mock / 모의 계수</w:t>
            </w:r>
          </w:p>
        </w:tc>
        <w:tc>
          <w:p>
            <w:pPr>
              <w:pStyle w:val="Compact"/>
              <w:jc w:val="left"/>
            </w:pPr>
            <w:r>
              <w:t xml:space="preserve">Internal engineering estimations / 개발진 자체 설계</w:t>
            </w:r>
          </w:p>
        </w:tc>
        <w:tc>
          <w:p>
            <w:pPr>
              <w:pStyle w:val="Compact"/>
              <w:jc w:val="left"/>
            </w:pPr>
            <w:r>
              <w:t xml:space="preserve">Negligible / 낮음</w:t>
            </w:r>
          </w:p>
        </w:tc>
        <w:tc>
          <w:p>
            <w:pPr>
              <w:pStyle w:val="Compact"/>
              <w:jc w:val="left"/>
            </w:pPr>
            <w:r>
              <w:t xml:space="preserve">Code execution testing / 내부 로직 테스트</w:t>
            </w:r>
          </w:p>
        </w:tc>
      </w:tr>
      <w:tr>
        <w:tc>
          <w:p>
            <w:pPr>
              <w:pStyle w:val="Compact"/>
              <w:jc w:val="left"/>
            </w:pPr>
            <w:r>
              <w:rPr>
                <w:bCs/>
                <w:b/>
              </w:rPr>
              <w:t xml:space="preserve">Industry Benchmark / 산업 벤치마크</w:t>
            </w:r>
            <w:r>
              <w:t xml:space="preserve"> </w:t>
            </w:r>
            <w:r>
              <w:t xml:space="preserve">←</w:t>
            </w:r>
            <w:r>
              <w:t xml:space="preserve"> </w:t>
            </w:r>
            <w:r>
              <w:rPr>
                <w:iCs/>
                <w:i/>
              </w:rPr>
              <w:t xml:space="preserve">Active</w:t>
            </w:r>
          </w:p>
        </w:tc>
        <w:tc>
          <w:p>
            <w:pPr>
              <w:pStyle w:val="Compact"/>
              <w:jc w:val="left"/>
            </w:pPr>
            <w:r>
              <w:t xml:space="preserve">Literature, public freight reports / 문헌, 공공 화물 보고서</w:t>
            </w:r>
          </w:p>
        </w:tc>
        <w:tc>
          <w:p>
            <w:pPr>
              <w:pStyle w:val="Compact"/>
              <w:jc w:val="left"/>
            </w:pPr>
            <w:r>
              <w:t xml:space="preserve">Moderate (±20-40% error) / 보통</w:t>
            </w:r>
          </w:p>
        </w:tc>
        <w:tc>
          <w:p>
            <w:pPr>
              <w:pStyle w:val="Compact"/>
              <w:jc w:val="left"/>
            </w:pPr>
            <w:r>
              <w:t xml:space="preserve">Strategic proxy simulation / 프록시 엔진 (중간 보고)</w:t>
            </w:r>
          </w:p>
        </w:tc>
      </w:tr>
      <w:tr>
        <w:tc>
          <w:p>
            <w:pPr>
              <w:pStyle w:val="Compact"/>
              <w:jc w:val="left"/>
            </w:pPr>
            <w:r>
              <w:rPr>
                <w:bCs/>
                <w:b/>
              </w:rPr>
              <w:t xml:space="preserve">Actual Contract Cost / 실거래 계약 비용</w:t>
            </w:r>
          </w:p>
        </w:tc>
        <w:tc>
          <w:p>
            <w:pPr>
              <w:pStyle w:val="Compact"/>
              <w:jc w:val="left"/>
            </w:pPr>
            <w:r>
              <w:t xml:space="preserve">Proprietary carrier and labor agreements / 기업 내부 실제 물류 계약</w:t>
            </w:r>
          </w:p>
        </w:tc>
        <w:tc>
          <w:p>
            <w:pPr>
              <w:pStyle w:val="Compact"/>
              <w:jc w:val="left"/>
            </w:pPr>
            <w:r>
              <w:t xml:space="preserve">absolute / 매우 높음</w:t>
            </w:r>
          </w:p>
        </w:tc>
        <w:tc>
          <w:p>
            <w:pPr>
              <w:pStyle w:val="Compact"/>
              <w:jc w:val="left"/>
            </w:pPr>
            <w:r>
              <w:t xml:space="preserve">Production system deployment / 프로덕션 엔진 (파일럿 이후)</w:t>
            </w:r>
          </w:p>
        </w:tc>
      </w:tr>
    </w:tbl>
    <w:bookmarkEnd w:id="30"/>
    <w:bookmarkStart w:id="31" w:name="Xb01a89495602781e0d1c80551d1d87a9c13a735"/>
    <w:p>
      <w:pPr>
        <w:pStyle w:val="Heading3"/>
      </w:pPr>
      <w:r>
        <w:t xml:space="preserve">5.2 Deciphering the Benchmark Concept / 벤치마크의 개념 and Significance</w:t>
      </w:r>
    </w:p>
    <w:p>
      <w:pPr>
        <w:pStyle w:val="FirstParagraph"/>
      </w:pPr>
      <w:r>
        <w:t xml:space="preserve">In logistics engineering, a</w:t>
      </w:r>
      <w:r>
        <w:t xml:space="preserve"> </w:t>
      </w:r>
      <w:r>
        <w:t xml:space="preserve">“</w:t>
      </w:r>
      <w:r>
        <w:t xml:space="preserve">benchmark</w:t>
      </w:r>
      <w:r>
        <w:t xml:space="preserve">”</w:t>
      </w:r>
      <w:r>
        <w:t xml:space="preserve"> </w:t>
      </w:r>
      <w:r>
        <w:t xml:space="preserve">represents the</w:t>
      </w:r>
      <w:r>
        <w:t xml:space="preserve"> </w:t>
      </w:r>
      <w:r>
        <w:rPr>
          <w:bCs/>
          <w:b/>
        </w:rPr>
        <w:t xml:space="preserve">industry-average reference value</w:t>
      </w:r>
      <w:r>
        <w:t xml:space="preserve">. For example, South Korean domestic trucking rates average 0.10 to 0.18 USD/ton-km depending on cargo type. Actual freight costs for a specific enterprise (such as Samsung) can deviate from these benchmarks due to several key factors:</w:t>
      </w:r>
      <w:r>
        <w:t xml:space="preserve"> </w:t>
      </w:r>
      <w:r>
        <w:rPr>
          <w:iCs/>
          <w:i/>
        </w:rPr>
        <w:t xml:space="preserve">물류 엔지니어링에서</w:t>
      </w:r>
      <w:r>
        <w:rPr>
          <w:iCs/>
          <w:i/>
        </w:rPr>
        <w:t xml:space="preserve"> </w:t>
      </w:r>
      <w:r>
        <w:rPr>
          <w:iCs/>
          <w:i/>
        </w:rPr>
        <w:t xml:space="preserve">“</w:t>
      </w:r>
      <w:r>
        <w:rPr>
          <w:iCs/>
          <w:i/>
        </w:rPr>
        <w:t xml:space="preserve">벤치마크</w:t>
      </w:r>
      <w:r>
        <w:rPr>
          <w:iCs/>
          <w:i/>
        </w:rPr>
        <w:t xml:space="preserve">”</w:t>
      </w:r>
      <w:r>
        <w:rPr>
          <w:iCs/>
          <w:i/>
        </w:rPr>
        <w:t xml:space="preserve">는</w:t>
      </w:r>
      <w:r>
        <w:rPr>
          <w:iCs/>
          <w:i/>
        </w:rPr>
        <w:t xml:space="preserve"> </w:t>
      </w:r>
      <w:r>
        <w:rPr>
          <w:bCs/>
          <w:b/>
          <w:iCs/>
          <w:i/>
        </w:rPr>
        <w:t xml:space="preserve">산업 평균 기준치</w:t>
      </w:r>
      <w:r>
        <w:rPr>
          <w:iCs/>
          <w:i/>
        </w:rPr>
        <w:t xml:space="preserve">를 뜻한다. 예를 들어, 한국 내수 트럭 운송 요율은 품목에 따라 톤-km당 평균 0.10~0.18 USD 범위 내에 있다. 삼성과 같은 특정 대기업의 실제 비용은 다음과 같은 요소들로 인해 벤치마크와 상이할 수 있다:</w:t>
      </w:r>
    </w:p>
    <w:p>
      <w:pPr>
        <w:numPr>
          <w:ilvl w:val="0"/>
          <w:numId w:val="1001"/>
        </w:numPr>
        <w:pStyle w:val="Compact"/>
      </w:pPr>
      <w:r>
        <w:rPr>
          <w:bCs/>
          <w:b/>
        </w:rPr>
        <w:t xml:space="preserve">Scale of Operations / 규모의 경제:</w:t>
      </w:r>
      <w:r>
        <w:t xml:space="preserve"> </w:t>
      </w:r>
      <w:r>
        <w:t xml:space="preserve">Mega-volume shippers like Samsung can negotiate freight contracts with carriers that are 15-30% lower than market averages.</w:t>
      </w:r>
      <w:r>
        <w:t xml:space="preserve"> </w:t>
      </w:r>
      <w:r>
        <w:rPr>
          <w:iCs/>
          <w:i/>
        </w:rPr>
        <w:t xml:space="preserve">대형 고객사 요율: 삼성과 같은 초대형 화주는 운송사와 시장 평균보다 15~30% 저렴한 전용 계약 요율을 협상할 수 있음.</w:t>
      </w:r>
    </w:p>
    <w:p>
      <w:pPr>
        <w:numPr>
          <w:ilvl w:val="0"/>
          <w:numId w:val="1001"/>
        </w:numPr>
        <w:pStyle w:val="Compact"/>
      </w:pPr>
      <w:r>
        <w:rPr>
          <w:bCs/>
          <w:b/>
        </w:rPr>
        <w:t xml:space="preserve">Long-term Agreements / 장기 계약:</w:t>
      </w:r>
      <w:r>
        <w:t xml:space="preserve"> </w:t>
      </w:r>
      <w:r>
        <w:t xml:space="preserve">Standard 3-5 year contracts stabilize rates, protecting the shipper from high spot-market freight rate spikes.</w:t>
      </w:r>
      <w:r>
        <w:t xml:space="preserve"> </w:t>
      </w:r>
      <w:r>
        <w:rPr>
          <w:iCs/>
          <w:i/>
        </w:rPr>
        <w:t xml:space="preserve">장기 계약 안정성: 3~5년 단위의 장기 계약은 요율을 고정하여 현물 시장(Spot)의 가격 급등 위험을 헤지함.</w:t>
      </w:r>
    </w:p>
    <w:p>
      <w:pPr>
        <w:numPr>
          <w:ilvl w:val="0"/>
          <w:numId w:val="1001"/>
        </w:numPr>
        <w:pStyle w:val="Compact"/>
      </w:pPr>
      <w:r>
        <w:rPr>
          <w:bCs/>
          <w:b/>
        </w:rPr>
        <w:t xml:space="preserve">Geographic Proximity / 지리적 근접성:</w:t>
      </w:r>
      <w:r>
        <w:t xml:space="preserve"> </w:t>
      </w:r>
      <w:r>
        <w:t xml:space="preserve">Facilities positioned near international gateways like Busan Port incur substantially lower export drayage than inland facilities in Daegu.</w:t>
      </w:r>
      <w:r>
        <w:t xml:space="preserve"> </w:t>
      </w:r>
      <w:r>
        <w:rPr>
          <w:iCs/>
          <w:i/>
        </w:rPr>
        <w:t xml:space="preserve">지리적 근접성: 부산항 등 수출 관문 근처에 위치한 설비는 대구 등 내륙 중심 설비보다 배후 수송 비용이 현저히 절감됨.</w:t>
      </w:r>
    </w:p>
    <w:p>
      <w:pPr>
        <w:numPr>
          <w:ilvl w:val="0"/>
          <w:numId w:val="1001"/>
        </w:numPr>
        <w:pStyle w:val="Compact"/>
      </w:pPr>
      <w:r>
        <w:rPr>
          <w:bCs/>
          <w:b/>
        </w:rPr>
        <w:t xml:space="preserve">Dedicated Fleet Operations / 전용 차량 운행:</w:t>
      </w:r>
      <w:r>
        <w:t xml:space="preserve"> </w:t>
      </w:r>
      <w:r>
        <w:t xml:space="preserve">Conglomerates run private fleets with custom cost structures, diverging from generic 3PL freight rate cards.</w:t>
      </w:r>
      <w:r>
        <w:t xml:space="preserve"> </w:t>
      </w:r>
      <w:r>
        <w:rPr>
          <w:iCs/>
          <w:i/>
        </w:rPr>
        <w:t xml:space="preserve">전용 차량 운영: 대기업은 독자적인 원가 구조를 가진 자사 차량(Private Fleet)을 직접 운행하여 일반 3PL 요율표와 차이를 보임.</w:t>
      </w:r>
    </w:p>
    <w:p>
      <w:pPr>
        <w:pStyle w:val="FirstParagraph"/>
      </w:pPr>
      <w:r>
        <w:t xml:space="preserve">In summary, industry benchmarks serve as an</w:t>
      </w:r>
      <w:r>
        <w:t xml:space="preserve"> </w:t>
      </w:r>
      <w:r>
        <w:rPr>
          <w:bCs/>
          <w:b/>
        </w:rPr>
        <w:t xml:space="preserve">industry-average ruler</w:t>
      </w:r>
      <w:r>
        <w:t xml:space="preserve">. When applied to a specific firm, errors range between ±20-40%. This is why benchmark coefficients are sufficient for</w:t>
      </w:r>
      <w:r>
        <w:t xml:space="preserve"> </w:t>
      </w:r>
      <w:r>
        <w:rPr>
          <w:bCs/>
          <w:b/>
        </w:rPr>
        <w:t xml:space="preserve">demonstration-grade engines</w:t>
      </w:r>
      <w:r>
        <w:t xml:space="preserve"> </w:t>
      </w:r>
      <w:r>
        <w:t xml:space="preserve">but insufficient for</w:t>
      </w:r>
      <w:r>
        <w:t xml:space="preserve"> </w:t>
      </w:r>
      <w:r>
        <w:rPr>
          <w:bCs/>
          <w:b/>
        </w:rPr>
        <w:t xml:space="preserve">production-grade deployment</w:t>
      </w:r>
      <w:r>
        <w:t xml:space="preserve">.</w:t>
      </w:r>
      <w:r>
        <w:t xml:space="preserve"> </w:t>
      </w:r>
      <w:r>
        <w:rPr>
          <w:iCs/>
          <w:i/>
        </w:rPr>
        <w:t xml:space="preserve">요약하자면, 산업 벤치마크는</w:t>
      </w:r>
      <w:r>
        <w:rPr>
          <w:iCs/>
          <w:i/>
        </w:rPr>
        <w:t xml:space="preserve"> </w:t>
      </w:r>
      <w:r>
        <w:rPr>
          <w:bCs/>
          <w:b/>
          <w:iCs/>
          <w:i/>
        </w:rPr>
        <w:t xml:space="preserve">“</w:t>
      </w:r>
      <w:r>
        <w:rPr>
          <w:bCs/>
          <w:b/>
          <w:iCs/>
          <w:i/>
        </w:rPr>
        <w:t xml:space="preserve">업계 평균 자</w:t>
      </w:r>
      <w:r>
        <w:rPr>
          <w:bCs/>
          <w:b/>
          <w:iCs/>
          <w:i/>
        </w:rPr>
        <w:t xml:space="preserve">”</w:t>
      </w:r>
      <w:r>
        <w:rPr>
          <w:iCs/>
          <w:i/>
        </w:rPr>
        <w:t xml:space="preserve"> </w:t>
      </w:r>
      <w:r>
        <w:rPr>
          <w:iCs/>
          <w:i/>
        </w:rPr>
        <w:t xml:space="preserve">역할을 한다. 개별 기업에 대입 시 ±20-40%의 오차가 발생할 수 있으므로, 데모 단계(Demonstration-grade)의 분석에는 적합하지만, 실제 비즈니스 적용(Production-grade)을 위해서는 실거래 데이터 입력이 필수적이다.</w:t>
      </w:r>
    </w:p>
    <w:bookmarkEnd w:id="31"/>
    <w:bookmarkStart w:id="32" w:name="Xc9c62a0635dd6abebfe1830bfe99278d4cb7b16"/>
    <w:p>
      <w:pPr>
        <w:pStyle w:val="Heading3"/>
      </w:pPr>
      <w:r>
        <w:t xml:space="preserve">5.3 Provenance of Benchmark Coefficients / 벤치마크 계수의 도출 출처</w:t>
      </w:r>
    </w:p>
    <w:p>
      <w:pPr>
        <w:pStyle w:val="FirstParagraph"/>
      </w:pPr>
      <w:r>
        <w:t xml:space="preserve">The project development team synthesized these coefficients from 4 distinct references:</w:t>
      </w:r>
      <w:r>
        <w:t xml:space="preserve"> </w:t>
      </w:r>
      <w:r>
        <w:rPr>
          <w:iCs/>
          <w:i/>
        </w:rPr>
        <w:t xml:space="preserve">개발팀은 다음 4가지 검증된 출처에서 벤치마크 계수를 종합하여 산출하였다:</w:t>
      </w:r>
    </w:p>
    <w:p>
      <w:pPr>
        <w:pStyle w:val="BodyText"/>
      </w:pPr>
      <w:r>
        <w:rPr>
          <w:bCs/>
          <w:b/>
        </w:rPr>
        <w:t xml:space="preserve">Reference 1 — SCM Literature / 공급망 문헌:</w:t>
      </w:r>
      <w:r>
        <w:t xml:space="preserve"> </w:t>
      </w:r>
      <w:r>
        <w:t xml:space="preserve">General strategic relationships (transport curves, inventory holding percentages, capacity multipliers) are derived from classical textbooks: Chopra &amp; Meindl</w:t>
      </w:r>
      <w:r>
        <w:t xml:space="preserve"> </w:t>
      </w:r>
      <w:r>
        <w:t xml:space="preserve">“</w:t>
      </w:r>
      <w:r>
        <w:t xml:space="preserve">Supply Chain Management</w:t>
      </w:r>
      <w:r>
        <w:t xml:space="preserve">”</w:t>
      </w:r>
      <w:r>
        <w:t xml:space="preserve"> </w:t>
      </w:r>
      <w:r>
        <w:t xml:space="preserve">and Simchi-Levi</w:t>
      </w:r>
      <w:r>
        <w:t xml:space="preserve"> </w:t>
      </w:r>
      <w:r>
        <w:t xml:space="preserve">“</w:t>
      </w:r>
      <w:r>
        <w:t xml:space="preserve">Designing and Managing the Supply Chain.</w:t>
      </w:r>
      <w:r>
        <w:t xml:space="preserve">”</w:t>
      </w:r>
      <w:r>
        <w:t xml:space="preserve"> </w:t>
      </w:r>
      <w:r>
        <w:rPr>
          <w:iCs/>
          <w:i/>
        </w:rPr>
        <w:t xml:space="preserve">문헌 분석: 전반적인 물류 네트워크 설계 원리와 상관관계는 학계 표준 문헌인 Chopra &amp; Meindl의</w:t>
      </w:r>
      <w:r>
        <w:rPr>
          <w:iCs/>
          <w:i/>
        </w:rPr>
        <w:t xml:space="preserve"> </w:t>
      </w:r>
      <w:r>
        <w:rPr>
          <w:iCs/>
          <w:i/>
        </w:rPr>
        <w:t xml:space="preserve">“</w:t>
      </w:r>
      <w:r>
        <w:rPr>
          <w:iCs/>
          <w:i/>
        </w:rPr>
        <w:t xml:space="preserve">공급망 관리</w:t>
      </w:r>
      <w:r>
        <w:rPr>
          <w:iCs/>
          <w:i/>
        </w:rPr>
        <w:t xml:space="preserve">”</w:t>
      </w:r>
      <w:r>
        <w:rPr>
          <w:iCs/>
          <w:i/>
        </w:rPr>
        <w:t xml:space="preserve"> </w:t>
      </w:r>
      <w:r>
        <w:rPr>
          <w:iCs/>
          <w:i/>
        </w:rPr>
        <w:t xml:space="preserve">및 Simchi-Levi의</w:t>
      </w:r>
      <w:r>
        <w:rPr>
          <w:iCs/>
          <w:i/>
        </w:rPr>
        <w:t xml:space="preserve"> </w:t>
      </w:r>
      <w:r>
        <w:rPr>
          <w:iCs/>
          <w:i/>
        </w:rPr>
        <w:t xml:space="preserve">“</w:t>
      </w:r>
      <w:r>
        <w:rPr>
          <w:iCs/>
          <w:i/>
        </w:rPr>
        <w:t xml:space="preserve">공급망 설계 및 관리</w:t>
      </w:r>
      <w:r>
        <w:rPr>
          <w:iCs/>
          <w:i/>
        </w:rPr>
        <w:t xml:space="preserve">”</w:t>
      </w:r>
      <w:r>
        <w:rPr>
          <w:iCs/>
          <w:i/>
        </w:rPr>
        <w:t xml:space="preserve">에서 차용함.</w:t>
      </w:r>
    </w:p>
    <w:p>
      <w:pPr>
        <w:pStyle w:val="BodyText"/>
      </w:pPr>
      <w:r>
        <w:rPr>
          <w:bCs/>
          <w:b/>
        </w:rPr>
        <w:t xml:space="preserve">Reference 2 — South Korean Freight Publications / 한국 물류 통계:</w:t>
      </w:r>
      <w:r>
        <w:t xml:space="preserve"> </w:t>
      </w:r>
      <w:r>
        <w:t xml:space="preserve">The Korea Logistics Institute publishes annualized logistics cost benchmarks. The team integrated the 2023-2024 publications to capture realistic domestic transport rates.</w:t>
      </w:r>
      <w:r>
        <w:t xml:space="preserve"> </w:t>
      </w:r>
      <w:r>
        <w:rPr>
          <w:iCs/>
          <w:i/>
        </w:rPr>
        <w:t xml:space="preserve">한국 물류 통계: 한국교통연구원(KOTI) 및 한국물류연구원에서 매년 발간하는 국가 물류 비용 벤치마크 중 2023-2024년 최신 수치를 반영함.</w:t>
      </w:r>
    </w:p>
    <w:p>
      <w:pPr>
        <w:pStyle w:val="BodyText"/>
      </w:pPr>
      <w:r>
        <w:rPr>
          <w:bCs/>
          <w:b/>
        </w:rPr>
        <w:t xml:space="preserve">Reference 3 — Market-based Retail Conversions / 시장 가치 환산:</w:t>
      </w:r>
      <w:r>
        <w:t xml:space="preserve"> </w:t>
      </w:r>
      <w:r>
        <w:t xml:space="preserve">Unit values (USD/ton) for the 6 product lines were translated from standard consumer retail prices:</w:t>
      </w:r>
      <w:r>
        <w:t xml:space="preserve"> </w:t>
      </w:r>
      <w:r>
        <w:rPr>
          <w:iCs/>
          <w:i/>
        </w:rPr>
        <w:t xml:space="preserve">시장 가치 환산: 6가지 대표 제품군의 톤당 가치는 실제 소비자 권장 가격에서 환산하여 산정함.</w:t>
      </w:r>
      <w:r>
        <w:t xml:space="preserve"> </w:t>
      </w:r>
      <w:r>
        <w:t xml:space="preserve">- Flagship Mobile Phones: $850-$1,800/unit × ~3,000 units/ton ≈ 50,000 USD/ton.</w:t>
      </w:r>
      <w:r>
        <w:t xml:space="preserve"> </w:t>
      </w:r>
      <w:r>
        <w:t xml:space="preserve">- Bulky Appliances: $400/unit × 20 units/ton ≈ 8,000 USD/ton.</w:t>
      </w:r>
      <w:r>
        <w:t xml:space="preserve"> </w:t>
      </w:r>
      <w:r>
        <w:t xml:space="preserve">- Semiconductor Chips: $1,000-$50,000/wafer × thousands of wafers/ton ≈ 200,000 USD/ton.</w:t>
      </w:r>
    </w:p>
    <w:p>
      <w:pPr>
        <w:pStyle w:val="BodyText"/>
      </w:pPr>
      <w:r>
        <w:rPr>
          <w:bCs/>
          <w:b/>
        </w:rPr>
        <w:t xml:space="preserve">Reference 4 — Regulatory and Operational Heuristics / 법적 규정 및 현업 관행:</w:t>
      </w:r>
      <w:r>
        <w:t xml:space="preserve"> </w:t>
      </w:r>
      <w:r>
        <w:t xml:space="preserve">Overtime multipliers (1.5x) comply with the South Korean Labor Standards Act, while 3PL emergency margins are set at the industry-standard 2.0x heuristic.</w:t>
      </w:r>
      <w:r>
        <w:t xml:space="preserve"> </w:t>
      </w:r>
      <w:r>
        <w:rPr>
          <w:iCs/>
          <w:i/>
        </w:rPr>
        <w:t xml:space="preserve">법적 규정 및 현업 관행: 연장근로 수당 비율(1.5배)은 한국 근로기준법 규정을 준수하였으며, 긴급 3PL 배차 할증은 업계 관행인 2.0배를 적용함.</w:t>
      </w:r>
    </w:p>
    <w:bookmarkEnd w:id="32"/>
    <w:bookmarkStart w:id="33" w:name="Xf58c1f286793a335b85a5aaac38c256255f0e50"/>
    <w:p>
      <w:pPr>
        <w:pStyle w:val="Heading3"/>
      </w:pPr>
      <w:r>
        <w:t xml:space="preserve">5.4 Mandatory Research Report Disclaimer / 의무적 공시 조항 (Disclaimer)</w:t>
      </w:r>
    </w:p>
    <w:p>
      <w:pPr>
        <w:pStyle w:val="FirstParagraph"/>
      </w:pPr>
      <w:r>
        <w:t xml:space="preserve">Any formal research outcome compiled for corporate presentation must include the following disclaimer:</w:t>
      </w:r>
      <w:r>
        <w:t xml:space="preserve"> </w:t>
      </w:r>
      <w:r>
        <w:rPr>
          <w:iCs/>
          <w:i/>
        </w:rPr>
        <w:t xml:space="preserve">공식 연구 보고서 및 프리젠테이션 문서에는 반드시 다음의 공시 조항이 포함되어야 한다:</w:t>
      </w:r>
    </w:p>
    <w:p>
      <w:pPr>
        <w:pStyle w:val="BlockText"/>
      </w:pPr>
      <w:r>
        <w:rPr>
          <w:bCs/>
          <w:b/>
        </w:rPr>
        <w:t xml:space="preserve">“</w:t>
      </w:r>
      <w:r>
        <w:rPr>
          <w:bCs/>
          <w:b/>
        </w:rPr>
        <w:t xml:space="preserve">Disclaimer: The logistics cost coefficients utilized in this optimization model are derived from industry-average benchmarks. They do not represent the proprietary commercial freight rates or internal labor cost structures of any specific corporation. Standard variance is estimated at ±20-40% compared to individual corporate networks. Commercial deployment of this engine requires substituting these benchmarks with actual, verified company-specific contracts.</w:t>
      </w:r>
      <w:r>
        <w:rPr>
          <w:bCs/>
          <w:b/>
        </w:rPr>
        <w:t xml:space="preserve">”</w:t>
      </w:r>
    </w:p>
    <w:p>
      <w:r>
        <w:pict>
          <v:rect style="width:0;height:1.5pt" o:hralign="center" o:hrstd="t" o:hr="t"/>
        </w:pict>
      </w:r>
    </w:p>
    <w:bookmarkEnd w:id="33"/>
    <w:bookmarkEnd w:id="34"/>
    <w:bookmarkStart w:id="35" w:name="expected-cost-ratios-6대-비용-구성비-타당성-검증"/>
    <w:p>
      <w:pPr>
        <w:pStyle w:val="Heading2"/>
      </w:pPr>
      <w:r>
        <w:t xml:space="preserve">6. EXPECTED COST RATIOS / 6대 비용 구성비 타당성 검증</w:t>
      </w:r>
    </w:p>
    <w:p>
      <w:pPr>
        <w:pStyle w:val="FirstParagraph"/>
      </w:pPr>
      <w:r>
        <w:t xml:space="preserve">Following computation, the distribution ratios of the 6 cost components must align with expected industry ranges. The team utilizes the following check matrix:</w:t>
      </w:r>
      <w:r>
        <w:t xml:space="preserve"> </w:t>
      </w:r>
      <w:r>
        <w:rPr>
          <w:iCs/>
          <w:i/>
        </w:rPr>
        <w:t xml:space="preserve">비용 엔진 계산 완료 후, 6대 비용 요소의 구성 비율이 실제 물류 생태계의 비중과 일치하는지 교차 검증을 수행한다:</w:t>
      </w:r>
    </w:p>
    <w:tbl>
      <w:tblPr>
        <w:tblStyle w:val="Table"/>
        <w:tblW w:type="pct" w:w="5000.0"/>
        <w:tblLook w:firstRow="1" w:lastRow="0" w:firstColumn="0" w:lastColumn="0" w:noHBand="0" w:noVBand="0" w:val="0020"/>
      </w:tblPr>
      <w:tblGrid>
        <w:gridCol w:w="2376"/>
        <w:gridCol w:w="3168"/>
        <w:gridCol w:w="2376"/>
      </w:tblGrid>
      <w:tr>
        <w:tc>
          <w:p>
            <w:pPr>
              <w:pStyle w:val="Compact"/>
              <w:jc w:val="left"/>
            </w:pPr>
            <w:r>
              <w:t xml:space="preserve">Cost Component / 비용 요소</w:t>
            </w:r>
          </w:p>
        </w:tc>
        <w:tc>
          <w:p>
            <w:pPr>
              <w:pStyle w:val="Compact"/>
              <w:jc w:val="right"/>
            </w:pPr>
            <w:r>
              <w:t xml:space="preserve">Expected Ratio (% of Total) / 타당 범위</w:t>
            </w:r>
          </w:p>
        </w:tc>
        <w:tc>
          <w:p>
            <w:pPr>
              <w:pStyle w:val="Compact"/>
              <w:jc w:val="left"/>
            </w:pPr>
            <w:r>
              <w:t xml:space="preserve">Warning Flag Criteria / 경고 조건</w:t>
            </w:r>
          </w:p>
        </w:tc>
      </w:tr>
      <w:tr>
        <w:tc>
          <w:p>
            <w:pPr>
              <w:pStyle w:val="Compact"/>
              <w:jc w:val="left"/>
            </w:pPr>
            <w:r>
              <w:t xml:space="preserve">Transportation / 운송</w:t>
            </w:r>
          </w:p>
        </w:tc>
        <w:tc>
          <w:p>
            <w:pPr>
              <w:pStyle w:val="Compact"/>
              <w:jc w:val="right"/>
            </w:pPr>
            <w:r>
              <w:t xml:space="preserve">35-50%</w:t>
            </w:r>
          </w:p>
        </w:tc>
        <w:tc>
          <w:p>
            <w:pPr>
              <w:pStyle w:val="Compact"/>
              <w:jc w:val="left"/>
            </w:pPr>
            <w:r>
              <w:t xml:space="preserve">&lt; 25% or &gt; 60% → Recalibrate freight rates / 요율 입력 오류 검토</w:t>
            </w:r>
          </w:p>
        </w:tc>
      </w:tr>
      <w:tr>
        <w:tc>
          <w:p>
            <w:pPr>
              <w:pStyle w:val="Compact"/>
              <w:jc w:val="left"/>
            </w:pPr>
            <w:r>
              <w:t xml:space="preserve">Warehouse Fixed / 고정</w:t>
            </w:r>
          </w:p>
        </w:tc>
        <w:tc>
          <w:p>
            <w:pPr>
              <w:pStyle w:val="Compact"/>
              <w:jc w:val="right"/>
            </w:pPr>
            <w:r>
              <w:t xml:space="preserve">10-20%</w:t>
            </w:r>
          </w:p>
        </w:tc>
        <w:tc>
          <w:p>
            <w:pPr>
              <w:pStyle w:val="Compact"/>
              <w:jc w:val="left"/>
            </w:pPr>
            <w:r>
              <w:t xml:space="preserve">&lt; 5% or &gt; 30% → Check open facility count / 허브 개설 수 확인</w:t>
            </w:r>
          </w:p>
        </w:tc>
      </w:tr>
      <w:tr>
        <w:tc>
          <w:p>
            <w:pPr>
              <w:pStyle w:val="Compact"/>
              <w:jc w:val="left"/>
            </w:pPr>
            <w:r>
              <w:t xml:space="preserve">Handling / 하역 and Processing</w:t>
            </w:r>
          </w:p>
        </w:tc>
        <w:tc>
          <w:p>
            <w:pPr>
              <w:pStyle w:val="Compact"/>
              <w:jc w:val="right"/>
            </w:pPr>
            <w:r>
              <w:t xml:space="preserve">8-15%</w:t>
            </w:r>
          </w:p>
        </w:tc>
        <w:tc>
          <w:p>
            <w:pPr>
              <w:pStyle w:val="Compact"/>
              <w:jc w:val="left"/>
            </w:pPr>
            <w:r>
              <w:t xml:space="preserve">&lt; 3% or &gt; 25% → Verify handling rates / 하역 요율 검토</w:t>
            </w:r>
          </w:p>
        </w:tc>
      </w:tr>
      <w:tr>
        <w:tc>
          <w:p>
            <w:pPr>
              <w:pStyle w:val="Compact"/>
              <w:jc w:val="left"/>
            </w:pPr>
            <w:r>
              <w:t xml:space="preserve">Inventory Holding / 재고 보유</w:t>
            </w:r>
          </w:p>
        </w:tc>
        <w:tc>
          <w:p>
            <w:pPr>
              <w:pStyle w:val="Compact"/>
              <w:jc w:val="right"/>
            </w:pPr>
            <w:r>
              <w:t xml:space="preserve">10-18%</w:t>
            </w:r>
          </w:p>
        </w:tc>
        <w:tc>
          <w:p>
            <w:pPr>
              <w:pStyle w:val="Compact"/>
              <w:jc w:val="left"/>
            </w:pPr>
            <w:r>
              <w:t xml:space="preserve">&lt; 5% or &gt; 25% → Check product unit values / 톤당 가치 산정 검토</w:t>
            </w:r>
          </w:p>
        </w:tc>
      </w:tr>
      <w:tr>
        <w:tc>
          <w:p>
            <w:pPr>
              <w:pStyle w:val="Compact"/>
              <w:jc w:val="left"/>
            </w:pPr>
            <w:r>
              <w:t xml:space="preserve">Seasonal Flex / 성수기 유연</w:t>
            </w:r>
          </w:p>
        </w:tc>
        <w:tc>
          <w:p>
            <w:pPr>
              <w:pStyle w:val="Compact"/>
              <w:jc w:val="right"/>
            </w:pPr>
            <w:r>
              <w:t xml:space="preserve">5-12%</w:t>
            </w:r>
          </w:p>
        </w:tc>
        <w:tc>
          <w:p>
            <w:pPr>
              <w:pStyle w:val="Compact"/>
              <w:jc w:val="left"/>
            </w:pPr>
            <w:r>
              <w:t xml:space="preserve">&gt; 20% → Underdesigned capacity, open more hubs / 용량 부족, 허브 추가</w:t>
            </w:r>
          </w:p>
        </w:tc>
      </w:tr>
      <w:tr>
        <w:tc>
          <w:p>
            <w:pPr>
              <w:pStyle w:val="Compact"/>
              <w:jc w:val="left"/>
            </w:pPr>
            <w:r>
              <w:t xml:space="preserve">SLA Penalty / SLA 패널티</w:t>
            </w:r>
          </w:p>
        </w:tc>
        <w:tc>
          <w:p>
            <w:pPr>
              <w:pStyle w:val="Compact"/>
              <w:jc w:val="right"/>
            </w:pPr>
            <w:r>
              <w:t xml:space="preserve">3-10%</w:t>
            </w:r>
          </w:p>
        </w:tc>
        <w:tc>
          <w:p>
            <w:pPr>
              <w:pStyle w:val="Compact"/>
              <w:jc w:val="left"/>
            </w:pPr>
            <w:r>
              <w:t xml:space="preserve">&gt; 15% → Suboptimal network service radius / 커버리지 부족, 입지 재선정</w:t>
            </w:r>
          </w:p>
        </w:tc>
      </w:tr>
    </w:tbl>
    <w:p>
      <w:pPr>
        <w:pStyle w:val="BodyText"/>
      </w:pPr>
      <w:r>
        <w:rPr>
          <w:bCs/>
          <w:b/>
        </w:rPr>
        <w:t xml:space="preserve">Case Study: Samsung Mobile Outcome Reference:</w:t>
      </w:r>
      <w:r>
        <w:t xml:space="preserve"> </w:t>
      </w:r>
      <w:r>
        <w:rPr>
          <w:iCs/>
          <w:i/>
        </w:rPr>
        <w:t xml:space="preserve">삼성 모바일 아웃컴 적용 예시:</w:t>
      </w:r>
    </w:p>
    <w:tbl>
      <w:tblPr>
        <w:tblStyle w:val="Table"/>
        <w:tblW w:type="pct" w:w="5000.0"/>
        <w:tblLook w:firstRow="1" w:lastRow="0" w:firstColumn="0" w:lastColumn="0" w:noHBand="0" w:noVBand="0" w:val="0020"/>
      </w:tblPr>
      <w:tblGrid>
        <w:gridCol w:w="1485"/>
        <w:gridCol w:w="1980"/>
        <w:gridCol w:w="1980"/>
        <w:gridCol w:w="2475"/>
      </w:tblGrid>
      <w:tr>
        <w:tc>
          <w:p>
            <w:pPr>
              <w:pStyle w:val="Compact"/>
              <w:jc w:val="left"/>
            </w:pPr>
            <w:r>
              <w:t xml:space="preserve">Component / 비용 요소</w:t>
            </w:r>
          </w:p>
        </w:tc>
        <w:tc>
          <w:p>
            <w:pPr>
              <w:pStyle w:val="Compact"/>
              <w:jc w:val="right"/>
            </w:pPr>
            <w:r>
              <w:t xml:space="preserve">Monthly Cost (USD) / 월간 비용</w:t>
            </w:r>
          </w:p>
        </w:tc>
        <w:tc>
          <w:p>
            <w:pPr>
              <w:pStyle w:val="Compact"/>
              <w:jc w:val="right"/>
            </w:pPr>
            <w:r>
              <w:t xml:space="preserve">% of Total / 구성 비중</w:t>
            </w:r>
          </w:p>
        </w:tc>
        <w:tc>
          <w:p>
            <w:pPr>
              <w:pStyle w:val="Compact"/>
              <w:jc w:val="center"/>
            </w:pPr>
            <w:r>
              <w:t xml:space="preserve">Validation Status / 타당성 검증</w:t>
            </w:r>
          </w:p>
        </w:tc>
      </w:tr>
      <w:tr>
        <w:tc>
          <w:p>
            <w:pPr>
              <w:pStyle w:val="Compact"/>
              <w:jc w:val="left"/>
            </w:pPr>
            <w:r>
              <w:t xml:space="preserve">Transportation / 운송</w:t>
            </w:r>
          </w:p>
        </w:tc>
        <w:tc>
          <w:p>
            <w:pPr>
              <w:pStyle w:val="Compact"/>
              <w:jc w:val="right"/>
            </w:pPr>
            <w:r>
              <w:t xml:space="preserve">4,820,000</w:t>
            </w:r>
          </w:p>
        </w:tc>
        <w:tc>
          <w:p>
            <w:pPr>
              <w:pStyle w:val="Compact"/>
              <w:jc w:val="right"/>
            </w:pPr>
            <w:r>
              <w:t xml:space="preserve">42.6%</w:t>
            </w:r>
          </w:p>
        </w:tc>
        <w:tc>
          <w:p>
            <w:pPr>
              <w:pStyle w:val="Compact"/>
              <w:jc w:val="center"/>
            </w:pPr>
            <w:r>
              <w:t xml:space="preserve">✅ Passed / 정상 범위</w:t>
            </w:r>
          </w:p>
        </w:tc>
      </w:tr>
      <w:tr>
        <w:tc>
          <w:p>
            <w:pPr>
              <w:pStyle w:val="Compact"/>
              <w:jc w:val="left"/>
            </w:pPr>
            <w:r>
              <w:t xml:space="preserve">Warehouse Fixed / 고정</w:t>
            </w:r>
          </w:p>
        </w:tc>
        <w:tc>
          <w:p>
            <w:pPr>
              <w:pStyle w:val="Compact"/>
              <w:jc w:val="right"/>
            </w:pPr>
            <w:r>
              <w:t xml:space="preserve">1,950,000</w:t>
            </w:r>
          </w:p>
        </w:tc>
        <w:tc>
          <w:p>
            <w:pPr>
              <w:pStyle w:val="Compact"/>
              <w:jc w:val="right"/>
            </w:pPr>
            <w:r>
              <w:t xml:space="preserve">17.2%</w:t>
            </w:r>
          </w:p>
        </w:tc>
        <w:tc>
          <w:p>
            <w:pPr>
              <w:pStyle w:val="Compact"/>
              <w:jc w:val="center"/>
            </w:pPr>
            <w:r>
              <w:t xml:space="preserve">✅ Passed / 정상 범위</w:t>
            </w:r>
          </w:p>
        </w:tc>
      </w:tr>
      <w:tr>
        <w:tc>
          <w:p>
            <w:pPr>
              <w:pStyle w:val="Compact"/>
              <w:jc w:val="left"/>
            </w:pPr>
            <w:r>
              <w:t xml:space="preserve">Handling / 하역 and Processing</w:t>
            </w:r>
          </w:p>
        </w:tc>
        <w:tc>
          <w:p>
            <w:pPr>
              <w:pStyle w:val="Compact"/>
              <w:jc w:val="right"/>
            </w:pPr>
            <w:r>
              <w:t xml:space="preserve">1,580,000</w:t>
            </w:r>
          </w:p>
        </w:tc>
        <w:tc>
          <w:p>
            <w:pPr>
              <w:pStyle w:val="Compact"/>
              <w:jc w:val="right"/>
            </w:pPr>
            <w:r>
              <w:t xml:space="preserve">13.9%</w:t>
            </w:r>
          </w:p>
        </w:tc>
        <w:tc>
          <w:p>
            <w:pPr>
              <w:pStyle w:val="Compact"/>
              <w:jc w:val="center"/>
            </w:pPr>
            <w:r>
              <w:t xml:space="preserve">✅ Passed / 정상 범위</w:t>
            </w:r>
          </w:p>
        </w:tc>
      </w:tr>
      <w:tr>
        <w:tc>
          <w:p>
            <w:pPr>
              <w:pStyle w:val="Compact"/>
              <w:jc w:val="left"/>
            </w:pPr>
            <w:r>
              <w:t xml:space="preserve">Inventory Holding / 재고 보유</w:t>
            </w:r>
          </w:p>
        </w:tc>
        <w:tc>
          <w:p>
            <w:pPr>
              <w:pStyle w:val="Compact"/>
              <w:jc w:val="right"/>
            </w:pPr>
            <w:r>
              <w:t xml:space="preserve">1,420,000</w:t>
            </w:r>
          </w:p>
        </w:tc>
        <w:tc>
          <w:p>
            <w:pPr>
              <w:pStyle w:val="Compact"/>
              <w:jc w:val="right"/>
            </w:pPr>
            <w:r>
              <w:t xml:space="preserve">12.5%</w:t>
            </w:r>
          </w:p>
        </w:tc>
        <w:tc>
          <w:p>
            <w:pPr>
              <w:pStyle w:val="Compact"/>
              <w:jc w:val="center"/>
            </w:pPr>
            <w:r>
              <w:t xml:space="preserve">✅ Passed / 정상 범위</w:t>
            </w:r>
          </w:p>
        </w:tc>
      </w:tr>
      <w:tr>
        <w:tc>
          <w:p>
            <w:pPr>
              <w:pStyle w:val="Compact"/>
              <w:jc w:val="left"/>
            </w:pPr>
            <w:r>
              <w:t xml:space="preserve">Seasonal Flex / 성수기 유연</w:t>
            </w:r>
          </w:p>
        </w:tc>
        <w:tc>
          <w:p>
            <w:pPr>
              <w:pStyle w:val="Compact"/>
              <w:jc w:val="right"/>
            </w:pPr>
            <w:r>
              <w:t xml:space="preserve">940,000</w:t>
            </w:r>
          </w:p>
        </w:tc>
        <w:tc>
          <w:p>
            <w:pPr>
              <w:pStyle w:val="Compact"/>
              <w:jc w:val="right"/>
            </w:pPr>
            <w:r>
              <w:t xml:space="preserve">8.3%</w:t>
            </w:r>
          </w:p>
        </w:tc>
        <w:tc>
          <w:p>
            <w:pPr>
              <w:pStyle w:val="Compact"/>
              <w:jc w:val="center"/>
            </w:pPr>
            <w:r>
              <w:t xml:space="preserve">✅ Passed / 정상 범위</w:t>
            </w:r>
          </w:p>
        </w:tc>
      </w:tr>
      <w:tr>
        <w:tc>
          <w:p>
            <w:pPr>
              <w:pStyle w:val="Compact"/>
              <w:jc w:val="left"/>
            </w:pPr>
            <w:r>
              <w:t xml:space="preserve">SLA Penalty / SLA 패널티</w:t>
            </w:r>
          </w:p>
        </w:tc>
        <w:tc>
          <w:p>
            <w:pPr>
              <w:pStyle w:val="Compact"/>
              <w:jc w:val="right"/>
            </w:pPr>
            <w:r>
              <w:t xml:space="preserve">615,000</w:t>
            </w:r>
          </w:p>
        </w:tc>
        <w:tc>
          <w:p>
            <w:pPr>
              <w:pStyle w:val="Compact"/>
              <w:jc w:val="right"/>
            </w:pPr>
            <w:r>
              <w:t xml:space="preserve">5.4%</w:t>
            </w:r>
          </w:p>
        </w:tc>
        <w:tc>
          <w:p>
            <w:pPr>
              <w:pStyle w:val="Compact"/>
              <w:jc w:val="center"/>
            </w:pPr>
            <w:r>
              <w:t xml:space="preserve">✅ Passed / 정상 범위</w:t>
            </w:r>
          </w:p>
        </w:tc>
      </w:tr>
      <w:tr>
        <w:tc>
          <w:p>
            <w:pPr>
              <w:pStyle w:val="Compact"/>
              <w:jc w:val="left"/>
            </w:pPr>
            <w:r>
              <w:rPr>
                <w:bCs/>
                <w:b/>
              </w:rPr>
              <w:t xml:space="preserve">Total / 합계</w:t>
            </w:r>
          </w:p>
        </w:tc>
        <w:tc>
          <w:p>
            <w:pPr>
              <w:pStyle w:val="Compact"/>
              <w:jc w:val="right"/>
            </w:pPr>
            <w:r>
              <w:rPr>
                <w:bCs/>
                <w:b/>
              </w:rPr>
              <w:t xml:space="preserve">11,325,000</w:t>
            </w:r>
          </w:p>
        </w:tc>
        <w:tc>
          <w:p>
            <w:pPr>
              <w:pStyle w:val="Compact"/>
              <w:jc w:val="right"/>
            </w:pPr>
            <w:r>
              <w:rPr>
                <w:bCs/>
                <w:b/>
              </w:rPr>
              <w:t xml:space="preserve">100%</w:t>
            </w:r>
          </w:p>
        </w:tc>
        <w:tc>
          <w:p>
            <w:pPr>
              <w:pStyle w:val="Compact"/>
              <w:jc w:val="center"/>
            </w:pPr>
            <w:r>
              <w:t xml:space="preserve">—</w:t>
            </w:r>
          </w:p>
        </w:tc>
      </w:tr>
    </w:tbl>
    <w:p>
      <w:r>
        <w:pict>
          <v:rect style="width:0;height:1.5pt" o:hralign="center" o:hrstd="t" o:hr="t"/>
        </w:pict>
      </w:r>
    </w:p>
    <w:bookmarkEnd w:id="35"/>
    <w:bookmarkStart w:id="36" w:name="calibration-verification-모델-정밀-보정-테스트"/>
    <w:p>
      <w:pPr>
        <w:pStyle w:val="Heading2"/>
      </w:pPr>
      <w:r>
        <w:t xml:space="preserve">7. CALIBRATION &amp; VERIFICATION / 모델 정밀 보정 테스트</w:t>
      </w:r>
    </w:p>
    <w:p>
      <w:pPr>
        <w:pStyle w:val="FirstParagraph"/>
      </w:pPr>
      <w:r>
        <w:t xml:space="preserve">To guarantee robust outcomes, Group B executes 3 validation test suites:</w:t>
      </w:r>
      <w:r>
        <w:t xml:space="preserve"> </w:t>
      </w:r>
      <w:r>
        <w:rPr>
          <w:iCs/>
          <w:i/>
        </w:rPr>
        <w:t xml:space="preserve">모델의 타당성과 오차 제어를 위해 그룹 B는 다음 3가지 검증 부문을 실행한다:</w:t>
      </w:r>
    </w:p>
    <w:p>
      <w:pPr>
        <w:pStyle w:val="BodyText"/>
      </w:pPr>
      <w:r>
        <w:rPr>
          <w:bCs/>
          <w:b/>
        </w:rPr>
        <w:t xml:space="preserve">Test Suite 1 — Linearity Verification / 선형성 검증:</w:t>
      </w:r>
      <w:r>
        <w:t xml:space="preserve"> </w:t>
      </w:r>
      <w:r>
        <w:t xml:space="preserve">Evaluate cost scaling by varying unit values (</w:t>
      </w:r>
      <w:r>
        <w:rPr>
          <w:rStyle w:val="VerbatimChar"/>
        </w:rPr>
        <w:t xml:space="preserve">unit_value_table</w:t>
      </w:r>
      <w:r>
        <w:t xml:space="preserve"> </w:t>
      </w:r>
      <w:r>
        <w:t xml:space="preserve">at 0.5x, 1.0x, and 2.0x). The total inventory holding cost component must scale in a perfectly linear fashion. Non-linear scaling flags structural code bugs.</w:t>
      </w:r>
      <w:r>
        <w:t xml:space="preserve"> </w:t>
      </w:r>
      <w:r>
        <w:rPr>
          <w:iCs/>
          <w:i/>
        </w:rPr>
        <w:t xml:space="preserve">선형성 검증: 톤당 가치 비율을 0.5배, 1.0배, 2.0배로 변화시키며 재고 보유 비용의 추이를 확인한다. 보유 비용이 가치 변동에 따라 정확히 일차 선형으로 비례해 증가해야 하며, 비선형 거동 시 코드 내 로직 버그로 판정함.</w:t>
      </w:r>
    </w:p>
    <w:p>
      <w:pPr>
        <w:pStyle w:val="BodyText"/>
      </w:pPr>
      <w:r>
        <w:rPr>
          <w:bCs/>
          <w:b/>
        </w:rPr>
        <w:t xml:space="preserve">Test Suite 2 — Savings Margin Check / 최적화 효율 검증:</w:t>
      </w:r>
      <w:r>
        <w:t xml:space="preserve"> </w:t>
      </w:r>
      <w:r>
        <w:t xml:space="preserve">Ensure the optimized network configuration (Scenario S3) achieves at least 15% savings compared to the legacy network (S0) (</w:t>
      </w:r>
      <m:oMath>
        <m:sSub>
          <m:e>
            <m:r>
              <m:t>S</m:t>
            </m:r>
          </m:e>
          <m:sub>
            <m:r>
              <m:t>3</m:t>
            </m:r>
          </m:sub>
        </m:sSub>
        <m:r>
          <m:rPr>
            <m:sty m:val="p"/>
          </m:rPr>
          <m:t>≤</m:t>
        </m:r>
        <m:sSub>
          <m:e>
            <m:r>
              <m:t>S</m:t>
            </m:r>
          </m:e>
          <m:sub>
            <m:r>
              <m:t>0</m:t>
            </m:r>
          </m:sub>
        </m:sSub>
        <m:r>
          <m:rPr>
            <m:sty m:val="p"/>
          </m:rPr>
          <m:t>×</m:t>
        </m:r>
        <m:r>
          <m:t>0.85</m:t>
        </m:r>
      </m:oMath>
      <w:r>
        <w:t xml:space="preserve">). Failure to demonstrate this efficiency suggests flawed model parameters or constraint violations.</w:t>
      </w:r>
      <w:r>
        <w:t xml:space="preserve"> </w:t>
      </w:r>
      <w:r>
        <w:rPr>
          <w:iCs/>
          <w:i/>
        </w:rPr>
        <w:t xml:space="preserve">최적화 효율 검증: 최적화 네트워크(S3) 총비용이 기존 네트워크(S0) 대비 15% 이상의 비용 절감 효과를 달성하는지 확인한다. 15% 미만인 경우 최적화 로직의 가중치 및 제약 조건 타당성을 재검토한다.</w:t>
      </w:r>
    </w:p>
    <w:p>
      <w:pPr>
        <w:pStyle w:val="BodyText"/>
      </w:pPr>
      <w:r>
        <w:rPr>
          <w:bCs/>
          <w:b/>
        </w:rPr>
        <w:t xml:space="preserve">Test Suite 3 — Stress Sensitivity Evaluation / 스트레스 민감도 평가:</w:t>
      </w:r>
      <w:r>
        <w:t xml:space="preserve"> </w:t>
      </w:r>
      <w:r>
        <w:t xml:space="preserve">Simulate severe demand spikes (Scenario S6 with +20% demand volume). The total cost must react with a growth of at least 15% (</w:t>
      </w:r>
      <m:oMath>
        <m:sSub>
          <m:e>
            <m:r>
              <m:t>S</m:t>
            </m:r>
          </m:e>
          <m:sub>
            <m:r>
              <m:t>6</m:t>
            </m:r>
          </m:sub>
        </m:sSub>
        <m:r>
          <m:rPr>
            <m:sty m:val="p"/>
          </m:rPr>
          <m:t>≥</m:t>
        </m:r>
        <m:sSub>
          <m:e>
            <m:r>
              <m:t>S</m:t>
            </m:r>
          </m:e>
          <m:sub>
            <m:r>
              <m:t>3</m:t>
            </m:r>
          </m:sub>
        </m:sSub>
        <m:r>
          <m:rPr>
            <m:sty m:val="p"/>
          </m:rPr>
          <m:t>×</m:t>
        </m:r>
        <m:r>
          <m:t>1.15</m:t>
        </m:r>
      </m:oMath>
      <w:r>
        <w:t xml:space="preserve">), reflecting overflow overtime and 3PL premium warehousing charges.</w:t>
      </w:r>
      <w:r>
        <w:t xml:space="preserve"> </w:t>
      </w:r>
      <w:r>
        <w:rPr>
          <w:iCs/>
          <w:i/>
        </w:rPr>
        <w:t xml:space="preserve">스트레스 민감도 평가: 수요가 20% 폭증하는 극한 스트레스 시나리오(S6)를 실행하여 총비용이 기존(S3) 대비 15% 이상 반응하는지 검증한다. 성수기 초과 근무 및 3PL 프리미엄 요율 작동 여부를 가려낸다.</w:t>
      </w:r>
    </w:p>
    <w:p>
      <w:r>
        <w:pict>
          <v:rect style="width:0;height:1.5pt" o:hralign="center" o:hrstd="t" o:hr="t"/>
        </w:pict>
      </w:r>
    </w:p>
    <w:bookmarkEnd w:id="36"/>
    <w:bookmarkStart w:id="37" w:name="summary-요약"/>
    <w:p>
      <w:pPr>
        <w:pStyle w:val="Heading2"/>
      </w:pPr>
      <w:r>
        <w:t xml:space="preserve">8. SUMMARY / 요약</w:t>
      </w:r>
    </w:p>
    <w:p>
      <w:pPr>
        <w:numPr>
          <w:ilvl w:val="0"/>
          <w:numId w:val="1002"/>
        </w:numPr>
        <w:pStyle w:val="Compact"/>
      </w:pPr>
      <w:r>
        <w:rPr>
          <w:bCs/>
          <w:b/>
        </w:rPr>
        <w:t xml:space="preserve">6 Cost Components / 6대 비용:</w:t>
      </w:r>
      <w:r>
        <w:t xml:space="preserve"> </w:t>
      </w:r>
      <w:r>
        <w:t xml:space="preserve">Logistics network evaluation requires aggregating transport, warehouse fixed, handling, inventory holding, seasonal flex, and SLA penalty costs.</w:t>
      </w:r>
      <w:r>
        <w:t xml:space="preserve"> </w:t>
      </w:r>
      <w:r>
        <w:rPr>
          <w:iCs/>
          <w:i/>
        </w:rPr>
        <w:t xml:space="preserve">물류 네트워크 평가는 운송 비용, 창고 고정 비용, 하역 처리 비용, 재고 보유 비용, 성수기 유연 비용, SLA 패널티 비용을 모두 합산하여 이루어진다.</w:t>
      </w:r>
    </w:p>
    <w:p>
      <w:pPr>
        <w:numPr>
          <w:ilvl w:val="0"/>
          <w:numId w:val="1002"/>
        </w:numPr>
        <w:pStyle w:val="Compact"/>
      </w:pPr>
      <w:r>
        <w:rPr>
          <w:bCs/>
          <w:b/>
        </w:rPr>
        <w:t xml:space="preserve">Industry Benchmarks / 산업 벤치마크:</w:t>
      </w:r>
      <w:r>
        <w:t xml:space="preserve"> </w:t>
      </w:r>
      <w:r>
        <w:t xml:space="preserve">Where actual contracts are unavailable, coefficients are derived from verified industry literature and regional transport statistics, representing the average logistics performance curve.</w:t>
      </w:r>
      <w:r>
        <w:t xml:space="preserve"> </w:t>
      </w:r>
      <w:r>
        <w:rPr>
          <w:iCs/>
          <w:i/>
        </w:rPr>
        <w:t xml:space="preserve">실제 물류 계약 단가가 없는 경우 학계 표준 문헌, 국가 공식 통계 자료 등에서 업계 평균 수준인 벤치마크 계수를 추출해 활용한다.</w:t>
      </w:r>
    </w:p>
    <w:p>
      <w:pPr>
        <w:numPr>
          <w:ilvl w:val="0"/>
          <w:numId w:val="1002"/>
        </w:numPr>
        <w:pStyle w:val="Compact"/>
      </w:pPr>
      <w:r>
        <w:rPr>
          <w:bCs/>
          <w:b/>
        </w:rPr>
        <w:t xml:space="preserve">Centralized Parameter Management / 중앙 집중식 관리:</w:t>
      </w:r>
      <w:r>
        <w:t xml:space="preserve"> </w:t>
      </w:r>
      <w:r>
        <w:t xml:space="preserve">Approximately 50 distinct parameters are centralized inside</w:t>
      </w:r>
      <w:r>
        <w:t xml:space="preserve"> </w:t>
      </w:r>
      <w:r>
        <w:rPr>
          <w:rStyle w:val="VerbatimChar"/>
        </w:rPr>
        <w:t xml:space="preserve">engine/config.py</w:t>
      </w:r>
      <w:r>
        <w:t xml:space="preserve"> </w:t>
      </w:r>
      <w:r>
        <w:t xml:space="preserve">to ensure instant calibration.</w:t>
      </w:r>
      <w:r>
        <w:t xml:space="preserve"> </w:t>
      </w:r>
      <w:r>
        <w:rPr>
          <w:iCs/>
          <w:i/>
        </w:rPr>
        <w:t xml:space="preserve">전체 모델 정밀 교정을 위한 약 50여 개의 요율 계수들은</w:t>
      </w:r>
      <w:r>
        <w:rPr>
          <w:iCs/>
          <w:i/>
        </w:rPr>
        <w:t xml:space="preserve"> </w:t>
      </w:r>
      <w:r>
        <w:rPr>
          <w:rStyle w:val="VerbatimChar"/>
          <w:iCs/>
          <w:i/>
        </w:rPr>
        <w:t xml:space="preserve">engine/config.py</w:t>
      </w:r>
      <w:r>
        <w:rPr>
          <w:iCs/>
          <w:i/>
        </w:rPr>
        <w:t xml:space="preserve"> </w:t>
      </w:r>
      <w:r>
        <w:rPr>
          <w:iCs/>
          <w:i/>
        </w:rPr>
        <w:t xml:space="preserve">설정 파일 한 곳에서 일원화되어 제어된다.</w:t>
      </w:r>
    </w:p>
    <w:p>
      <w:pPr>
        <w:numPr>
          <w:ilvl w:val="0"/>
          <w:numId w:val="1002"/>
        </w:numPr>
        <w:pStyle w:val="Compact"/>
      </w:pPr>
      <w:r>
        <w:rPr>
          <w:bCs/>
          <w:b/>
        </w:rPr>
        <w:t xml:space="preserve">Explicit Disclaimers / 공시 조항:</w:t>
      </w:r>
      <w:r>
        <w:t xml:space="preserve"> </w:t>
      </w:r>
      <w:r>
        <w:t xml:space="preserve">Any SCM executive report must prominently state that benchmark estimates reflect industry averages (with a standard ±20-40% variance) rather than actual proprietary corporate contracts.</w:t>
      </w:r>
      <w:r>
        <w:t xml:space="preserve"> </w:t>
      </w:r>
      <w:r>
        <w:rPr>
          <w:iCs/>
          <w:i/>
        </w:rPr>
        <w:t xml:space="preserve">경영진 공식 보고서에는 본 분석이 실제 계약서상의 수치가 아닌 산업 평균 벤치마크 값(±20-40% 오차 범위 내)에 기초했음을 반드시 사전에 공시해야 한다.</w:t>
      </w:r>
    </w:p>
    <w:p>
      <w:r>
        <w:pict>
          <v:rect style="width:0;height:1.5pt" o:hralign="center" o:hrstd="t" o:hr="t"/>
        </w:pict>
      </w:r>
    </w:p>
    <w:p>
      <w:pPr>
        <w:pStyle w:val="FirstParagraph"/>
      </w:pPr>
      <w:r>
        <w:rPr>
          <w:iCs/>
          <w:i/>
        </w:rPr>
        <w:t xml:space="preserve">This document is the official reference for Module 6 (Cost Engine). Group B implements Module 6 in strict accordance with this file. Any configuration updates must be synchronized across both</w:t>
      </w:r>
      <w:r>
        <w:rPr>
          <w:iCs/>
          <w:i/>
        </w:rPr>
        <w:t xml:space="preserve"> </w:t>
      </w:r>
      <w:r>
        <w:rPr>
          <w:rStyle w:val="VerbatimChar"/>
          <w:iCs/>
          <w:i/>
        </w:rPr>
        <w:t xml:space="preserve">engine/config.py</w:t>
      </w:r>
      <w:r>
        <w:rPr>
          <w:iCs/>
          <w:i/>
        </w:rPr>
        <w:t xml:space="preserve"> </w:t>
      </w:r>
      <w:r>
        <w:rPr>
          <w:iCs/>
          <w:i/>
        </w:rPr>
        <w:t xml:space="preserve">and this reference document.</w:t>
      </w:r>
      <w:r>
        <w:t xml:space="preserve"> </w:t>
      </w:r>
      <w:r>
        <w:rPr>
          <w:iCs/>
          <w:i/>
        </w:rPr>
        <w:t xml:space="preserve">본 문서는 모듈 6(비용 엔진)의 공식 설계 가이드라인이다. 그룹 B는 본 문서에 의거하여 비용 엔진을 구축하며, 파라미터 갱신 시</w:t>
      </w:r>
      <w:r>
        <w:rPr>
          <w:iCs/>
          <w:i/>
        </w:rPr>
        <w:t xml:space="preserve"> </w:t>
      </w:r>
      <w:r>
        <w:rPr>
          <w:rStyle w:val="VerbatimChar"/>
          <w:iCs/>
          <w:i/>
        </w:rPr>
        <w:t xml:space="preserve">engine/config.py</w:t>
      </w:r>
      <w:r>
        <w:rPr>
          <w:iCs/>
          <w:i/>
        </w:rPr>
        <w:t xml:space="preserve">와 본 참조 문서를 동시 동기화해야 한다.</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LogiHub Cost Engine — 6 Cost Components &amp; Industry Benchmarks</dc:title>
  <dc:creator/>
  <dc:language>en</dc:language>
  <cp:keywords/>
  <dcterms:created xsi:type="dcterms:W3CDTF">2026-05-10T08:11:12Z</dcterms:created>
  <dcterms:modified xsi:type="dcterms:W3CDTF">2026-05-10T08:11:12Z</dcterms:modified>
</cp:coreProperties>
</file>

<file path=docProps/custom.xml><?xml version="1.0" encoding="utf-8"?>
<Properties xmlns="http://schemas.openxmlformats.org/officeDocument/2006/custom-properties" xmlns:vt="http://schemas.openxmlformats.org/officeDocument/2006/docPropsVTypes"/>
</file>