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F4E79"/>
          <w:sz w:val="36"/>
          <w:szCs w:val="36"/>
        </w:rPr>
        <w:t xml:space="preserve">Grid Outage Reference: Cascading Failures &amp; VPP Resilience</w:t>
      </w:r>
    </w:p>
    <w:p>
      <w:r>
        <w:rPr>
          <w:rFonts w:ascii="Arial" w:cs="Arial" w:eastAsia="Arial" w:hAnsi="Arial"/>
          <w:i/>
          <w:iCs/>
          <w:color w:val="595959"/>
          <w:sz w:val="20"/>
          <w:szCs w:val="20"/>
        </w:rPr>
        <w:t xml:space="preserve">Prepared for KubeCon VPP Talk — Enpal/Flexa, March 2026</w:t>
      </w:r>
    </w:p>
    <w:p>
      <w:pPr>
        <w:spacing w:before="160" w:after="100"/>
      </w:pPr>
      <w:r>
        <w:rPr>
          <w:rFonts w:ascii="Arial" w:cs="Arial" w:eastAsia="Arial" w:hAnsi="Arial"/>
          <w:b/>
          <w:bCs/>
          <w:sz w:val="18"/>
          <w:szCs w:val="18"/>
        </w:rPr>
        <w:t xml:space="preserve">Colour coding for Cascading, VPP Help, and Renewables Role columns:</w:t>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400"/>
        <w:gridCol w:w="1600"/>
        <w:gridCol w:w="400"/>
        <w:gridCol w:w="1600"/>
      </w:tblGrid>
      <w:tr>
        <w:tc>
          <w:tcPr>
            <w:tcW w:type="dxa" w:w="400"/>
            <w:tcBorders>
              <w:top w:val="single" w:color="CCCCCC" w:sz="1"/>
              <w:left w:val="single" w:color="CCCCCC" w:sz="1"/>
              <w:bottom w:val="single" w:color="CCCCCC" w:sz="1"/>
              <w:right w:val="single" w:color="CCCCCC" w:sz="1"/>
            </w:tcBorders>
            <w:shd w:fill="E2EFDA" w:val="clear"/>
            <w:tcMar>
              <w:top w:type="dxa" w:w="60"/>
              <w:left w:type="dxa" w:w="80"/>
              <w:bottom w:type="dxa" w:w="60"/>
              <w:right w:type="dxa" w:w="80"/>
            </w:tcMar>
          </w:tcPr>
          <w:p>
            <w:r>
              <w:rPr>
                <w:sz w:val="16"/>
                <w:szCs w:val="16"/>
              </w:rPr>
              <w:t xml:space="preserve"> </w:t>
            </w:r>
          </w:p>
        </w:tc>
        <w:tc>
          <w:tcPr>
            <w:tcW w:type="dxa" w:w="1600"/>
            <w:tcBorders>
              <w:top w:val="none"/>
              <w:left w:val="none"/>
              <w:bottom w:val="none"/>
              <w:right w:val="none"/>
            </w:tcBorders>
            <w:tcMar>
              <w:top w:type="dxa" w:w="60"/>
              <w:left w:type="dxa" w:w="120"/>
              <w:bottom w:type="dxa" w:w="60"/>
              <w:right w:type="dxa" w:w="120"/>
            </w:tcMar>
          </w:tcPr>
          <w:p>
            <w:r>
              <w:rPr>
                <w:rFonts w:ascii="Arial" w:cs="Arial" w:eastAsia="Arial" w:hAnsi="Arial"/>
                <w:sz w:val="16"/>
                <w:szCs w:val="16"/>
              </w:rPr>
              <w:t xml:space="preserve">Yes / Significant</w:t>
            </w:r>
          </w:p>
        </w:tc>
        <w:tc>
          <w:tcPr>
            <w:tcW w:type="dxa" w:w="40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r>
              <w:rPr>
                <w:sz w:val="16"/>
                <w:szCs w:val="16"/>
              </w:rPr>
              <w:t xml:space="preserve"> </w:t>
            </w:r>
          </w:p>
        </w:tc>
        <w:tc>
          <w:tcPr>
            <w:tcW w:type="dxa" w:w="1600"/>
            <w:tcBorders>
              <w:top w:val="none"/>
              <w:left w:val="none"/>
              <w:bottom w:val="none"/>
              <w:right w:val="none"/>
            </w:tcBorders>
            <w:tcMar>
              <w:top w:type="dxa" w:w="60"/>
              <w:left w:type="dxa" w:w="120"/>
              <w:bottom w:type="dxa" w:w="60"/>
              <w:right w:type="dxa" w:w="120"/>
            </w:tcMar>
          </w:tcPr>
          <w:p>
            <w:r>
              <w:rPr>
                <w:rFonts w:ascii="Arial" w:cs="Arial" w:eastAsia="Arial" w:hAnsi="Arial"/>
                <w:sz w:val="16"/>
                <w:szCs w:val="16"/>
              </w:rPr>
              <w:t xml:space="preserve">Partial / Mixed</w:t>
            </w:r>
          </w:p>
        </w:tc>
        <w:tc>
          <w:tcPr>
            <w:tcW w:type="dxa" w:w="40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r>
              <w:rPr>
                <w:sz w:val="16"/>
                <w:szCs w:val="16"/>
              </w:rPr>
              <w:t xml:space="preserve"> </w:t>
            </w:r>
          </w:p>
        </w:tc>
        <w:tc>
          <w:tcPr>
            <w:tcW w:type="dxa" w:w="1600"/>
            <w:tcBorders>
              <w:top w:val="none"/>
              <w:left w:val="none"/>
              <w:bottom w:val="none"/>
              <w:right w:val="none"/>
            </w:tcBorders>
            <w:tcMar>
              <w:top w:type="dxa" w:w="60"/>
              <w:left w:type="dxa" w:w="120"/>
              <w:bottom w:type="dxa" w:w="60"/>
              <w:right w:type="dxa" w:w="120"/>
            </w:tcMar>
          </w:tcPr>
          <w:p>
            <w:r>
              <w:rPr>
                <w:rFonts w:ascii="Arial" w:cs="Arial" w:eastAsia="Arial" w:hAnsi="Arial"/>
                <w:sz w:val="16"/>
                <w:szCs w:val="16"/>
              </w:rPr>
              <w:t xml:space="preserve">No / Not a factor</w:t>
            </w:r>
          </w:p>
        </w:tc>
      </w:tr>
    </w:tbl>
    <w:p>
      <w:pPr>
        <w:spacing w:before="200" w:after="100"/>
      </w:pPr>
      <w:r>
        <w:t xml:space="preserve"/>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600"/>
        <w:gridCol w:w="1800"/>
        <w:gridCol w:w="5280"/>
      </w:tblGrid>
      <w:tr>
        <w:trPr>
          <w:tblHeader/>
        </w:trPr>
        <w:tc>
          <w:tcPr>
            <w:tcW w:type="dxa" w:w="2200"/>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Incident</w:t>
            </w:r>
          </w:p>
        </w:tc>
        <w:tc>
          <w:tcPr>
            <w:tcW w:type="dxa" w:w="1400"/>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Date / Time</w:t>
            </w:r>
          </w:p>
        </w:tc>
        <w:tc>
          <w:tcPr>
            <w:tcW w:type="dxa" w:w="1400"/>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Cascading?</w:t>
            </w:r>
          </w:p>
        </w:tc>
        <w:tc>
          <w:tcPr>
            <w:tcW w:type="dxa" w:w="1600"/>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VPP Help?</w:t>
            </w:r>
          </w:p>
        </w:tc>
        <w:tc>
          <w:tcPr>
            <w:tcW w:type="dxa" w:w="1800"/>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Renewables Role</w:t>
            </w:r>
          </w:p>
        </w:tc>
        <w:tc>
          <w:tcPr>
            <w:tcW w:type="dxa" w:w="5280"/>
            <w:tcBorders>
              <w:top w:val="single" w:color="1F4E79" w:sz="2"/>
              <w:left w:val="single" w:color="1F4E79" w:sz="2"/>
              <w:bottom w:val="single" w:color="1F4E79" w:sz="2"/>
              <w:right w:val="single" w:color="1F4E79" w:sz="2"/>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vAlign w:val="top"/>
          </w:tcPr>
          <w:p>
            <w:r>
              <w:rPr>
                <w:rFonts w:ascii="Arial" w:cs="Arial" w:eastAsia="Arial" w:hAnsi="Arial"/>
                <w:b/>
                <w:bCs/>
                <w:color w:val="1A1A1A"/>
                <w:sz w:val="17"/>
                <w:szCs w:val="17"/>
              </w:rPr>
              <w:t xml:space="preserve">Northeast USA / Canada Blackout</w:t>
            </w:r>
          </w:p>
        </w:tc>
        <w:tc>
          <w:tcPr>
            <w:tcW w:type="dxa" w:w="14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vAlign w:val="top"/>
          </w:tcPr>
          <w:p>
            <w:r>
              <w:rPr>
                <w:rFonts w:ascii="Arial" w:cs="Arial" w:eastAsia="Arial" w:hAnsi="Arial"/>
                <w:b w:val="false"/>
                <w:bCs w:val="false"/>
                <w:color w:val="1A1A1A"/>
                <w:sz w:val="17"/>
                <w:szCs w:val="17"/>
              </w:rPr>
              <w:t xml:space="preserve">Aug 14, 2003
~4:10pm EDT</w:t>
            </w:r>
          </w:p>
        </w:tc>
        <w:tc>
          <w:tcPr>
            <w:tcW w:type="dxa" w:w="14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top"/>
          </w:tcPr>
          <w:p>
            <w:r>
              <w:rPr>
                <w:rFonts w:ascii="Arial" w:cs="Arial" w:eastAsia="Arial" w:hAnsi="Arial"/>
                <w:color w:val="375623"/>
                <w:sz w:val="17"/>
                <w:szCs w:val="17"/>
              </w:rPr>
              <w:t xml:space="preserve">Yes — the defining modern example. Relay trips in Ohio rerouted load, overloaded neighbours, which tripped their own relays. 265 plants, 508 generators offline in minutes.</w:t>
            </w:r>
          </w:p>
        </w:tc>
        <w:tc>
          <w:tcPr>
            <w:tcW w:type="dxa" w:w="16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top"/>
          </w:tcPr>
          <w:p>
            <w:r>
              <w:rPr>
                <w:rFonts w:ascii="Arial" w:cs="Arial" w:eastAsia="Arial" w:hAnsi="Arial"/>
                <w:color w:val="7F6000"/>
                <w:sz w:val="17"/>
                <w:szCs w:val="17"/>
              </w:rPr>
              <w:t xml:space="preserve">Partial. Distributed batteries could have absorbed some load and slowed the cascade. But the core failure was monitoring blindness — a VPP control plane could have provided the missing system-wide visibility operators lacked.</w:t>
            </w:r>
          </w:p>
        </w:tc>
        <w:tc>
          <w:tcPr>
            <w:tcW w:type="dxa" w:w="18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top"/>
          </w:tcPr>
          <w:p>
            <w:r>
              <w:rPr>
                <w:rFonts w:ascii="Arial" w:cs="Arial" w:eastAsia="Arial" w:hAnsi="Arial"/>
                <w:color w:val="833C00"/>
                <w:sz w:val="17"/>
                <w:szCs w:val="17"/>
              </w:rPr>
              <w:t xml:space="preserve">None. All conventional generation. The cause was a software bug (forgotten process restart) + trees contacting lines + absence of real-time situational awareness.</w:t>
            </w:r>
          </w:p>
        </w:tc>
        <w:tc>
          <w:tcPr>
            <w:tcW w:type="dxa" w:w="528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vAlign w:val="top"/>
          </w:tcPr>
          <w:p>
            <w:r>
              <w:rPr>
                <w:rFonts w:ascii="Arial" w:cs="Arial" w:eastAsia="Arial" w:hAnsi="Arial"/>
                <w:b w:val="false"/>
                <w:bCs w:val="false"/>
                <w:color w:val="1A1A1A"/>
                <w:sz w:val="17"/>
                <w:szCs w:val="17"/>
              </w:rPr>
              <w:t xml:space="preserve">A monitoring tool was accidentally left offline after a routine fix. With operators flying blind, transmission lines in Ohio sagged into untrimmed trees and tripped. Each trip rerouted load onto neighbours, which tripped their own relays — correctly, locally. 50 million people across 8 US states and Ontario lost power. Estimated $6-10B in damages, ~100 deaths. The system defended itself locally while undermining itself globally.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bCs/>
                <w:color w:val="1A1A1A"/>
                <w:sz w:val="17"/>
                <w:szCs w:val="17"/>
              </w:rPr>
              <w:t xml:space="preserve">South Australia Blackout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7"/>
                <w:szCs w:val="17"/>
              </w:rPr>
              <w:t xml:space="preserve">Sep 28, 2016
~4:16pm ACST</w:t>
            </w:r>
          </w:p>
        </w:tc>
        <w:tc>
          <w:tcPr>
            <w:tcW w:type="dxa" w:w="14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top"/>
          </w:tcPr>
          <w:p>
            <w:r>
              <w:rPr>
                <w:rFonts w:ascii="Arial" w:cs="Arial" w:eastAsia="Arial" w:hAnsi="Arial"/>
                <w:color w:val="375623"/>
                <w:sz w:val="17"/>
                <w:szCs w:val="17"/>
              </w:rPr>
              <w:t xml:space="preserve">Yes. Storm damaged 23 transmission pylons. Wind farm protection firmware dropped 456 MW in &lt;7 seconds to protect turbines. This overloaded the Victorian interconnector, which tripped, islanding the whole state.</w:t>
            </w:r>
          </w:p>
        </w:tc>
        <w:tc>
          <w:tcPr>
            <w:tcW w:type="dxa" w:w="16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top"/>
          </w:tcPr>
          <w:p>
            <w:r>
              <w:rPr>
                <w:rFonts w:ascii="Arial" w:cs="Arial" w:eastAsia="Arial" w:hAnsi="Arial"/>
                <w:color w:val="7F6000"/>
                <w:sz w:val="17"/>
                <w:szCs w:val="17"/>
              </w:rPr>
              <w:t xml:space="preserve">Partial. The VPP didn't exist yet — it was built in response to this event. Had it existed, distributed batteries could have injected power during the 7-second generation dropout, potentially preventing the interconnector overload that caused total blackout.</w:t>
            </w:r>
          </w:p>
        </w:tc>
        <w:tc>
          <w:tcPr>
            <w:tcW w:type="dxa" w:w="18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top"/>
          </w:tcPr>
          <w:p>
            <w:r>
              <w:rPr>
                <w:rFonts w:ascii="Arial" w:cs="Arial" w:eastAsia="Arial" w:hAnsi="Arial"/>
                <w:color w:val="375623"/>
                <w:sz w:val="17"/>
                <w:szCs w:val="17"/>
              </w:rPr>
              <w:t xml:space="preserve">Central. Wind farms made up ~40% of generation. Their protection firmware (overly sensitive voltage trip settings) caused simultaneous dropout. Not a wind energy failure per se — a software configuration failure at scale, exacerbated by high renewable penetration and low inertia.</w:t>
            </w:r>
          </w:p>
        </w:tc>
        <w:tc>
          <w:tcPr>
            <w:tcW w:type="dxa" w:w="5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7"/>
                <w:szCs w:val="17"/>
              </w:rPr>
              <w:t xml:space="preserve">A severe spring storm with 80,000+ lightning strikes damaged transmission pylons. Wind farm protection software — configured with overly sensitive voltage thresholds — triggered simultaneous shutdown of 456 MW of wind generation in under 7 seconds. The sudden loss overloaded the Heywood interconnector to Victoria, which tripped to protect itself, leaving South Australia as an isolated electrical island. The entire state went dark. The incident directly motivated construction of the Hornsdale Power Reserve and the SA VPP.</w:t>
            </w:r>
          </w:p>
        </w:tc>
      </w:tr>
      <w:tr>
        <w:tc>
          <w:tcPr>
            <w:tcW w:type="dxa" w:w="22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vAlign w:val="top"/>
          </w:tcPr>
          <w:p>
            <w:r>
              <w:rPr>
                <w:rFonts w:ascii="Arial" w:cs="Arial" w:eastAsia="Arial" w:hAnsi="Arial"/>
                <w:b/>
                <w:bCs/>
                <w:color w:val="1A1A1A"/>
                <w:sz w:val="17"/>
                <w:szCs w:val="17"/>
              </w:rPr>
              <w:t xml:space="preserve">Hornsdale Power Reserve Response (SA)</w:t>
            </w:r>
          </w:p>
        </w:tc>
        <w:tc>
          <w:tcPr>
            <w:tcW w:type="dxa" w:w="14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vAlign w:val="top"/>
          </w:tcPr>
          <w:p>
            <w:r>
              <w:rPr>
                <w:rFonts w:ascii="Arial" w:cs="Arial" w:eastAsia="Arial" w:hAnsi="Arial"/>
                <w:b w:val="false"/>
                <w:bCs w:val="false"/>
                <w:color w:val="1A1A1A"/>
                <w:sz w:val="17"/>
                <w:szCs w:val="17"/>
              </w:rPr>
              <w:t xml:space="preserve">Dec 14, 2017
1:58:59am ACST</w:t>
            </w:r>
          </w:p>
        </w:tc>
        <w:tc>
          <w:tcPr>
            <w:tcW w:type="dxa" w:w="14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top"/>
          </w:tcPr>
          <w:p>
            <w:r>
              <w:rPr>
                <w:rFonts w:ascii="Arial" w:cs="Arial" w:eastAsia="Arial" w:hAnsi="Arial"/>
                <w:color w:val="833C00"/>
                <w:sz w:val="17"/>
                <w:szCs w:val="17"/>
              </w:rPr>
              <w:t xml:space="preserve">No cascade — the battery prevented one. A 560 MW generator (Loy Yang A3) tripped. Without intervention, frequency collapse and cascade were likely.</w:t>
            </w:r>
          </w:p>
        </w:tc>
        <w:tc>
          <w:tcPr>
            <w:tcW w:type="dxa" w:w="16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top"/>
          </w:tcPr>
          <w:p>
            <w:r>
              <w:rPr>
                <w:rFonts w:ascii="Arial" w:cs="Arial" w:eastAsia="Arial" w:hAnsi="Arial"/>
                <w:color w:val="375623"/>
                <w:sz w:val="17"/>
                <w:szCs w:val="17"/>
              </w:rPr>
              <w:t xml:space="preserve">Yes — this IS the VPP success story. Battery responded in 140ms. Injected 7.3 MW within 20 seconds. Conventional gas plant didn't respond until 28 seconds. Battery bought the 8 seconds that prevented cascade.</w:t>
            </w:r>
          </w:p>
        </w:tc>
        <w:tc>
          <w:tcPr>
            <w:tcW w:type="dxa" w:w="18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top"/>
          </w:tcPr>
          <w:p>
            <w:r>
              <w:rPr>
                <w:rFonts w:ascii="Arial" w:cs="Arial" w:eastAsia="Arial" w:hAnsi="Arial"/>
                <w:color w:val="7F6000"/>
                <w:sz w:val="17"/>
                <w:szCs w:val="17"/>
              </w:rPr>
              <w:t xml:space="preserve">Indirectly. High renewable penetration meant low grid inertia, making frequency deviations more acute and faster-moving. The battery's millisecond response was specifically valuable because conventional inertia was insufficient.</w:t>
            </w:r>
          </w:p>
        </w:tc>
        <w:tc>
          <w:tcPr>
            <w:tcW w:type="dxa" w:w="528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vAlign w:val="top"/>
          </w:tcPr>
          <w:p>
            <w:r>
              <w:rPr>
                <w:rFonts w:ascii="Arial" w:cs="Arial" w:eastAsia="Arial" w:hAnsi="Arial"/>
                <w:b w:val="false"/>
                <w:bCs w:val="false"/>
                <w:color w:val="1A1A1A"/>
                <w:sz w:val="17"/>
                <w:szCs w:val="17"/>
              </w:rPr>
              <w:t xml:space="preserve">Generator unit A3 at Loy Yang Power Station tripped unexpectedly, losing 560 MW. Grid frequency began dropping immediately. The Hornsdale battery — a grid-scale Tesla installation, not residential VPP — detected the deviation and responded in approximately 140 milliseconds, injecting 7.3 MW by 1:59:19am. The nearest gas peaker didn't begin responding until 1:59:27am — 8 seconds later. Those 8 seconds were the margin between a managed frequency excursion and a potential cascade. The battery reduced SA's frequency control costs by 90% in its first 4 months.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bCs/>
                <w:color w:val="1A1A1A"/>
                <w:sz w:val="17"/>
                <w:szCs w:val="17"/>
              </w:rPr>
              <w:t xml:space="preserve">SA VPP — Kogan Creek Response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7"/>
                <w:szCs w:val="17"/>
              </w:rPr>
              <w:t xml:space="preserve">Oct 9, 2019
Afternoon ACST</w:t>
            </w:r>
          </w:p>
        </w:tc>
        <w:tc>
          <w:tcPr>
            <w:tcW w:type="dxa" w:w="14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top"/>
          </w:tcPr>
          <w:p>
            <w:r>
              <w:rPr>
                <w:rFonts w:ascii="Arial" w:cs="Arial" w:eastAsia="Arial" w:hAnsi="Arial"/>
                <w:color w:val="833C00"/>
                <w:sz w:val="17"/>
                <w:szCs w:val="17"/>
              </w:rPr>
              <w:t xml:space="preserve">No cascade — frequency dropped to 49.61 Hz (below 49.85 normal floor) but the VPP response aided recovery before cascade threshold.</w:t>
            </w:r>
          </w:p>
        </w:tc>
        <w:tc>
          <w:tcPr>
            <w:tcW w:type="dxa" w:w="16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top"/>
          </w:tcPr>
          <w:p>
            <w:r>
              <w:rPr>
                <w:rFonts w:ascii="Arial" w:cs="Arial" w:eastAsia="Arial" w:hAnsi="Arial"/>
                <w:color w:val="375623"/>
                <w:sz w:val="17"/>
                <w:szCs w:val="17"/>
              </w:rPr>
              <w:t xml:space="preserve">Yes — direct real-world demonstration. ~1,100 homes (2% of planned 50,000) detected the frequency excursion autonomously and injected power immediately. AEMO confirmed successful frequency recovery. Revenue: ~$132K from this and related FCAS events.</w:t>
            </w:r>
          </w:p>
        </w:tc>
        <w:tc>
          <w:tcPr>
            <w:tcW w:type="dxa" w:w="18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top"/>
          </w:tcPr>
          <w:p>
            <w:r>
              <w:rPr>
                <w:rFonts w:ascii="Arial" w:cs="Arial" w:eastAsia="Arial" w:hAnsi="Arial"/>
                <w:color w:val="833C00"/>
                <w:sz w:val="17"/>
                <w:szCs w:val="17"/>
              </w:rPr>
              <w:t xml:space="preserve">Not a factor in the cause. Kogan Creek is a coal plant in Queensland. The relevance to renewables is the VPP response — showing that distributed residential batteries can provide the kind of fast frequency response that high-renewable grids increasingly need.</w:t>
            </w:r>
          </w:p>
        </w:tc>
        <w:tc>
          <w:tcPr>
            <w:tcW w:type="dxa" w:w="5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7"/>
                <w:szCs w:val="17"/>
              </w:rPr>
              <w:t xml:space="preserve">The largest generator in Australia's National Electricity Market — Kogan Creek coal plant in Queensland, rated 748 MW — tripped unexpectedly. Frequency immediately dropped to 49.61 Hz across the interconnected grid, below the normal operating band of 49.85–50.15 Hz. The South Australian VPP, then comprising only ~1,100 homes (2% of its planned scale), autonomously detected the frequency excursion and injected power within seconds. AEMO's subsequent report confirmed successful frequency contribution. This was the first real-world proof that a residential VPP could provide contingency Frequency Control Ancillary Services (FCAS) at grid scale.</w:t>
            </w:r>
          </w:p>
        </w:tc>
      </w:tr>
      <w:tr>
        <w:tc>
          <w:tcPr>
            <w:tcW w:type="dxa" w:w="22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vAlign w:val="top"/>
          </w:tcPr>
          <w:p>
            <w:r>
              <w:rPr>
                <w:rFonts w:ascii="Arial" w:cs="Arial" w:eastAsia="Arial" w:hAnsi="Arial"/>
                <w:b/>
                <w:bCs/>
                <w:color w:val="1A1A1A"/>
                <w:sz w:val="17"/>
                <w:szCs w:val="17"/>
              </w:rPr>
              <w:t xml:space="preserve">SA VPP — Regional Separation (Partial Failure)</w:t>
            </w:r>
          </w:p>
        </w:tc>
        <w:tc>
          <w:tcPr>
            <w:tcW w:type="dxa" w:w="14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vAlign w:val="top"/>
          </w:tcPr>
          <w:p>
            <w:r>
              <w:rPr>
                <w:rFonts w:ascii="Arial" w:cs="Arial" w:eastAsia="Arial" w:hAnsi="Arial"/>
                <w:b w:val="false"/>
                <w:bCs w:val="false"/>
                <w:color w:val="1A1A1A"/>
                <w:sz w:val="17"/>
                <w:szCs w:val="17"/>
              </w:rPr>
              <w:t xml:space="preserve">Nov 16, 2019
~6:00pm ACST</w:t>
            </w:r>
          </w:p>
        </w:tc>
        <w:tc>
          <w:tcPr>
            <w:tcW w:type="dxa" w:w="14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top"/>
          </w:tcPr>
          <w:p>
            <w:r>
              <w:rPr>
                <w:rFonts w:ascii="Arial" w:cs="Arial" w:eastAsia="Arial" w:hAnsi="Arial"/>
                <w:color w:val="375623"/>
                <w:sz w:val="17"/>
                <w:szCs w:val="17"/>
              </w:rPr>
              <w:t xml:space="preserve">Yes — SA was electrically separated from the rest of Australia for ~5 hours by a non-credible fault (communication multiplexer malfunction tripping both 500kV Heywood lines simultaneously).</w:t>
            </w:r>
          </w:p>
        </w:tc>
        <w:tc>
          <w:tcPr>
            <w:tcW w:type="dxa" w:w="16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top"/>
          </w:tcPr>
          <w:p>
            <w:r>
              <w:rPr>
                <w:rFonts w:ascii="Arial" w:cs="Arial" w:eastAsia="Arial" w:hAnsi="Arial"/>
                <w:color w:val="7F6000"/>
                <w:sz w:val="17"/>
                <w:szCs w:val="17"/>
              </w:rPr>
              <w:t xml:space="preserve">Partial — and instructive. VPP was required to deliver 1 MW of lower FCAS but only delivered 828 kW (83%). Root cause: configuration drift — some devices had had their frequency settings inadvertently changed during a test. Tesla immediately remotely reconfigured all non-compliant devices and introduced daily automated checks. Classic distributed fleet management problem.</w:t>
            </w:r>
          </w:p>
        </w:tc>
        <w:tc>
          <w:tcPr>
            <w:tcW w:type="dxa" w:w="18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top"/>
          </w:tcPr>
          <w:p>
            <w:r>
              <w:rPr>
                <w:rFonts w:ascii="Arial" w:cs="Arial" w:eastAsia="Arial" w:hAnsi="Arial"/>
                <w:color w:val="833C00"/>
                <w:sz w:val="17"/>
                <w:szCs w:val="17"/>
              </w:rPr>
              <w:t xml:space="preserve">Not the cause. The fault was a communication equipment malfunction in transmission infrastructure. However, SA's high renewable penetration (low inertia) meant frequency swings were more severe once islanded, making FCAS response more critical.</w:t>
            </w:r>
          </w:p>
        </w:tc>
        <w:tc>
          <w:tcPr>
            <w:tcW w:type="dxa" w:w="528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vAlign w:val="top"/>
          </w:tcPr>
          <w:p>
            <w:r>
              <w:rPr>
                <w:rFonts w:ascii="Arial" w:cs="Arial" w:eastAsia="Arial" w:hAnsi="Arial"/>
                <w:b w:val="false"/>
                <w:bCs w:val="false"/>
                <w:color w:val="1A1A1A"/>
                <w:sz w:val="17"/>
                <w:szCs w:val="17"/>
              </w:rPr>
              <w:t xml:space="preserve">A malfunctioning communication multiplexer caused both 500kV transmission lines from Heywood to simultaneously trip on false fault detection, electrically separating South Australia from the rest of the NEM for nearly 5 hours. Frequency rose sharply to 50.85 Hz (upper excursion). The SA VPP was called to deliver 1 MW of lower FCAS (charge batteries to absorb excess energy). It delivered 828 kW — 83% of target. Investigation revealed configuration drift: some Powerwalls had had their frequency response settings inadvertently modified during an earlier test. Fix was a remote configuration push. Tesla subsequently introduced daily automated compliance checks across the fleet.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bCs/>
                <w:color w:val="1A1A1A"/>
                <w:sz w:val="17"/>
                <w:szCs w:val="17"/>
              </w:rPr>
              <w:t xml:space="preserve">Texas Winter Storm Uri</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7"/>
                <w:szCs w:val="17"/>
              </w:rPr>
              <w:t xml:space="preserve">Feb 10-20, 2021
Peak: Feb 15 ~1:51am CST</w:t>
            </w:r>
          </w:p>
        </w:tc>
        <w:tc>
          <w:tcPr>
            <w:tcW w:type="dxa" w:w="14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top"/>
          </w:tcPr>
          <w:p>
            <w:r>
              <w:rPr>
                <w:rFonts w:ascii="Arial" w:cs="Arial" w:eastAsia="Arial" w:hAnsi="Arial"/>
                <w:color w:val="375623"/>
                <w:sz w:val="17"/>
                <w:szCs w:val="17"/>
              </w:rPr>
              <w:t xml:space="preserve">Yes — but a different mechanism from 2003. Not a routing cascade but a supply collapse. Frequency fell to 59.4 Hz — within 4 minutes of a complete grid failure that engineers estimated would have taken months to recover from. Grid was literally seconds from going dark for months.</w:t>
            </w:r>
          </w:p>
        </w:tc>
        <w:tc>
          <w:tcPr>
            <w:tcW w:type="dxa" w:w="16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top"/>
          </w:tcPr>
          <w:p>
            <w:r>
              <w:rPr>
                <w:rFonts w:ascii="Arial" w:cs="Arial" w:eastAsia="Arial" w:hAnsi="Arial"/>
                <w:color w:val="7F6000"/>
                <w:sz w:val="17"/>
                <w:szCs w:val="17"/>
              </w:rPr>
              <w:t xml:space="preserve">Partial at household level, limited at grid level. Homes with solar+batteries would have stayed warm for hours-days. At grid level, Texas had almost no distributed generation inside demand zones. The architectural lesson: an isolated grid with no distributed reserves has no graceful degradation path. VPPs inside the demand zone are the structural answer.</w:t>
            </w:r>
          </w:p>
        </w:tc>
        <w:tc>
          <w:tcPr>
            <w:tcW w:type="dxa" w:w="18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top"/>
          </w:tcPr>
          <w:p>
            <w:r>
              <w:rPr>
                <w:rFonts w:ascii="Arial" w:cs="Arial" w:eastAsia="Arial" w:hAnsi="Arial"/>
                <w:color w:val="7F6000"/>
                <w:sz w:val="17"/>
                <w:szCs w:val="17"/>
              </w:rPr>
              <w:t xml:space="preserve">Partly. Frozen wind turbines lost ~25% of wind capacity. But gas failures accounted for the vast majority of lost generation — frozen wellheads, pipelines, and non-weatherized plants. The political narrative blamed wind; the engineering reality was primarily a gas infrastructure failure. Both renewable and conventional generation failed for the same reason: no weatherization.</w:t>
            </w:r>
          </w:p>
        </w:tc>
        <w:tc>
          <w:tcPr>
            <w:tcW w:type="dxa" w:w="5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7"/>
                <w:szCs w:val="17"/>
              </w:rPr>
              <w:t xml:space="preserve">Winter Storm Uri brought record cold to Texas. The ERCOT grid — deliberately isolated from US national grids for regulatory reasons — had no ability to import emergency power. Gas wellheads, pipelines, and power plants froze. Wind turbines lost capacity. Demand for heating surged simultaneously. By 1:51am on Feb 15, grid frequency had fallen to 59.4 Hz — a threshold where automated turbine protections would kick in to prevent mechanical damage, risking a complete unrecoverable blackout. ERCOT was 4 minutes from ordering total grid shutdown. Rolling blackouts were implemented instead. 4.5 million homes lost power for days. Over 240 deaths. $80-130B economic impact. The core architectural failure: a sealed, isolated system with no distributed reserves and no import capability.</w:t>
            </w:r>
          </w:p>
        </w:tc>
      </w:tr>
      <w:tr>
        <w:tc>
          <w:tcPr>
            <w:tcW w:type="dxa" w:w="22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vAlign w:val="top"/>
          </w:tcPr>
          <w:p>
            <w:r>
              <w:rPr>
                <w:rFonts w:ascii="Arial" w:cs="Arial" w:eastAsia="Arial" w:hAnsi="Arial"/>
                <w:b/>
                <w:bCs/>
                <w:color w:val="1A1A1A"/>
                <w:sz w:val="17"/>
                <w:szCs w:val="17"/>
              </w:rPr>
              <w:t xml:space="preserve">Berlin Arson — Treptow-Köpenick</w:t>
            </w:r>
          </w:p>
        </w:tc>
        <w:tc>
          <w:tcPr>
            <w:tcW w:type="dxa" w:w="140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vAlign w:val="top"/>
          </w:tcPr>
          <w:p>
            <w:r>
              <w:rPr>
                <w:rFonts w:ascii="Arial" w:cs="Arial" w:eastAsia="Arial" w:hAnsi="Arial"/>
                <w:b w:val="false"/>
                <w:bCs w:val="false"/>
                <w:color w:val="1A1A1A"/>
                <w:sz w:val="17"/>
                <w:szCs w:val="17"/>
              </w:rPr>
              <w:t xml:space="preserve">Sep 9, 2025
~3:00am CET</w:t>
            </w:r>
          </w:p>
        </w:tc>
        <w:tc>
          <w:tcPr>
            <w:tcW w:type="dxa" w:w="14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top"/>
          </w:tcPr>
          <w:p>
            <w:r>
              <w:rPr>
                <w:rFonts w:ascii="Arial" w:cs="Arial" w:eastAsia="Arial" w:hAnsi="Arial"/>
                <w:color w:val="833C00"/>
                <w:sz w:val="17"/>
                <w:szCs w:val="17"/>
              </w:rPr>
              <w:t xml:space="preserve">No electrical cascade. Deliberate physical destruction of two 110kV cable pylons in Johannisthal. The damage was too localised for cascade — but the duration (60 hours) exposed how slowly physical infrastructure can be repaired.</w:t>
            </w:r>
          </w:p>
        </w:tc>
        <w:tc>
          <w:tcPr>
            <w:tcW w:type="dxa" w:w="16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top"/>
          </w:tcPr>
          <w:p>
            <w:r>
              <w:rPr>
                <w:rFonts w:ascii="Arial" w:cs="Arial" w:eastAsia="Arial" w:hAnsi="Arial"/>
                <w:color w:val="7F6000"/>
                <w:sz w:val="17"/>
                <w:szCs w:val="17"/>
              </w:rPr>
              <w:t xml:space="preserve">Partial. Households with charged batteries and solar would have stayed powered for hours, reducing immediate hardship. But a 60-hour outage caused by physical cable destruction cannot be resolved by software or batteries — it requires physical repair. VPPs buy time and reduce harm; they cannot replace cables.</w:t>
            </w:r>
          </w:p>
        </w:tc>
        <w:tc>
          <w:tcPr>
            <w:tcW w:type="dxa" w:w="18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top"/>
          </w:tcPr>
          <w:p>
            <w:r>
              <w:rPr>
                <w:rFonts w:ascii="Arial" w:cs="Arial" w:eastAsia="Arial" w:hAnsi="Arial"/>
                <w:color w:val="833C00"/>
                <w:sz w:val="17"/>
                <w:szCs w:val="17"/>
              </w:rPr>
              <w:t xml:space="preserve">Not a factor. The attack targeted high-voltage cable infrastructure. Ironically, the Vulkangruppe framed the attack as environmental protest — attacking the fossil fuel grid — while Enpal and similar companies are building the distributed renewable alternative they claim to want.</w:t>
            </w:r>
          </w:p>
        </w:tc>
        <w:tc>
          <w:tcPr>
            <w:tcW w:type="dxa" w:w="5280"/>
            <w:tcBorders>
              <w:top w:val="single" w:color="CCCCCC" w:sz="1"/>
              <w:left w:val="single" w:color="CCCCCC" w:sz="1"/>
              <w:bottom w:val="single" w:color="CCCCCC" w:sz="1"/>
              <w:right w:val="single" w:color="CCCCCC" w:sz="1"/>
            </w:tcBorders>
            <w:shd w:fill="F5F9FF" w:val="clear"/>
            <w:tcMar>
              <w:top w:type="dxa" w:w="100"/>
              <w:left w:type="dxa" w:w="140"/>
              <w:bottom w:type="dxa" w:w="100"/>
              <w:right w:type="dxa" w:w="140"/>
            </w:tcMar>
            <w:vAlign w:val="top"/>
          </w:tcPr>
          <w:p>
            <w:r>
              <w:rPr>
                <w:rFonts w:ascii="Arial" w:cs="Arial" w:eastAsia="Arial" w:hAnsi="Arial"/>
                <w:b w:val="false"/>
                <w:bCs w:val="false"/>
                <w:color w:val="1A1A1A"/>
                <w:sz w:val="17"/>
                <w:szCs w:val="17"/>
              </w:rPr>
              <w:t xml:space="preserve">Arson attack on two high-voltage electricity pylons in the Johannisthal area of Treptow-Köpenick, southeast Berlin. Fires destroyed multiple 110kV cables, severing power to several substations and a local cogeneration plant. Approximately 50,000 households and businesses lost power. The outage lasted approximately 60 hours — the longest major blackout in Berlin in 25 years. Attributed to the Vulkangruppe, a far-left anarchist group with a history of infrastructure sabotage in Berlin since 2011. An anarchist manifesto was published claiming the Adlershof Technology Park as the intended target. Schools, businesses, and transport disrupted.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bCs/>
                <w:color w:val="1A1A1A"/>
                <w:sz w:val="17"/>
                <w:szCs w:val="17"/>
              </w:rPr>
              <w:t xml:space="preserve">Berlin Arson — Lichterfelde (Vulkangruppe)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7"/>
                <w:szCs w:val="17"/>
              </w:rPr>
              <w:t xml:space="preserve">Jan 4, 2026
~3:00am CET</w:t>
            </w:r>
          </w:p>
        </w:tc>
        <w:tc>
          <w:tcPr>
            <w:tcW w:type="dxa" w:w="14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top"/>
          </w:tcPr>
          <w:p>
            <w:r>
              <w:rPr>
                <w:rFonts w:ascii="Arial" w:cs="Arial" w:eastAsia="Arial" w:hAnsi="Arial"/>
                <w:color w:val="833C00"/>
                <w:sz w:val="17"/>
                <w:szCs w:val="17"/>
              </w:rPr>
              <w:t xml:space="preserve">No cascade. Targeted physical destruction of high-voltage cables on a bridge over the Teltow Canal near the Lichterfelde gas-fired power station. Duration (4+ days) caused by cables buried in frozen ground requiring physical excavation to repair.</w:t>
            </w:r>
          </w:p>
        </w:tc>
        <w:tc>
          <w:tcPr>
            <w:tcW w:type="dxa" w:w="16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top"/>
          </w:tcPr>
          <w:p>
            <w:r>
              <w:rPr>
                <w:rFonts w:ascii="Arial" w:cs="Arial" w:eastAsia="Arial" w:hAnsi="Arial"/>
                <w:color w:val="7F6000"/>
                <w:sz w:val="17"/>
                <w:szCs w:val="17"/>
              </w:rPr>
              <w:t xml:space="preserve">Partial — and personally relevant. Enpal customers in the affected districts (Steglitz-Zehlendorf, Nikolassee, Wannsee, Zehlendorf) with charged batteries and LTE-connected HEMS would have maintained power for hours. At sufficient fleet density, load relief on adjacent undamaged infrastructure could have shortened the repair timeline. But cables in frozen ground still need to be dug up.</w:t>
            </w:r>
          </w:p>
        </w:tc>
        <w:tc>
          <w:tcPr>
            <w:tcW w:type="dxa" w:w="18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top"/>
          </w:tcPr>
          <w:p>
            <w:r>
              <w:rPr>
                <w:rFonts w:ascii="Arial" w:cs="Arial" w:eastAsia="Arial" w:hAnsi="Arial"/>
                <w:color w:val="833C00"/>
                <w:sz w:val="17"/>
                <w:szCs w:val="17"/>
              </w:rPr>
              <w:t xml:space="preserve">Not a factor in cause. The group explicitly targeted fossil fuel infrastructure (the Lichterfelde gas plant). Darkly ironic: Enpal's distributed solar+battery model is the architectural alternative to the centralised gas plant they attacked. The distributed renewable grid they ostensibly want is what VPP operators are building.</w:t>
            </w:r>
          </w:p>
        </w:tc>
        <w:tc>
          <w:tcPr>
            <w:tcW w:type="dxa" w:w="5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17"/>
                <w:szCs w:val="17"/>
              </w:rPr>
              <w:t xml:space="preserve">Vulkangruppe set fire to a cable duct over the Teltow Canal near the Lichterfelde gas power station in southwest Berlin. High-voltage cables destroyed. 45,000 households and 2,200 businesses across four districts lost power. A major state of emergency was declared — 40 Bundeswehr soldiers deployed. An 83-year-old woman died. Hospitals switched to emergency power. S-Bahn lines suspended. Mobile networks failed in some districts. Full restoration took until January 7 — over 4 days — as crews excavated frozen ground to replace buried cables. The longest Berlin outage since 1945. Federal prosecutors opened terrorism investigations.</w:t>
            </w:r>
          </w:p>
        </w:tc>
      </w:tr>
    </w:tbl>
    <w:p>
      <w:pPr>
        <w:spacing w:before="300" w:after="0"/>
      </w:pPr>
      <w:r>
        <w:rPr>
          <w:rFonts w:ascii="Arial" w:cs="Arial" w:eastAsia="Arial" w:hAnsi="Arial"/>
          <w:b/>
          <w:bCs/>
          <w:color w:val="1F4E79"/>
          <w:sz w:val="18"/>
          <w:szCs w:val="18"/>
        </w:rPr>
        <w:t xml:space="preserve">Key insight: </w:t>
      </w:r>
      <w:r>
        <w:rPr>
          <w:rFonts w:ascii="Arial" w:cs="Arial" w:eastAsia="Arial" w:hAnsi="Arial"/>
          <w:color w:val="1A1A1A"/>
          <w:sz w:val="18"/>
          <w:szCs w:val="18"/>
        </w:rPr>
        <w:t xml:space="preserve">In every cascading event, the common failure mode is tightly coupled centralized infrastructure with no local generation reserves and degraded or absent system-wide observability. A VPP with distributed edge generation, autonomous local frequency response, and a global control plane addresses all three failure conditions — but cannot replace physical infrastructure repair.</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0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2026-03-14T17:17:46.993Z</dcterms:created>
  <dcterms:modified xsi:type="dcterms:W3CDTF">2026-03-14T17:17:46.994Z</dcterms:modified>
</cp:coreProperties>
</file>

<file path=docProps/custom.xml><?xml version="1.0" encoding="utf-8"?>
<Properties xmlns="http://schemas.openxmlformats.org/officeDocument/2006/custom-properties" xmlns:vt="http://schemas.openxmlformats.org/officeDocument/2006/docPropsVTypes"/>
</file>