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81E7" w14:textId="77777777" w:rsidR="00F74740" w:rsidRDefault="00000000">
      <w:pPr>
        <w:spacing w:before="1200"/>
        <w:jc w:val="center"/>
        <w:rPr>
          <w:rFonts w:ascii="Times New Roman" w:hAnsi="Times New Roman" w:cs="Times New Roman"/>
          <w:b/>
          <w:sz w:val="24"/>
          <w:szCs w:val="24"/>
          <w:lang w:val="es-CO"/>
        </w:rPr>
      </w:pPr>
      <w:r w:rsidRPr="001B3F2A">
        <w:rPr>
          <w:rFonts w:ascii="Times New Roman" w:hAnsi="Times New Roman" w:cs="Times New Roman"/>
          <w:b/>
          <w:sz w:val="24"/>
          <w:szCs w:val="24"/>
          <w:lang w:val="es-CO"/>
        </w:rPr>
        <w:t>ESPECIALIZACIÓN EN</w:t>
      </w:r>
      <w:r w:rsidRPr="001B3F2A">
        <w:rPr>
          <w:rFonts w:ascii="Times New Roman" w:hAnsi="Times New Roman" w:cs="Times New Roman"/>
          <w:b/>
          <w:sz w:val="24"/>
          <w:szCs w:val="24"/>
          <w:lang w:val="es-CO"/>
        </w:rPr>
        <w:br/>
        <w:t>ANALÍTICA DE DATOS E INTELIGENCIA ARTIFICIAL</w:t>
      </w:r>
    </w:p>
    <w:p w14:paraId="708E5974" w14:textId="028CCD13" w:rsidR="00BB6D52" w:rsidRPr="001B3F2A" w:rsidRDefault="00BB6D52">
      <w:pPr>
        <w:spacing w:before="1200"/>
        <w:jc w:val="center"/>
        <w:rPr>
          <w:rFonts w:ascii="Times New Roman" w:hAnsi="Times New Roman" w:cs="Times New Roman"/>
          <w:sz w:val="24"/>
          <w:szCs w:val="24"/>
          <w:lang w:val="es-CO"/>
        </w:rPr>
      </w:pPr>
      <w:r>
        <w:rPr>
          <w:rFonts w:ascii="Times New Roman" w:hAnsi="Times New Roman" w:cs="Times New Roman"/>
          <w:b/>
          <w:sz w:val="24"/>
          <w:szCs w:val="24"/>
          <w:lang w:val="es-CO"/>
        </w:rPr>
        <w:t>INTELIGENCIA DE NEGOCIOS</w:t>
      </w:r>
    </w:p>
    <w:p w14:paraId="07014C85" w14:textId="77777777" w:rsidR="00F74740" w:rsidRPr="001B3F2A" w:rsidRDefault="00000000" w:rsidP="001B3F2A">
      <w:pPr>
        <w:spacing w:before="700"/>
        <w:jc w:val="center"/>
        <w:rPr>
          <w:rFonts w:ascii="Times New Roman" w:hAnsi="Times New Roman" w:cs="Times New Roman"/>
          <w:sz w:val="24"/>
          <w:szCs w:val="24"/>
          <w:lang w:val="es-CO"/>
        </w:rPr>
      </w:pPr>
      <w:r w:rsidRPr="001B3F2A">
        <w:rPr>
          <w:rFonts w:ascii="Times New Roman" w:hAnsi="Times New Roman" w:cs="Times New Roman"/>
          <w:b/>
          <w:sz w:val="24"/>
          <w:szCs w:val="24"/>
          <w:lang w:val="es-CO"/>
        </w:rPr>
        <w:t>INFORME RESUMEN DE AUDITORÍA DE DATOS</w:t>
      </w:r>
    </w:p>
    <w:p w14:paraId="57E13660" w14:textId="77777777" w:rsidR="00F74740" w:rsidRPr="001B3F2A" w:rsidRDefault="00000000">
      <w:pPr>
        <w:jc w:val="center"/>
        <w:rPr>
          <w:rFonts w:ascii="Times New Roman" w:hAnsi="Times New Roman" w:cs="Times New Roman"/>
          <w:sz w:val="24"/>
          <w:szCs w:val="24"/>
        </w:rPr>
      </w:pPr>
      <w:r w:rsidRPr="001B3F2A">
        <w:rPr>
          <w:rFonts w:ascii="Times New Roman" w:hAnsi="Times New Roman" w:cs="Times New Roman"/>
          <w:b/>
          <w:sz w:val="24"/>
          <w:szCs w:val="24"/>
        </w:rPr>
        <w:t>ÍNDICE INTEGRAL DE RIESGO MUNICIPAL</w:t>
      </w:r>
    </w:p>
    <w:p w14:paraId="75EFD338" w14:textId="77777777" w:rsidR="00F74740" w:rsidRPr="001B3F2A" w:rsidRDefault="00F74740">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561"/>
        <w:gridCol w:w="4561"/>
      </w:tblGrid>
      <w:tr w:rsidR="00F74740" w:rsidRPr="001B3F2A" w14:paraId="15C6E4A4" w14:textId="77777777">
        <w:trPr>
          <w:jc w:val="center"/>
        </w:trPr>
        <w:tc>
          <w:tcPr>
            <w:tcW w:w="4561" w:type="dxa"/>
            <w:shd w:val="clear" w:color="auto" w:fill="17365D"/>
            <w:vAlign w:val="center"/>
          </w:tcPr>
          <w:p w14:paraId="0C86FD17"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b/>
                <w:sz w:val="24"/>
                <w:szCs w:val="24"/>
              </w:rPr>
              <w:t>Elemento</w:t>
            </w:r>
          </w:p>
        </w:tc>
        <w:tc>
          <w:tcPr>
            <w:tcW w:w="4561" w:type="dxa"/>
            <w:shd w:val="clear" w:color="auto" w:fill="17365D"/>
            <w:vAlign w:val="center"/>
          </w:tcPr>
          <w:p w14:paraId="31A804A4"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b/>
                <w:sz w:val="24"/>
                <w:szCs w:val="24"/>
              </w:rPr>
              <w:t>Información</w:t>
            </w:r>
          </w:p>
        </w:tc>
      </w:tr>
      <w:tr w:rsidR="00F74740" w:rsidRPr="001B3F2A" w14:paraId="002DB36A" w14:textId="77777777">
        <w:trPr>
          <w:jc w:val="center"/>
        </w:trPr>
        <w:tc>
          <w:tcPr>
            <w:tcW w:w="4561" w:type="dxa"/>
            <w:vAlign w:val="center"/>
          </w:tcPr>
          <w:p w14:paraId="0A3E31FC"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Asignatura</w:t>
            </w:r>
          </w:p>
        </w:tc>
        <w:tc>
          <w:tcPr>
            <w:tcW w:w="4561" w:type="dxa"/>
            <w:vAlign w:val="center"/>
          </w:tcPr>
          <w:p w14:paraId="0F105230"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Inteligencia de Negocios</w:t>
            </w:r>
          </w:p>
        </w:tc>
      </w:tr>
      <w:tr w:rsidR="00F74740" w:rsidRPr="001B3F2A" w14:paraId="707950CC" w14:textId="77777777">
        <w:trPr>
          <w:jc w:val="center"/>
        </w:trPr>
        <w:tc>
          <w:tcPr>
            <w:tcW w:w="4561" w:type="dxa"/>
            <w:shd w:val="clear" w:color="auto" w:fill="F3F6F9"/>
            <w:vAlign w:val="center"/>
          </w:tcPr>
          <w:p w14:paraId="744890EB"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Docente</w:t>
            </w:r>
          </w:p>
        </w:tc>
        <w:tc>
          <w:tcPr>
            <w:tcW w:w="4561" w:type="dxa"/>
            <w:shd w:val="clear" w:color="auto" w:fill="F3F6F9"/>
            <w:vAlign w:val="center"/>
          </w:tcPr>
          <w:p w14:paraId="1EEC760B"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Nasser Stefan de la Pava Roys</w:t>
            </w:r>
          </w:p>
        </w:tc>
      </w:tr>
      <w:tr w:rsidR="00F74740" w:rsidRPr="001B3F2A" w14:paraId="7B5EBD92" w14:textId="77777777">
        <w:trPr>
          <w:jc w:val="center"/>
        </w:trPr>
        <w:tc>
          <w:tcPr>
            <w:tcW w:w="4561" w:type="dxa"/>
            <w:vAlign w:val="center"/>
          </w:tcPr>
          <w:p w14:paraId="791D82EA"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Integrantes</w:t>
            </w:r>
            <w:proofErr w:type="spellEnd"/>
          </w:p>
        </w:tc>
        <w:tc>
          <w:tcPr>
            <w:tcW w:w="4561" w:type="dxa"/>
            <w:vAlign w:val="center"/>
          </w:tcPr>
          <w:p w14:paraId="7C343EEB" w14:textId="1F7259A8"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Luis Eduardo Reyes Fernandez</w:t>
            </w:r>
            <w:r w:rsidRPr="001B3F2A">
              <w:rPr>
                <w:rFonts w:ascii="Times New Roman" w:hAnsi="Times New Roman" w:cs="Times New Roman"/>
                <w:sz w:val="24"/>
                <w:szCs w:val="24"/>
                <w:lang w:val="es-CO"/>
              </w:rPr>
              <w:br/>
            </w:r>
            <w:r w:rsidR="006D2863" w:rsidRPr="001B3F2A">
              <w:rPr>
                <w:rFonts w:ascii="Times New Roman" w:hAnsi="Times New Roman" w:cs="Times New Roman"/>
                <w:sz w:val="24"/>
                <w:szCs w:val="24"/>
                <w:lang w:val="es-CO"/>
              </w:rPr>
              <w:t>Víctor</w:t>
            </w:r>
            <w:r w:rsidRPr="001B3F2A">
              <w:rPr>
                <w:rFonts w:ascii="Times New Roman" w:hAnsi="Times New Roman" w:cs="Times New Roman"/>
                <w:sz w:val="24"/>
                <w:szCs w:val="24"/>
                <w:lang w:val="es-CO"/>
              </w:rPr>
              <w:t xml:space="preserve"> Romero Velasquez</w:t>
            </w:r>
            <w:r w:rsidRPr="001B3F2A">
              <w:rPr>
                <w:rFonts w:ascii="Times New Roman" w:hAnsi="Times New Roman" w:cs="Times New Roman"/>
                <w:sz w:val="24"/>
                <w:szCs w:val="24"/>
                <w:lang w:val="es-CO"/>
              </w:rPr>
              <w:br/>
              <w:t xml:space="preserve">Ayda Johanna </w:t>
            </w:r>
            <w:r w:rsidR="006D2863" w:rsidRPr="001B3F2A">
              <w:rPr>
                <w:rFonts w:ascii="Times New Roman" w:hAnsi="Times New Roman" w:cs="Times New Roman"/>
                <w:sz w:val="24"/>
                <w:szCs w:val="24"/>
                <w:lang w:val="es-CO"/>
              </w:rPr>
              <w:t>Bermúdez</w:t>
            </w:r>
            <w:r w:rsidRPr="001B3F2A">
              <w:rPr>
                <w:rFonts w:ascii="Times New Roman" w:hAnsi="Times New Roman" w:cs="Times New Roman"/>
                <w:sz w:val="24"/>
                <w:szCs w:val="24"/>
                <w:lang w:val="es-CO"/>
              </w:rPr>
              <w:t xml:space="preserve"> </w:t>
            </w:r>
            <w:r w:rsidR="006D2863" w:rsidRPr="001B3F2A">
              <w:rPr>
                <w:rFonts w:ascii="Times New Roman" w:hAnsi="Times New Roman" w:cs="Times New Roman"/>
                <w:sz w:val="24"/>
                <w:szCs w:val="24"/>
                <w:lang w:val="es-CO"/>
              </w:rPr>
              <w:t>León</w:t>
            </w:r>
            <w:r w:rsidRPr="001B3F2A">
              <w:rPr>
                <w:rFonts w:ascii="Times New Roman" w:hAnsi="Times New Roman" w:cs="Times New Roman"/>
                <w:sz w:val="24"/>
                <w:szCs w:val="24"/>
                <w:lang w:val="es-CO"/>
              </w:rPr>
              <w:br/>
              <w:t xml:space="preserve">Katherinne Stella Castaneda </w:t>
            </w:r>
            <w:r w:rsidR="006D2863" w:rsidRPr="001B3F2A">
              <w:rPr>
                <w:rFonts w:ascii="Times New Roman" w:hAnsi="Times New Roman" w:cs="Times New Roman"/>
                <w:sz w:val="24"/>
                <w:szCs w:val="24"/>
                <w:lang w:val="es-CO"/>
              </w:rPr>
              <w:t>Rodríguez</w:t>
            </w:r>
          </w:p>
        </w:tc>
      </w:tr>
      <w:tr w:rsidR="00F74740" w:rsidRPr="001B3F2A" w14:paraId="5594114E" w14:textId="77777777">
        <w:trPr>
          <w:jc w:val="center"/>
        </w:trPr>
        <w:tc>
          <w:tcPr>
            <w:tcW w:w="4561" w:type="dxa"/>
            <w:shd w:val="clear" w:color="auto" w:fill="F3F6F9"/>
            <w:vAlign w:val="center"/>
          </w:tcPr>
          <w:p w14:paraId="7C9B8225"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Fecha</w:t>
            </w:r>
            <w:proofErr w:type="spellEnd"/>
          </w:p>
        </w:tc>
        <w:tc>
          <w:tcPr>
            <w:tcW w:w="4561" w:type="dxa"/>
            <w:shd w:val="clear" w:color="auto" w:fill="F3F6F9"/>
            <w:vAlign w:val="center"/>
          </w:tcPr>
          <w:p w14:paraId="74DCCC3C" w14:textId="16126CF0"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w:t>
            </w:r>
            <w:r w:rsidR="00460B2F" w:rsidRPr="001B3F2A">
              <w:rPr>
                <w:rFonts w:ascii="Times New Roman" w:hAnsi="Times New Roman" w:cs="Times New Roman"/>
                <w:sz w:val="24"/>
                <w:szCs w:val="24"/>
              </w:rPr>
              <w:t>10-09-2026</w:t>
            </w:r>
            <w:r w:rsidRPr="001B3F2A">
              <w:rPr>
                <w:rFonts w:ascii="Times New Roman" w:hAnsi="Times New Roman" w:cs="Times New Roman"/>
                <w:sz w:val="24"/>
                <w:szCs w:val="24"/>
              </w:rPr>
              <w:t>]</w:t>
            </w:r>
          </w:p>
        </w:tc>
      </w:tr>
    </w:tbl>
    <w:p w14:paraId="2C68D2C0" w14:textId="77777777" w:rsidR="00F74740" w:rsidRPr="001B3F2A" w:rsidRDefault="00F74740">
      <w:pPr>
        <w:rPr>
          <w:rFonts w:ascii="Times New Roman" w:hAnsi="Times New Roman" w:cs="Times New Roman"/>
          <w:sz w:val="24"/>
          <w:szCs w:val="24"/>
        </w:rPr>
      </w:pPr>
    </w:p>
    <w:p w14:paraId="4C69DB6D" w14:textId="77777777" w:rsidR="00F74740" w:rsidRPr="001B3F2A" w:rsidRDefault="00000000">
      <w:pPr>
        <w:spacing w:before="600"/>
        <w:jc w:val="center"/>
        <w:rPr>
          <w:rFonts w:ascii="Times New Roman" w:hAnsi="Times New Roman" w:cs="Times New Roman"/>
          <w:sz w:val="24"/>
          <w:szCs w:val="24"/>
          <w:lang w:val="es-CO"/>
        </w:rPr>
      </w:pPr>
      <w:r w:rsidRPr="001B3F2A">
        <w:rPr>
          <w:rFonts w:ascii="Times New Roman" w:hAnsi="Times New Roman" w:cs="Times New Roman"/>
          <w:sz w:val="24"/>
          <w:szCs w:val="24"/>
          <w:lang w:val="es-CO"/>
        </w:rPr>
        <w:t>Bogotá D.C., Colombia</w:t>
      </w:r>
    </w:p>
    <w:p w14:paraId="1413CFF9"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br w:type="page"/>
      </w:r>
    </w:p>
    <w:p w14:paraId="571E4219" w14:textId="23836F36" w:rsidR="00F74740" w:rsidRDefault="00000000" w:rsidP="001B3F2A">
      <w:pPr>
        <w:pStyle w:val="Heading1"/>
        <w:numPr>
          <w:ilvl w:val="0"/>
          <w:numId w:val="10"/>
        </w:numPr>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lastRenderedPageBreak/>
        <w:t>Introducción</w:t>
      </w:r>
    </w:p>
    <w:p w14:paraId="4EBF7F4C" w14:textId="77777777" w:rsidR="001B3F2A" w:rsidRPr="001B3F2A" w:rsidRDefault="001B3F2A" w:rsidP="001B3F2A">
      <w:pPr>
        <w:rPr>
          <w:lang w:val="es-CO"/>
        </w:rPr>
      </w:pPr>
    </w:p>
    <w:p w14:paraId="3EDA8D3A" w14:textId="77777777" w:rsidR="00F74740" w:rsidRPr="001B3F2A" w:rsidRDefault="00000000" w:rsidP="001B3F2A">
      <w:pPr>
        <w:ind w:firstLine="360"/>
        <w:rPr>
          <w:rFonts w:ascii="Times New Roman" w:hAnsi="Times New Roman" w:cs="Times New Roman"/>
          <w:sz w:val="24"/>
          <w:szCs w:val="24"/>
          <w:lang w:val="es-CO"/>
        </w:rPr>
      </w:pPr>
      <w:r w:rsidRPr="001B3F2A">
        <w:rPr>
          <w:rFonts w:ascii="Times New Roman" w:hAnsi="Times New Roman" w:cs="Times New Roman"/>
          <w:sz w:val="24"/>
          <w:szCs w:val="24"/>
          <w:lang w:val="es-CO"/>
        </w:rPr>
        <w:t>El presente informe resume los resultados de la auditoría de calidad realizada sobre seis fuentes de datos que constituyen los insumos iniciales para la construcción del Índice Integral de Riesgo Municipal. La auditoría tuvo como propósito evaluar las condiciones de calidad de las fuentes, identificar hallazgos que puedan afectar su integración y establecer los principales tratamientos requeridos antes de utilizarlas en el modelo analítico.</w:t>
      </w:r>
    </w:p>
    <w:p w14:paraId="6168C33C" w14:textId="77777777" w:rsidR="00F74740" w:rsidRPr="001B3F2A"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2. Objetivos</w:t>
      </w:r>
    </w:p>
    <w:p w14:paraId="0B16B47C" w14:textId="77777777" w:rsidR="00F74740" w:rsidRDefault="00000000">
      <w:pPr>
        <w:pStyle w:val="Heading2"/>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2.1 Objetivo general</w:t>
      </w:r>
    </w:p>
    <w:p w14:paraId="42E39595" w14:textId="77777777" w:rsidR="001B3F2A" w:rsidRPr="001B3F2A" w:rsidRDefault="001B3F2A" w:rsidP="001B3F2A">
      <w:pPr>
        <w:rPr>
          <w:lang w:val="es-CO"/>
        </w:rPr>
      </w:pPr>
    </w:p>
    <w:p w14:paraId="0116AACE" w14:textId="77777777" w:rsidR="00F74740" w:rsidRPr="001B3F2A" w:rsidRDefault="00000000" w:rsidP="001B3F2A">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Evaluar la calidad y aptitud de las seis fuentes de datos para su utilización como insumo en la construcción del Índice Integral de Riesgo Municipal, identificando los principales hallazgos y tratamientos requeridos.</w:t>
      </w:r>
    </w:p>
    <w:p w14:paraId="5DA34553" w14:textId="77777777" w:rsidR="00F74740" w:rsidRDefault="00000000">
      <w:pPr>
        <w:pStyle w:val="Heading2"/>
        <w:rPr>
          <w:rFonts w:ascii="Times New Roman" w:hAnsi="Times New Roman" w:cs="Times New Roman"/>
          <w:color w:val="auto"/>
          <w:sz w:val="24"/>
          <w:szCs w:val="24"/>
        </w:rPr>
      </w:pPr>
      <w:r w:rsidRPr="001B3F2A">
        <w:rPr>
          <w:rFonts w:ascii="Times New Roman" w:hAnsi="Times New Roman" w:cs="Times New Roman"/>
          <w:color w:val="auto"/>
          <w:sz w:val="24"/>
          <w:szCs w:val="24"/>
        </w:rPr>
        <w:t xml:space="preserve">2.2 </w:t>
      </w:r>
      <w:proofErr w:type="spellStart"/>
      <w:r w:rsidRPr="001B3F2A">
        <w:rPr>
          <w:rFonts w:ascii="Times New Roman" w:hAnsi="Times New Roman" w:cs="Times New Roman"/>
          <w:color w:val="auto"/>
          <w:sz w:val="24"/>
          <w:szCs w:val="24"/>
        </w:rPr>
        <w:t>Objetivos</w:t>
      </w:r>
      <w:proofErr w:type="spellEnd"/>
      <w:r w:rsidRPr="001B3F2A">
        <w:rPr>
          <w:rFonts w:ascii="Times New Roman" w:hAnsi="Times New Roman" w:cs="Times New Roman"/>
          <w:color w:val="auto"/>
          <w:sz w:val="24"/>
          <w:szCs w:val="24"/>
        </w:rPr>
        <w:t xml:space="preserve"> </w:t>
      </w:r>
      <w:proofErr w:type="spellStart"/>
      <w:r w:rsidRPr="001B3F2A">
        <w:rPr>
          <w:rFonts w:ascii="Times New Roman" w:hAnsi="Times New Roman" w:cs="Times New Roman"/>
          <w:color w:val="auto"/>
          <w:sz w:val="24"/>
          <w:szCs w:val="24"/>
        </w:rPr>
        <w:t>específicos</w:t>
      </w:r>
      <w:proofErr w:type="spellEnd"/>
    </w:p>
    <w:p w14:paraId="26945EB9" w14:textId="77777777" w:rsidR="00BB6D52" w:rsidRPr="00BB6D52" w:rsidRDefault="00BB6D52" w:rsidP="00BB6D52"/>
    <w:p w14:paraId="5BA76C99" w14:textId="77777777" w:rsidR="00F74740" w:rsidRPr="001B3F2A" w:rsidRDefault="00000000">
      <w:pPr>
        <w:pStyle w:val="ListBullet"/>
        <w:rPr>
          <w:rFonts w:ascii="Times New Roman" w:hAnsi="Times New Roman" w:cs="Times New Roman"/>
          <w:sz w:val="24"/>
          <w:szCs w:val="24"/>
          <w:lang w:val="es-CO"/>
        </w:rPr>
      </w:pPr>
      <w:r w:rsidRPr="001B3F2A">
        <w:rPr>
          <w:rFonts w:ascii="Times New Roman" w:hAnsi="Times New Roman" w:cs="Times New Roman"/>
          <w:sz w:val="24"/>
          <w:szCs w:val="24"/>
          <w:lang w:val="es-CO"/>
        </w:rPr>
        <w:t>Caracterizar las fuentes de información utilizadas en el proyecto.</w:t>
      </w:r>
    </w:p>
    <w:p w14:paraId="40FE2105" w14:textId="77777777" w:rsidR="00F74740" w:rsidRPr="001B3F2A" w:rsidRDefault="00000000">
      <w:pPr>
        <w:pStyle w:val="ListBullet"/>
        <w:rPr>
          <w:rFonts w:ascii="Times New Roman" w:hAnsi="Times New Roman" w:cs="Times New Roman"/>
          <w:sz w:val="24"/>
          <w:szCs w:val="24"/>
          <w:lang w:val="es-CO"/>
        </w:rPr>
      </w:pPr>
      <w:r w:rsidRPr="001B3F2A">
        <w:rPr>
          <w:rFonts w:ascii="Times New Roman" w:hAnsi="Times New Roman" w:cs="Times New Roman"/>
          <w:sz w:val="24"/>
          <w:szCs w:val="24"/>
          <w:lang w:val="es-CO"/>
        </w:rPr>
        <w:t>Evaluar las dimensiones de completitud, exactitud, validez, consistencia, unicidad y oportunidad.</w:t>
      </w:r>
    </w:p>
    <w:p w14:paraId="704584D2" w14:textId="77777777" w:rsidR="00F74740" w:rsidRPr="001B3F2A" w:rsidRDefault="00000000">
      <w:pPr>
        <w:pStyle w:val="ListBullet"/>
        <w:rPr>
          <w:rFonts w:ascii="Times New Roman" w:hAnsi="Times New Roman" w:cs="Times New Roman"/>
          <w:sz w:val="24"/>
          <w:szCs w:val="24"/>
          <w:lang w:val="es-CO"/>
        </w:rPr>
      </w:pPr>
      <w:r w:rsidRPr="001B3F2A">
        <w:rPr>
          <w:rFonts w:ascii="Times New Roman" w:hAnsi="Times New Roman" w:cs="Times New Roman"/>
          <w:sz w:val="24"/>
          <w:szCs w:val="24"/>
          <w:lang w:val="es-CO"/>
        </w:rPr>
        <w:t>Identificar diferencias territoriales, valores faltantes, duplicados y limitaciones temporales.</w:t>
      </w:r>
    </w:p>
    <w:p w14:paraId="36055B7C" w14:textId="77777777" w:rsidR="00F74740" w:rsidRPr="001B3F2A" w:rsidRDefault="00000000">
      <w:pPr>
        <w:pStyle w:val="ListBullet"/>
        <w:rPr>
          <w:rFonts w:ascii="Times New Roman" w:hAnsi="Times New Roman" w:cs="Times New Roman"/>
          <w:sz w:val="24"/>
          <w:szCs w:val="24"/>
          <w:lang w:val="es-CO"/>
        </w:rPr>
      </w:pPr>
      <w:r w:rsidRPr="001B3F2A">
        <w:rPr>
          <w:rFonts w:ascii="Times New Roman" w:hAnsi="Times New Roman" w:cs="Times New Roman"/>
          <w:sz w:val="24"/>
          <w:szCs w:val="24"/>
          <w:lang w:val="es-CO"/>
        </w:rPr>
        <w:t>Proponer acciones de tratamiento y control de calidad antes de la integración de las fuentes.</w:t>
      </w:r>
    </w:p>
    <w:p w14:paraId="06936CCE" w14:textId="37D3EFDA" w:rsidR="00F74740" w:rsidRDefault="00000000" w:rsidP="00BB6D52">
      <w:pPr>
        <w:pStyle w:val="Heading1"/>
        <w:numPr>
          <w:ilvl w:val="0"/>
          <w:numId w:val="10"/>
        </w:numPr>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Fuentes de información</w:t>
      </w:r>
    </w:p>
    <w:p w14:paraId="72656B57" w14:textId="77777777" w:rsidR="00BB6D52" w:rsidRPr="00BB6D52" w:rsidRDefault="00BB6D52" w:rsidP="00BB6D52">
      <w:pPr>
        <w:pStyle w:val="ListParagraph"/>
        <w:rPr>
          <w:lang w:val="es-CO"/>
        </w:rPr>
      </w:pPr>
    </w:p>
    <w:p w14:paraId="60C1DC9F"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La auditoría comprendió seis fuentes públicas e institucionales relacionadas con seguridad, territorio y cultivos de coca. La periodicidad de cada fuente se consideró de acuerdo con su naturaleza.</w:t>
      </w:r>
    </w:p>
    <w:tbl>
      <w:tblPr>
        <w:tblStyle w:val="TableGrid"/>
        <w:tblW w:w="0" w:type="auto"/>
        <w:jc w:val="center"/>
        <w:tblLook w:val="04A0" w:firstRow="1" w:lastRow="0" w:firstColumn="1" w:lastColumn="0" w:noHBand="0" w:noVBand="1"/>
      </w:tblPr>
      <w:tblGrid>
        <w:gridCol w:w="2280"/>
        <w:gridCol w:w="2280"/>
        <w:gridCol w:w="2280"/>
        <w:gridCol w:w="2280"/>
      </w:tblGrid>
      <w:tr w:rsidR="00E4255B" w:rsidRPr="001B3F2A" w14:paraId="52F6A032" w14:textId="77777777" w:rsidTr="004C448F">
        <w:trPr>
          <w:jc w:val="center"/>
        </w:trPr>
        <w:tc>
          <w:tcPr>
            <w:tcW w:w="2280" w:type="dxa"/>
            <w:shd w:val="clear" w:color="auto" w:fill="17365D"/>
            <w:vAlign w:val="center"/>
          </w:tcPr>
          <w:p w14:paraId="0839AC09" w14:textId="77777777" w:rsidR="00E4255B" w:rsidRPr="001B3F2A" w:rsidRDefault="00E4255B" w:rsidP="00E4255B">
            <w:pPr>
              <w:rPr>
                <w:rFonts w:ascii="Times New Roman" w:hAnsi="Times New Roman" w:cs="Times New Roman"/>
                <w:sz w:val="24"/>
                <w:szCs w:val="24"/>
              </w:rPr>
            </w:pPr>
            <w:r w:rsidRPr="001B3F2A">
              <w:rPr>
                <w:rFonts w:ascii="Times New Roman" w:hAnsi="Times New Roman" w:cs="Times New Roman"/>
                <w:b/>
                <w:sz w:val="24"/>
                <w:szCs w:val="24"/>
              </w:rPr>
              <w:t>Fuente</w:t>
            </w:r>
          </w:p>
        </w:tc>
        <w:tc>
          <w:tcPr>
            <w:tcW w:w="2280" w:type="dxa"/>
            <w:shd w:val="clear" w:color="auto" w:fill="17365D"/>
          </w:tcPr>
          <w:p w14:paraId="27899ACE" w14:textId="39D93DE5" w:rsidR="00E4255B" w:rsidRPr="001B3F2A" w:rsidRDefault="00E4255B" w:rsidP="00E4255B">
            <w:pPr>
              <w:rPr>
                <w:rFonts w:ascii="Times New Roman" w:hAnsi="Times New Roman" w:cs="Times New Roman"/>
                <w:sz w:val="24"/>
                <w:szCs w:val="24"/>
              </w:rPr>
            </w:pPr>
            <w:r w:rsidRPr="00F03224">
              <w:rPr>
                <w:rFonts w:ascii="Times New Roman" w:hAnsi="Times New Roman" w:cs="Times New Roman"/>
                <w:sz w:val="24"/>
                <w:szCs w:val="24"/>
                <w:lang w:val="es-CO"/>
              </w:rPr>
              <w:t xml:space="preserve">Datos Abiertos Colombia. </w:t>
            </w:r>
          </w:p>
        </w:tc>
        <w:tc>
          <w:tcPr>
            <w:tcW w:w="2280" w:type="dxa"/>
            <w:shd w:val="clear" w:color="auto" w:fill="17365D"/>
            <w:vAlign w:val="center"/>
          </w:tcPr>
          <w:p w14:paraId="650499E4" w14:textId="77777777" w:rsidR="00E4255B" w:rsidRPr="001B3F2A" w:rsidRDefault="00E4255B" w:rsidP="00E4255B">
            <w:pPr>
              <w:rPr>
                <w:rFonts w:ascii="Times New Roman" w:hAnsi="Times New Roman" w:cs="Times New Roman"/>
                <w:sz w:val="24"/>
                <w:szCs w:val="24"/>
              </w:rPr>
            </w:pPr>
            <w:r w:rsidRPr="001B3F2A">
              <w:rPr>
                <w:rFonts w:ascii="Times New Roman" w:hAnsi="Times New Roman" w:cs="Times New Roman"/>
                <w:b/>
                <w:sz w:val="24"/>
                <w:szCs w:val="24"/>
              </w:rPr>
              <w:t>Periodo</w:t>
            </w:r>
          </w:p>
        </w:tc>
        <w:tc>
          <w:tcPr>
            <w:tcW w:w="2280" w:type="dxa"/>
            <w:shd w:val="clear" w:color="auto" w:fill="17365D"/>
            <w:vAlign w:val="center"/>
          </w:tcPr>
          <w:p w14:paraId="7C909D7C" w14:textId="77777777" w:rsidR="00E4255B" w:rsidRPr="001B3F2A" w:rsidRDefault="00E4255B" w:rsidP="00E4255B">
            <w:pPr>
              <w:rPr>
                <w:rFonts w:ascii="Times New Roman" w:hAnsi="Times New Roman" w:cs="Times New Roman"/>
                <w:sz w:val="24"/>
                <w:szCs w:val="24"/>
              </w:rPr>
            </w:pPr>
            <w:r w:rsidRPr="001B3F2A">
              <w:rPr>
                <w:rFonts w:ascii="Times New Roman" w:hAnsi="Times New Roman" w:cs="Times New Roman"/>
                <w:b/>
                <w:sz w:val="24"/>
                <w:szCs w:val="24"/>
              </w:rPr>
              <w:t>Periodicidad</w:t>
            </w:r>
          </w:p>
        </w:tc>
      </w:tr>
      <w:tr w:rsidR="00E4255B" w:rsidRPr="001B3F2A" w14:paraId="78671930" w14:textId="77777777" w:rsidTr="004C448F">
        <w:trPr>
          <w:jc w:val="center"/>
        </w:trPr>
        <w:tc>
          <w:tcPr>
            <w:tcW w:w="2280" w:type="dxa"/>
            <w:vAlign w:val="center"/>
          </w:tcPr>
          <w:p w14:paraId="5A6C8BA2" w14:textId="77777777" w:rsidR="00E4255B" w:rsidRPr="001B3F2A" w:rsidRDefault="00E4255B" w:rsidP="00E4255B">
            <w:pPr>
              <w:rPr>
                <w:rFonts w:ascii="Times New Roman" w:hAnsi="Times New Roman" w:cs="Times New Roman"/>
                <w:sz w:val="24"/>
                <w:szCs w:val="24"/>
              </w:rPr>
            </w:pPr>
            <w:r w:rsidRPr="001B3F2A">
              <w:rPr>
                <w:rFonts w:ascii="Times New Roman" w:hAnsi="Times New Roman" w:cs="Times New Roman"/>
                <w:sz w:val="24"/>
                <w:szCs w:val="24"/>
              </w:rPr>
              <w:t>Homicidios</w:t>
            </w:r>
          </w:p>
        </w:tc>
        <w:tc>
          <w:tcPr>
            <w:tcW w:w="2280" w:type="dxa"/>
          </w:tcPr>
          <w:p w14:paraId="1135AE28" w14:textId="49132C46" w:rsidR="00E4255B" w:rsidRPr="001B3F2A" w:rsidRDefault="00E4255B" w:rsidP="00E4255B">
            <w:pPr>
              <w:rPr>
                <w:rFonts w:ascii="Times New Roman" w:hAnsi="Times New Roman" w:cs="Times New Roman"/>
                <w:sz w:val="24"/>
                <w:szCs w:val="24"/>
              </w:rPr>
            </w:pPr>
            <w:r w:rsidRPr="00F03224">
              <w:rPr>
                <w:rFonts w:ascii="Times New Roman" w:hAnsi="Times New Roman" w:cs="Times New Roman"/>
                <w:sz w:val="24"/>
                <w:szCs w:val="24"/>
                <w:lang w:val="es-CO"/>
              </w:rPr>
              <w:t xml:space="preserve">Datos Abiertos Colombia. </w:t>
            </w:r>
          </w:p>
        </w:tc>
        <w:tc>
          <w:tcPr>
            <w:tcW w:w="2280" w:type="dxa"/>
            <w:vAlign w:val="center"/>
          </w:tcPr>
          <w:p w14:paraId="5366E203" w14:textId="77777777" w:rsidR="00E4255B" w:rsidRPr="001B3F2A" w:rsidRDefault="00E4255B" w:rsidP="00E4255B">
            <w:pPr>
              <w:rPr>
                <w:rFonts w:ascii="Times New Roman" w:hAnsi="Times New Roman" w:cs="Times New Roman"/>
                <w:sz w:val="24"/>
                <w:szCs w:val="24"/>
              </w:rPr>
            </w:pPr>
            <w:r w:rsidRPr="001B3F2A">
              <w:rPr>
                <w:rFonts w:ascii="Times New Roman" w:hAnsi="Times New Roman" w:cs="Times New Roman"/>
                <w:sz w:val="24"/>
                <w:szCs w:val="24"/>
              </w:rPr>
              <w:t>2019–2025</w:t>
            </w:r>
          </w:p>
        </w:tc>
        <w:tc>
          <w:tcPr>
            <w:tcW w:w="2280" w:type="dxa"/>
            <w:vAlign w:val="center"/>
          </w:tcPr>
          <w:p w14:paraId="2CF970BF" w14:textId="77777777" w:rsidR="00E4255B" w:rsidRPr="001B3F2A" w:rsidRDefault="00E4255B" w:rsidP="00E4255B">
            <w:pPr>
              <w:rPr>
                <w:rFonts w:ascii="Times New Roman" w:hAnsi="Times New Roman" w:cs="Times New Roman"/>
                <w:sz w:val="24"/>
                <w:szCs w:val="24"/>
              </w:rPr>
            </w:pPr>
            <w:r w:rsidRPr="001B3F2A">
              <w:rPr>
                <w:rFonts w:ascii="Times New Roman" w:hAnsi="Times New Roman" w:cs="Times New Roman"/>
                <w:sz w:val="24"/>
                <w:szCs w:val="24"/>
              </w:rPr>
              <w:t>Mensual</w:t>
            </w:r>
          </w:p>
        </w:tc>
      </w:tr>
      <w:tr w:rsidR="00F74740" w:rsidRPr="001B3F2A" w14:paraId="5113C9B9" w14:textId="77777777">
        <w:trPr>
          <w:jc w:val="center"/>
        </w:trPr>
        <w:tc>
          <w:tcPr>
            <w:tcW w:w="2280" w:type="dxa"/>
            <w:shd w:val="clear" w:color="auto" w:fill="F3F6F9"/>
            <w:vAlign w:val="center"/>
          </w:tcPr>
          <w:p w14:paraId="263E436B"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Secuestros</w:t>
            </w:r>
            <w:proofErr w:type="spellEnd"/>
          </w:p>
        </w:tc>
        <w:tc>
          <w:tcPr>
            <w:tcW w:w="2280" w:type="dxa"/>
            <w:shd w:val="clear" w:color="auto" w:fill="F3F6F9"/>
            <w:vAlign w:val="center"/>
          </w:tcPr>
          <w:p w14:paraId="3DAD38D0" w14:textId="601ADD54" w:rsidR="00F74740" w:rsidRPr="001B3F2A" w:rsidRDefault="00E4255B">
            <w:pPr>
              <w:rPr>
                <w:rFonts w:ascii="Times New Roman" w:hAnsi="Times New Roman" w:cs="Times New Roman"/>
                <w:sz w:val="24"/>
                <w:szCs w:val="24"/>
              </w:rPr>
            </w:pPr>
            <w:r w:rsidRPr="001B3F2A">
              <w:rPr>
                <w:rFonts w:ascii="Times New Roman" w:hAnsi="Times New Roman" w:cs="Times New Roman"/>
                <w:sz w:val="24"/>
                <w:szCs w:val="24"/>
                <w:lang w:val="es-CO"/>
              </w:rPr>
              <w:t>Datos Abiertos Colombia.</w:t>
            </w:r>
          </w:p>
        </w:tc>
        <w:tc>
          <w:tcPr>
            <w:tcW w:w="2280" w:type="dxa"/>
            <w:shd w:val="clear" w:color="auto" w:fill="F3F6F9"/>
            <w:vAlign w:val="center"/>
          </w:tcPr>
          <w:p w14:paraId="39694E57"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2019–2025</w:t>
            </w:r>
          </w:p>
        </w:tc>
        <w:tc>
          <w:tcPr>
            <w:tcW w:w="2280" w:type="dxa"/>
            <w:shd w:val="clear" w:color="auto" w:fill="F3F6F9"/>
            <w:vAlign w:val="center"/>
          </w:tcPr>
          <w:p w14:paraId="17EF4416"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Mensual</w:t>
            </w:r>
          </w:p>
        </w:tc>
      </w:tr>
      <w:tr w:rsidR="00F74740" w:rsidRPr="001B3F2A" w14:paraId="3325AE18" w14:textId="77777777">
        <w:trPr>
          <w:jc w:val="center"/>
        </w:trPr>
        <w:tc>
          <w:tcPr>
            <w:tcW w:w="2280" w:type="dxa"/>
            <w:vAlign w:val="center"/>
          </w:tcPr>
          <w:p w14:paraId="7F2E8DDA"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Extorsión</w:t>
            </w:r>
            <w:proofErr w:type="spellEnd"/>
          </w:p>
        </w:tc>
        <w:tc>
          <w:tcPr>
            <w:tcW w:w="2280" w:type="dxa"/>
            <w:vAlign w:val="center"/>
          </w:tcPr>
          <w:p w14:paraId="3804E79F" w14:textId="693572D6" w:rsidR="00F74740" w:rsidRPr="001B3F2A" w:rsidRDefault="00E4255B">
            <w:pPr>
              <w:rPr>
                <w:rFonts w:ascii="Times New Roman" w:hAnsi="Times New Roman" w:cs="Times New Roman"/>
                <w:sz w:val="24"/>
                <w:szCs w:val="24"/>
              </w:rPr>
            </w:pPr>
            <w:r w:rsidRPr="001B3F2A">
              <w:rPr>
                <w:rFonts w:ascii="Times New Roman" w:hAnsi="Times New Roman" w:cs="Times New Roman"/>
                <w:sz w:val="24"/>
                <w:szCs w:val="24"/>
                <w:lang w:val="es-CO"/>
              </w:rPr>
              <w:t>Datos Abiertos Colombia.</w:t>
            </w:r>
          </w:p>
        </w:tc>
        <w:tc>
          <w:tcPr>
            <w:tcW w:w="2280" w:type="dxa"/>
            <w:vAlign w:val="center"/>
          </w:tcPr>
          <w:p w14:paraId="2F368951"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2019–2025</w:t>
            </w:r>
          </w:p>
        </w:tc>
        <w:tc>
          <w:tcPr>
            <w:tcW w:w="2280" w:type="dxa"/>
            <w:vAlign w:val="center"/>
          </w:tcPr>
          <w:p w14:paraId="5A3EB800"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Mensual</w:t>
            </w:r>
          </w:p>
        </w:tc>
      </w:tr>
      <w:tr w:rsidR="00F74740" w:rsidRPr="001B3F2A" w14:paraId="39046BBA" w14:textId="77777777">
        <w:trPr>
          <w:jc w:val="center"/>
        </w:trPr>
        <w:tc>
          <w:tcPr>
            <w:tcW w:w="2280" w:type="dxa"/>
            <w:shd w:val="clear" w:color="auto" w:fill="F3F6F9"/>
            <w:vAlign w:val="center"/>
          </w:tcPr>
          <w:p w14:paraId="47949D3E"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lastRenderedPageBreak/>
              <w:t>Actos terroristas</w:t>
            </w:r>
          </w:p>
        </w:tc>
        <w:tc>
          <w:tcPr>
            <w:tcW w:w="2280" w:type="dxa"/>
            <w:shd w:val="clear" w:color="auto" w:fill="F3F6F9"/>
            <w:vAlign w:val="center"/>
          </w:tcPr>
          <w:p w14:paraId="2B613B27" w14:textId="612A67D6" w:rsidR="00F74740" w:rsidRPr="001B3F2A" w:rsidRDefault="00E4255B">
            <w:pPr>
              <w:rPr>
                <w:rFonts w:ascii="Times New Roman" w:hAnsi="Times New Roman" w:cs="Times New Roman"/>
                <w:sz w:val="24"/>
                <w:szCs w:val="24"/>
              </w:rPr>
            </w:pPr>
            <w:r w:rsidRPr="001B3F2A">
              <w:rPr>
                <w:rFonts w:ascii="Times New Roman" w:hAnsi="Times New Roman" w:cs="Times New Roman"/>
                <w:sz w:val="24"/>
                <w:szCs w:val="24"/>
                <w:lang w:val="es-CO"/>
              </w:rPr>
              <w:t>Datos Abiertos Colombia.</w:t>
            </w:r>
          </w:p>
        </w:tc>
        <w:tc>
          <w:tcPr>
            <w:tcW w:w="2280" w:type="dxa"/>
            <w:shd w:val="clear" w:color="auto" w:fill="F3F6F9"/>
            <w:vAlign w:val="center"/>
          </w:tcPr>
          <w:p w14:paraId="4C2702A9"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2019–2025</w:t>
            </w:r>
          </w:p>
        </w:tc>
        <w:tc>
          <w:tcPr>
            <w:tcW w:w="2280" w:type="dxa"/>
            <w:shd w:val="clear" w:color="auto" w:fill="F3F6F9"/>
            <w:vAlign w:val="center"/>
          </w:tcPr>
          <w:p w14:paraId="0F9DEFC7"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Mensual</w:t>
            </w:r>
          </w:p>
        </w:tc>
      </w:tr>
      <w:tr w:rsidR="00F74740" w:rsidRPr="001B3F2A" w14:paraId="1C15C280" w14:textId="77777777">
        <w:trPr>
          <w:jc w:val="center"/>
        </w:trPr>
        <w:tc>
          <w:tcPr>
            <w:tcW w:w="2280" w:type="dxa"/>
            <w:vAlign w:val="center"/>
          </w:tcPr>
          <w:p w14:paraId="79A58E84"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Cultivos de hoja de coca</w:t>
            </w:r>
          </w:p>
        </w:tc>
        <w:tc>
          <w:tcPr>
            <w:tcW w:w="2280" w:type="dxa"/>
            <w:vAlign w:val="center"/>
          </w:tcPr>
          <w:p w14:paraId="5F5956E3" w14:textId="1910A842" w:rsidR="00F74740" w:rsidRPr="001B3F2A" w:rsidRDefault="00E4255B">
            <w:pPr>
              <w:rPr>
                <w:rFonts w:ascii="Times New Roman" w:hAnsi="Times New Roman" w:cs="Times New Roman"/>
                <w:sz w:val="24"/>
                <w:szCs w:val="24"/>
              </w:rPr>
            </w:pPr>
            <w:r w:rsidRPr="001B3F2A">
              <w:rPr>
                <w:rFonts w:ascii="Times New Roman" w:hAnsi="Times New Roman" w:cs="Times New Roman"/>
                <w:sz w:val="24"/>
                <w:szCs w:val="24"/>
                <w:lang w:val="es-CO"/>
              </w:rPr>
              <w:t>Datos Abiertos Colombia.</w:t>
            </w:r>
          </w:p>
        </w:tc>
        <w:tc>
          <w:tcPr>
            <w:tcW w:w="2280" w:type="dxa"/>
            <w:vAlign w:val="center"/>
          </w:tcPr>
          <w:p w14:paraId="016722E7"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2019–2025</w:t>
            </w:r>
          </w:p>
        </w:tc>
        <w:tc>
          <w:tcPr>
            <w:tcW w:w="2280" w:type="dxa"/>
            <w:vAlign w:val="center"/>
          </w:tcPr>
          <w:p w14:paraId="6CB2A2A0"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Anual</w:t>
            </w:r>
          </w:p>
        </w:tc>
      </w:tr>
      <w:tr w:rsidR="00F74740" w:rsidRPr="001B3F2A" w14:paraId="3EE7693B" w14:textId="77777777">
        <w:trPr>
          <w:jc w:val="center"/>
        </w:trPr>
        <w:tc>
          <w:tcPr>
            <w:tcW w:w="2280" w:type="dxa"/>
            <w:shd w:val="clear" w:color="auto" w:fill="F3F6F9"/>
            <w:vAlign w:val="center"/>
          </w:tcPr>
          <w:p w14:paraId="09D35696"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DIVIPOLA</w:t>
            </w:r>
          </w:p>
        </w:tc>
        <w:tc>
          <w:tcPr>
            <w:tcW w:w="2280" w:type="dxa"/>
            <w:shd w:val="clear" w:color="auto" w:fill="F3F6F9"/>
            <w:vAlign w:val="center"/>
          </w:tcPr>
          <w:p w14:paraId="0BAD60CF" w14:textId="16A39018" w:rsidR="00F74740" w:rsidRPr="001B3F2A" w:rsidRDefault="00E4255B">
            <w:pPr>
              <w:rPr>
                <w:rFonts w:ascii="Times New Roman" w:hAnsi="Times New Roman" w:cs="Times New Roman"/>
                <w:sz w:val="24"/>
                <w:szCs w:val="24"/>
              </w:rPr>
            </w:pPr>
            <w:r w:rsidRPr="001B3F2A">
              <w:rPr>
                <w:rFonts w:ascii="Times New Roman" w:hAnsi="Times New Roman" w:cs="Times New Roman"/>
                <w:sz w:val="24"/>
                <w:szCs w:val="24"/>
                <w:lang w:val="es-CO"/>
              </w:rPr>
              <w:t>Datos Abiertos Colombia.</w:t>
            </w:r>
          </w:p>
        </w:tc>
        <w:tc>
          <w:tcPr>
            <w:tcW w:w="2280" w:type="dxa"/>
            <w:shd w:val="clear" w:color="auto" w:fill="F3F6F9"/>
            <w:vAlign w:val="center"/>
          </w:tcPr>
          <w:p w14:paraId="15678E0A"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Vigencia 2025</w:t>
            </w:r>
          </w:p>
        </w:tc>
        <w:tc>
          <w:tcPr>
            <w:tcW w:w="2280" w:type="dxa"/>
            <w:shd w:val="clear" w:color="auto" w:fill="F3F6F9"/>
            <w:vAlign w:val="center"/>
          </w:tcPr>
          <w:p w14:paraId="40C0C8E2"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Por vigencia</w:t>
            </w:r>
          </w:p>
        </w:tc>
      </w:tr>
    </w:tbl>
    <w:p w14:paraId="3F3E188A" w14:textId="77777777" w:rsidR="00F74740" w:rsidRDefault="00000000">
      <w:pPr>
        <w:pStyle w:val="Heading1"/>
        <w:rPr>
          <w:rFonts w:ascii="Times New Roman" w:hAnsi="Times New Roman" w:cs="Times New Roman"/>
          <w:color w:val="auto"/>
          <w:sz w:val="24"/>
          <w:szCs w:val="24"/>
        </w:rPr>
      </w:pPr>
      <w:r w:rsidRPr="001B3F2A">
        <w:rPr>
          <w:rFonts w:ascii="Times New Roman" w:hAnsi="Times New Roman" w:cs="Times New Roman"/>
          <w:color w:val="auto"/>
          <w:sz w:val="24"/>
          <w:szCs w:val="24"/>
        </w:rPr>
        <w:t xml:space="preserve">4. </w:t>
      </w:r>
      <w:proofErr w:type="spellStart"/>
      <w:r w:rsidRPr="001B3F2A">
        <w:rPr>
          <w:rFonts w:ascii="Times New Roman" w:hAnsi="Times New Roman" w:cs="Times New Roman"/>
          <w:color w:val="auto"/>
          <w:sz w:val="24"/>
          <w:szCs w:val="24"/>
        </w:rPr>
        <w:t>Metodología</w:t>
      </w:r>
      <w:proofErr w:type="spellEnd"/>
    </w:p>
    <w:p w14:paraId="5514E40A" w14:textId="77777777" w:rsidR="00E4255B" w:rsidRPr="00E4255B" w:rsidRDefault="00E4255B" w:rsidP="00E4255B"/>
    <w:p w14:paraId="4C403C73"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La auditoría se realizó mediante un proceso de perfilamiento, exploración y validación de los datos, utilizando Excel y Python. Se revisaron la estructura de los archivos, tipos y formatos de variables, valores faltantes, rangos y fechas, códigos y nombres territoriales, cobertura geográfica, duplicados, coherencia entre agregaciones y disponibilidad temporal.</w:t>
      </w:r>
    </w:p>
    <w:p w14:paraId="575BEB35"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La evaluación se organizó alrededor de las seis dimensiones de calidad definidas para el taller: completitud, exactitud, validez, consistencia, unicidad y oportunidad.</w:t>
      </w:r>
    </w:p>
    <w:p w14:paraId="7C5B2B83" w14:textId="77777777" w:rsidR="00F74740"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5. Resultados generales de la auditoría</w:t>
      </w:r>
    </w:p>
    <w:p w14:paraId="678DFDE2" w14:textId="77777777" w:rsidR="00E4255B" w:rsidRPr="00E4255B" w:rsidRDefault="00E4255B" w:rsidP="00E4255B">
      <w:pPr>
        <w:rPr>
          <w:lang w:val="es-CO"/>
        </w:rPr>
      </w:pPr>
    </w:p>
    <w:p w14:paraId="50A149EF"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En términos generales, las fuentes presentan condiciones favorables de estructura, pertinencia y validez para el propósito analítico. En las bases de homicidios, secuestros, extorsión y terrorismo no se identificaron valores nulos en los campos auditados, valores negativos en las variables cuantitativas ni fechas fuera del periodo 2019–2025.</w:t>
      </w:r>
    </w:p>
    <w:p w14:paraId="569E2DB7"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La base de cultivos de coca presenta un comportamiento particular, debido a la existencia de valores faltantes en las variables anuales y a la ausencia del año 2025 en el archivo inicialmente auditado. Esta situación debe tratarse como una limitación de disponibilidad temporal y oportunidad hasta verificar la publicación oficial correspondiente.</w:t>
      </w:r>
    </w:p>
    <w:p w14:paraId="0D4CA1CC" w14:textId="67C227E6" w:rsidR="00F74740" w:rsidRDefault="00000000">
      <w:pPr>
        <w:pStyle w:val="Heading2"/>
        <w:rPr>
          <w:rFonts w:ascii="Times New Roman" w:hAnsi="Times New Roman" w:cs="Times New Roman"/>
          <w:color w:val="auto"/>
          <w:sz w:val="24"/>
          <w:szCs w:val="24"/>
        </w:rPr>
      </w:pPr>
      <w:r w:rsidRPr="001B3F2A">
        <w:rPr>
          <w:rFonts w:ascii="Times New Roman" w:hAnsi="Times New Roman" w:cs="Times New Roman"/>
          <w:color w:val="auto"/>
          <w:sz w:val="24"/>
          <w:szCs w:val="24"/>
        </w:rPr>
        <w:t xml:space="preserve">5.1 </w:t>
      </w:r>
      <w:proofErr w:type="spellStart"/>
      <w:r w:rsidRPr="001B3F2A">
        <w:rPr>
          <w:rFonts w:ascii="Times New Roman" w:hAnsi="Times New Roman" w:cs="Times New Roman"/>
          <w:color w:val="auto"/>
          <w:sz w:val="24"/>
          <w:szCs w:val="24"/>
        </w:rPr>
        <w:t>Síntesis</w:t>
      </w:r>
      <w:proofErr w:type="spellEnd"/>
      <w:r w:rsidRPr="001B3F2A">
        <w:rPr>
          <w:rFonts w:ascii="Times New Roman" w:hAnsi="Times New Roman" w:cs="Times New Roman"/>
          <w:color w:val="auto"/>
          <w:sz w:val="24"/>
          <w:szCs w:val="24"/>
        </w:rPr>
        <w:t xml:space="preserve"> </w:t>
      </w:r>
      <w:proofErr w:type="spellStart"/>
      <w:r w:rsidRPr="001B3F2A">
        <w:rPr>
          <w:rFonts w:ascii="Times New Roman" w:hAnsi="Times New Roman" w:cs="Times New Roman"/>
          <w:color w:val="auto"/>
          <w:sz w:val="24"/>
          <w:szCs w:val="24"/>
        </w:rPr>
        <w:t>por</w:t>
      </w:r>
      <w:proofErr w:type="spellEnd"/>
      <w:r w:rsidRPr="001B3F2A">
        <w:rPr>
          <w:rFonts w:ascii="Times New Roman" w:hAnsi="Times New Roman" w:cs="Times New Roman"/>
          <w:color w:val="auto"/>
          <w:sz w:val="24"/>
          <w:szCs w:val="24"/>
        </w:rPr>
        <w:t xml:space="preserve"> </w:t>
      </w:r>
      <w:r w:rsidR="00BB6D52">
        <w:rPr>
          <w:rFonts w:ascii="Times New Roman" w:hAnsi="Times New Roman" w:cs="Times New Roman"/>
          <w:color w:val="auto"/>
          <w:sz w:val="24"/>
          <w:szCs w:val="24"/>
        </w:rPr>
        <w:t>dimension</w:t>
      </w:r>
    </w:p>
    <w:p w14:paraId="4C7CE278" w14:textId="77777777" w:rsidR="00BB6D52" w:rsidRPr="00BB6D52" w:rsidRDefault="00BB6D52" w:rsidP="00BB6D52"/>
    <w:tbl>
      <w:tblPr>
        <w:tblStyle w:val="TableGrid"/>
        <w:tblW w:w="0" w:type="auto"/>
        <w:jc w:val="center"/>
        <w:tblLook w:val="04A0" w:firstRow="1" w:lastRow="0" w:firstColumn="1" w:lastColumn="0" w:noHBand="0" w:noVBand="1"/>
      </w:tblPr>
      <w:tblGrid>
        <w:gridCol w:w="3041"/>
        <w:gridCol w:w="3041"/>
        <w:gridCol w:w="3041"/>
      </w:tblGrid>
      <w:tr w:rsidR="00F74740" w:rsidRPr="001B3F2A" w14:paraId="6DF821D1" w14:textId="77777777">
        <w:trPr>
          <w:jc w:val="center"/>
        </w:trPr>
        <w:tc>
          <w:tcPr>
            <w:tcW w:w="3041" w:type="dxa"/>
            <w:shd w:val="clear" w:color="auto" w:fill="17365D"/>
            <w:vAlign w:val="center"/>
          </w:tcPr>
          <w:p w14:paraId="4FE7BA31"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b/>
                <w:sz w:val="24"/>
                <w:szCs w:val="24"/>
              </w:rPr>
              <w:t>Dimensión</w:t>
            </w:r>
          </w:p>
        </w:tc>
        <w:tc>
          <w:tcPr>
            <w:tcW w:w="3041" w:type="dxa"/>
            <w:shd w:val="clear" w:color="auto" w:fill="17365D"/>
            <w:vAlign w:val="center"/>
          </w:tcPr>
          <w:p w14:paraId="07DED4A7"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b/>
                <w:sz w:val="24"/>
                <w:szCs w:val="24"/>
              </w:rPr>
              <w:t>Resultado general</w:t>
            </w:r>
          </w:p>
        </w:tc>
        <w:tc>
          <w:tcPr>
            <w:tcW w:w="3041" w:type="dxa"/>
            <w:shd w:val="clear" w:color="auto" w:fill="17365D"/>
            <w:vAlign w:val="center"/>
          </w:tcPr>
          <w:p w14:paraId="0A90BEE6"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b/>
                <w:sz w:val="24"/>
                <w:szCs w:val="24"/>
              </w:rPr>
              <w:t>Principal consideración</w:t>
            </w:r>
          </w:p>
        </w:tc>
      </w:tr>
      <w:tr w:rsidR="00F74740" w:rsidRPr="001B3F2A" w14:paraId="556A3036" w14:textId="77777777">
        <w:trPr>
          <w:jc w:val="center"/>
        </w:trPr>
        <w:tc>
          <w:tcPr>
            <w:tcW w:w="3041" w:type="dxa"/>
            <w:vAlign w:val="center"/>
          </w:tcPr>
          <w:p w14:paraId="63364BD4"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Completitud</w:t>
            </w:r>
          </w:p>
        </w:tc>
        <w:tc>
          <w:tcPr>
            <w:tcW w:w="3041" w:type="dxa"/>
            <w:vAlign w:val="center"/>
          </w:tcPr>
          <w:p w14:paraId="3507FC6D"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Favorable con excepciones</w:t>
            </w:r>
          </w:p>
        </w:tc>
        <w:tc>
          <w:tcPr>
            <w:tcW w:w="3041" w:type="dxa"/>
            <w:vAlign w:val="center"/>
          </w:tcPr>
          <w:p w14:paraId="0E6BB778"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Las fuentes de delitos presentan alta disponibilidad; coca requiere tratamiento de faltantes y revisión temporal.</w:t>
            </w:r>
          </w:p>
        </w:tc>
      </w:tr>
      <w:tr w:rsidR="00F74740" w:rsidRPr="001B3F2A" w14:paraId="2DB2E1A7" w14:textId="77777777">
        <w:trPr>
          <w:jc w:val="center"/>
        </w:trPr>
        <w:tc>
          <w:tcPr>
            <w:tcW w:w="3041" w:type="dxa"/>
            <w:shd w:val="clear" w:color="auto" w:fill="F3F6F9"/>
            <w:vAlign w:val="center"/>
          </w:tcPr>
          <w:p w14:paraId="65C87B9B"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Exactitud</w:t>
            </w:r>
            <w:proofErr w:type="spellEnd"/>
          </w:p>
        </w:tc>
        <w:tc>
          <w:tcPr>
            <w:tcW w:w="3041" w:type="dxa"/>
            <w:shd w:val="clear" w:color="auto" w:fill="F3F6F9"/>
            <w:vAlign w:val="center"/>
          </w:tcPr>
          <w:p w14:paraId="573ACA0A"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Requiere validación</w:t>
            </w:r>
          </w:p>
        </w:tc>
        <w:tc>
          <w:tcPr>
            <w:tcW w:w="3041" w:type="dxa"/>
            <w:shd w:val="clear" w:color="auto" w:fill="F3F6F9"/>
            <w:vAlign w:val="center"/>
          </w:tcPr>
          <w:p w14:paraId="0565CE95"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 xml:space="preserve">Las diferencias territoriales deben contrastarse con la </w:t>
            </w:r>
            <w:r w:rsidRPr="001B3F2A">
              <w:rPr>
                <w:rFonts w:ascii="Times New Roman" w:hAnsi="Times New Roman" w:cs="Times New Roman"/>
                <w:sz w:val="24"/>
                <w:szCs w:val="24"/>
                <w:lang w:val="es-CO"/>
              </w:rPr>
              <w:lastRenderedPageBreak/>
              <w:t>referencia oficial.</w:t>
            </w:r>
          </w:p>
        </w:tc>
      </w:tr>
      <w:tr w:rsidR="00F74740" w:rsidRPr="001B3F2A" w14:paraId="5552052A" w14:textId="77777777">
        <w:trPr>
          <w:jc w:val="center"/>
        </w:trPr>
        <w:tc>
          <w:tcPr>
            <w:tcW w:w="3041" w:type="dxa"/>
            <w:vAlign w:val="center"/>
          </w:tcPr>
          <w:p w14:paraId="42878DFF"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lastRenderedPageBreak/>
              <w:t>Validez</w:t>
            </w:r>
            <w:proofErr w:type="spellEnd"/>
          </w:p>
        </w:tc>
        <w:tc>
          <w:tcPr>
            <w:tcW w:w="3041" w:type="dxa"/>
            <w:vAlign w:val="center"/>
          </w:tcPr>
          <w:p w14:paraId="655F50AB"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Favorable con ajustes</w:t>
            </w:r>
          </w:p>
        </w:tc>
        <w:tc>
          <w:tcPr>
            <w:tcW w:w="3041" w:type="dxa"/>
            <w:vAlign w:val="center"/>
          </w:tcPr>
          <w:p w14:paraId="14A69294"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Existen diferencias de formato en algunos códigos territoriales.</w:t>
            </w:r>
          </w:p>
        </w:tc>
      </w:tr>
      <w:tr w:rsidR="00F74740" w:rsidRPr="001B3F2A" w14:paraId="09FE63FE" w14:textId="77777777">
        <w:trPr>
          <w:jc w:val="center"/>
        </w:trPr>
        <w:tc>
          <w:tcPr>
            <w:tcW w:w="3041" w:type="dxa"/>
            <w:shd w:val="clear" w:color="auto" w:fill="F3F6F9"/>
            <w:vAlign w:val="center"/>
          </w:tcPr>
          <w:p w14:paraId="469D0E73"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Consistencia</w:t>
            </w:r>
            <w:proofErr w:type="spellEnd"/>
          </w:p>
        </w:tc>
        <w:tc>
          <w:tcPr>
            <w:tcW w:w="3041" w:type="dxa"/>
            <w:shd w:val="clear" w:color="auto" w:fill="F3F6F9"/>
            <w:vAlign w:val="center"/>
          </w:tcPr>
          <w:p w14:paraId="124024BA"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Favorable</w:t>
            </w:r>
          </w:p>
        </w:tc>
        <w:tc>
          <w:tcPr>
            <w:tcW w:w="3041" w:type="dxa"/>
            <w:shd w:val="clear" w:color="auto" w:fill="F3F6F9"/>
            <w:vAlign w:val="center"/>
          </w:tcPr>
          <w:p w14:paraId="41CDA9F8"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Las validaciones internas y agregaciones revisadas presentan coherencia general.</w:t>
            </w:r>
          </w:p>
        </w:tc>
      </w:tr>
      <w:tr w:rsidR="00F74740" w:rsidRPr="001B3F2A" w14:paraId="6D2B7C55" w14:textId="77777777">
        <w:trPr>
          <w:jc w:val="center"/>
        </w:trPr>
        <w:tc>
          <w:tcPr>
            <w:tcW w:w="3041" w:type="dxa"/>
            <w:vAlign w:val="center"/>
          </w:tcPr>
          <w:p w14:paraId="7F4EB307"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Unicidad</w:t>
            </w:r>
            <w:proofErr w:type="spellEnd"/>
          </w:p>
        </w:tc>
        <w:tc>
          <w:tcPr>
            <w:tcW w:w="3041" w:type="dxa"/>
            <w:vAlign w:val="center"/>
          </w:tcPr>
          <w:p w14:paraId="093716BF"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Requiere revisión</w:t>
            </w:r>
          </w:p>
        </w:tc>
        <w:tc>
          <w:tcPr>
            <w:tcW w:w="3041" w:type="dxa"/>
            <w:vAlign w:val="center"/>
          </w:tcPr>
          <w:p w14:paraId="217052F6"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Se identificaron duplicados exactos y posibles duplicados lógicos en varias fuentes.</w:t>
            </w:r>
          </w:p>
        </w:tc>
      </w:tr>
      <w:tr w:rsidR="00F74740" w:rsidRPr="001B3F2A" w14:paraId="3A64D8E0" w14:textId="77777777">
        <w:trPr>
          <w:jc w:val="center"/>
        </w:trPr>
        <w:tc>
          <w:tcPr>
            <w:tcW w:w="3041" w:type="dxa"/>
            <w:shd w:val="clear" w:color="auto" w:fill="F3F6F9"/>
            <w:vAlign w:val="center"/>
          </w:tcPr>
          <w:p w14:paraId="384DC855"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sz w:val="24"/>
                <w:szCs w:val="24"/>
              </w:rPr>
              <w:t>Oportunidad</w:t>
            </w:r>
            <w:proofErr w:type="spellEnd"/>
          </w:p>
        </w:tc>
        <w:tc>
          <w:tcPr>
            <w:tcW w:w="3041" w:type="dxa"/>
            <w:shd w:val="clear" w:color="auto" w:fill="F3F6F9"/>
            <w:vAlign w:val="center"/>
          </w:tcPr>
          <w:p w14:paraId="1B0B3DAC"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Variable</w:t>
            </w:r>
          </w:p>
        </w:tc>
        <w:tc>
          <w:tcPr>
            <w:tcW w:w="3041" w:type="dxa"/>
            <w:shd w:val="clear" w:color="auto" w:fill="F3F6F9"/>
            <w:vAlign w:val="center"/>
          </w:tcPr>
          <w:p w14:paraId="1949AC54"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Depende de la frecuencia y del último periodo disponible de cada fuente.</w:t>
            </w:r>
          </w:p>
        </w:tc>
      </w:tr>
    </w:tbl>
    <w:p w14:paraId="49E0D25B" w14:textId="77777777" w:rsidR="00F74740" w:rsidRPr="001B3F2A" w:rsidRDefault="00F74740">
      <w:pPr>
        <w:rPr>
          <w:rFonts w:ascii="Times New Roman" w:hAnsi="Times New Roman" w:cs="Times New Roman"/>
          <w:sz w:val="24"/>
          <w:szCs w:val="24"/>
          <w:lang w:val="es-CO"/>
        </w:rPr>
      </w:pPr>
    </w:p>
    <w:p w14:paraId="50F2C3C0" w14:textId="77777777" w:rsidR="00F74740" w:rsidRPr="001B3F2A"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6. Principales hallazgos</w:t>
      </w:r>
    </w:p>
    <w:p w14:paraId="0C4C7CA9" w14:textId="77777777" w:rsidR="00F74740" w:rsidRDefault="00000000">
      <w:pPr>
        <w:pStyle w:val="Heading2"/>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6.1 Estandarización y homologación territorial</w:t>
      </w:r>
    </w:p>
    <w:p w14:paraId="4D57D8FF" w14:textId="77777777" w:rsidR="00E4255B" w:rsidRPr="00E4255B" w:rsidRDefault="00E4255B" w:rsidP="00E4255B">
      <w:pPr>
        <w:rPr>
          <w:lang w:val="es-CO"/>
        </w:rPr>
      </w:pPr>
    </w:p>
    <w:p w14:paraId="6D57260D"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Se identificaron diferencias en la representación de códigos y nombres de departamentos y municipios entre las fuentes. Estas diferencias no necesariamente constituyen errores, ya que pueden corresponder a diferentes convenciones de denominación. Para la integración se recomienda utilizar el código DANE como clave territorial y DIVIPOLA como referencia de homologación.</w:t>
      </w:r>
    </w:p>
    <w:p w14:paraId="435BA594" w14:textId="77777777" w:rsidR="00F74740" w:rsidRDefault="00000000">
      <w:pPr>
        <w:pStyle w:val="Heading2"/>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6.2 Completitud y cobertura geográfica</w:t>
      </w:r>
    </w:p>
    <w:p w14:paraId="766BB55B" w14:textId="77777777" w:rsidR="00E4255B" w:rsidRPr="00E4255B" w:rsidRDefault="00E4255B" w:rsidP="00E4255B">
      <w:pPr>
        <w:rPr>
          <w:lang w:val="es-CO"/>
        </w:rPr>
      </w:pPr>
    </w:p>
    <w:p w14:paraId="2DEBE520"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Las fuentes presentan diferentes coberturas municipales. Estas diferencias no deben interpretarse automáticamente como falta de información, debido a que cada fuente registra fenómenos distintos. La ausencia de un municipio puede representar ausencia de eventos registrados y debe interpretarse según la naturaleza y unidad de observación de cada fuente.</w:t>
      </w:r>
    </w:p>
    <w:p w14:paraId="4DC1C59B" w14:textId="77777777" w:rsidR="00F74740" w:rsidRDefault="00000000">
      <w:pPr>
        <w:pStyle w:val="Heading2"/>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6.3 Duplicados</w:t>
      </w:r>
    </w:p>
    <w:p w14:paraId="70B840A3" w14:textId="77777777" w:rsidR="00E4255B" w:rsidRPr="00E4255B" w:rsidRDefault="00E4255B" w:rsidP="00E4255B">
      <w:pPr>
        <w:rPr>
          <w:lang w:val="es-CO"/>
        </w:rPr>
      </w:pPr>
    </w:p>
    <w:p w14:paraId="1DC6A201"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 xml:space="preserve">Se identificaron duplicados exactos y posibles duplicados lógicos en varias fuentes. La existencia de un duplicado no demuestra por sí misma un error de calidad, por lo que debe contrastarse con la granularidad y metodología de cada fuente. Sin embargo, el volumen </w:t>
      </w:r>
      <w:r w:rsidRPr="001B3F2A">
        <w:rPr>
          <w:rFonts w:ascii="Times New Roman" w:hAnsi="Times New Roman" w:cs="Times New Roman"/>
          <w:sz w:val="24"/>
          <w:szCs w:val="24"/>
          <w:lang w:val="es-CO"/>
        </w:rPr>
        <w:lastRenderedPageBreak/>
        <w:t>identificado requiere revisión antes de realizar agregaciones, debido al riesgo potencial de doble conteo.</w:t>
      </w:r>
    </w:p>
    <w:p w14:paraId="6841B9E8" w14:textId="77777777" w:rsidR="00F74740" w:rsidRDefault="00000000">
      <w:pPr>
        <w:pStyle w:val="Heading2"/>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6.4 Disponibilidad temporal y año 2025</w:t>
      </w:r>
    </w:p>
    <w:p w14:paraId="53DC5E14" w14:textId="77777777" w:rsidR="00E4255B" w:rsidRPr="00E4255B" w:rsidRDefault="00E4255B" w:rsidP="00E4255B">
      <w:pPr>
        <w:rPr>
          <w:lang w:val="es-CO"/>
        </w:rPr>
      </w:pPr>
    </w:p>
    <w:p w14:paraId="3C85E64D"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La principal limitación temporal identificada corresponde a la información de cultivos de coca, cuyo archivo auditado no contiene información para 2025. Antes de imputar valores, debe verificarse la disponibilidad de la publicación oficial y, de estar disponible, incorporarla mediante un proceso documentado de actualización.</w:t>
      </w:r>
    </w:p>
    <w:p w14:paraId="77E0FCD3" w14:textId="77777777" w:rsidR="00F74740"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7. Evaluación desde la perspectiva de calidad de datos</w:t>
      </w:r>
    </w:p>
    <w:p w14:paraId="4C153228" w14:textId="77777777" w:rsidR="00E4255B" w:rsidRPr="00E4255B" w:rsidRDefault="00E4255B" w:rsidP="00E4255B">
      <w:pPr>
        <w:rPr>
          <w:lang w:val="es-CO"/>
        </w:rPr>
      </w:pPr>
    </w:p>
    <w:p w14:paraId="0D50173A"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Las fuentes presentan características favorables de reputación, accesibilidad y pertinencia, debido a su origen institucional y relación directa con los fenómenos analizados. No obstante, la reputación de una fuente no constituye evidencia de exactitud absoluta. Por ello, la calidad debe sustentarse en controles, validaciones y comparaciones entre fuentes.</w:t>
      </w:r>
    </w:p>
    <w:p w14:paraId="5497C730" w14:textId="77777777" w:rsidR="00F74740" w:rsidRPr="001B3F2A" w:rsidRDefault="00000000"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Desde una perspectiva de gestión de calidad, se recomienda diferenciar las acciones orientadas directamente sobre los datos de aquellas orientadas sobre el proceso.</w:t>
      </w:r>
    </w:p>
    <w:tbl>
      <w:tblPr>
        <w:tblStyle w:val="TableGrid"/>
        <w:tblW w:w="0" w:type="auto"/>
        <w:jc w:val="center"/>
        <w:tblLook w:val="04A0" w:firstRow="1" w:lastRow="0" w:firstColumn="1" w:lastColumn="0" w:noHBand="0" w:noVBand="1"/>
      </w:tblPr>
      <w:tblGrid>
        <w:gridCol w:w="4561"/>
        <w:gridCol w:w="4561"/>
      </w:tblGrid>
      <w:tr w:rsidR="00F74740" w:rsidRPr="001B3F2A" w14:paraId="4B954E04" w14:textId="77777777">
        <w:trPr>
          <w:jc w:val="center"/>
        </w:trPr>
        <w:tc>
          <w:tcPr>
            <w:tcW w:w="4561" w:type="dxa"/>
            <w:shd w:val="clear" w:color="auto" w:fill="17365D"/>
            <w:vAlign w:val="center"/>
          </w:tcPr>
          <w:p w14:paraId="5DC16257" w14:textId="77777777" w:rsidR="00F74740" w:rsidRPr="001B3F2A" w:rsidRDefault="00000000">
            <w:pPr>
              <w:rPr>
                <w:rFonts w:ascii="Times New Roman" w:hAnsi="Times New Roman" w:cs="Times New Roman"/>
                <w:sz w:val="24"/>
                <w:szCs w:val="24"/>
              </w:rPr>
            </w:pPr>
            <w:proofErr w:type="spellStart"/>
            <w:r w:rsidRPr="001B3F2A">
              <w:rPr>
                <w:rFonts w:ascii="Times New Roman" w:hAnsi="Times New Roman" w:cs="Times New Roman"/>
                <w:b/>
                <w:sz w:val="24"/>
                <w:szCs w:val="24"/>
              </w:rPr>
              <w:t>Enfoque</w:t>
            </w:r>
            <w:proofErr w:type="spellEnd"/>
          </w:p>
        </w:tc>
        <w:tc>
          <w:tcPr>
            <w:tcW w:w="4561" w:type="dxa"/>
            <w:shd w:val="clear" w:color="auto" w:fill="17365D"/>
            <w:vAlign w:val="center"/>
          </w:tcPr>
          <w:p w14:paraId="5EE67EA4"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b/>
                <w:sz w:val="24"/>
                <w:szCs w:val="24"/>
              </w:rPr>
              <w:t>Acciones principales</w:t>
            </w:r>
          </w:p>
        </w:tc>
      </w:tr>
      <w:tr w:rsidR="00F74740" w:rsidRPr="001B3F2A" w14:paraId="58470CAC" w14:textId="77777777">
        <w:trPr>
          <w:jc w:val="center"/>
        </w:trPr>
        <w:tc>
          <w:tcPr>
            <w:tcW w:w="4561" w:type="dxa"/>
            <w:vAlign w:val="center"/>
          </w:tcPr>
          <w:p w14:paraId="39DED3A2"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Data-driven</w:t>
            </w:r>
          </w:p>
        </w:tc>
        <w:tc>
          <w:tcPr>
            <w:tcW w:w="4561" w:type="dxa"/>
            <w:vAlign w:val="center"/>
          </w:tcPr>
          <w:p w14:paraId="3469C212"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Limpieza, normalización, homologación territorial, validación de nulos, revisión de duplicados e integración.</w:t>
            </w:r>
          </w:p>
        </w:tc>
      </w:tr>
      <w:tr w:rsidR="00F74740" w:rsidRPr="001B3F2A" w14:paraId="6F897486" w14:textId="77777777">
        <w:trPr>
          <w:jc w:val="center"/>
        </w:trPr>
        <w:tc>
          <w:tcPr>
            <w:tcW w:w="4561" w:type="dxa"/>
            <w:shd w:val="clear" w:color="auto" w:fill="F3F6F9"/>
            <w:vAlign w:val="center"/>
          </w:tcPr>
          <w:p w14:paraId="38BDFE0C" w14:textId="77777777" w:rsidR="00F74740" w:rsidRPr="001B3F2A" w:rsidRDefault="00000000">
            <w:pPr>
              <w:rPr>
                <w:rFonts w:ascii="Times New Roman" w:hAnsi="Times New Roman" w:cs="Times New Roman"/>
                <w:sz w:val="24"/>
                <w:szCs w:val="24"/>
              </w:rPr>
            </w:pPr>
            <w:r w:rsidRPr="001B3F2A">
              <w:rPr>
                <w:rFonts w:ascii="Times New Roman" w:hAnsi="Times New Roman" w:cs="Times New Roman"/>
                <w:sz w:val="24"/>
                <w:szCs w:val="24"/>
              </w:rPr>
              <w:t>Process-driven</w:t>
            </w:r>
          </w:p>
        </w:tc>
        <w:tc>
          <w:tcPr>
            <w:tcW w:w="4561" w:type="dxa"/>
            <w:shd w:val="clear" w:color="auto" w:fill="F3F6F9"/>
            <w:vAlign w:val="center"/>
          </w:tcPr>
          <w:p w14:paraId="6BC7EAD9"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Procedimiento de descarga, documentación, control de versiones, reglas de calidad y actualización periódica.</w:t>
            </w:r>
          </w:p>
        </w:tc>
      </w:tr>
    </w:tbl>
    <w:p w14:paraId="074835E3" w14:textId="77777777" w:rsidR="00F74740" w:rsidRPr="001B3F2A" w:rsidRDefault="00F74740">
      <w:pPr>
        <w:rPr>
          <w:rFonts w:ascii="Times New Roman" w:hAnsi="Times New Roman" w:cs="Times New Roman"/>
          <w:sz w:val="24"/>
          <w:szCs w:val="24"/>
          <w:lang w:val="es-CO"/>
        </w:rPr>
      </w:pPr>
    </w:p>
    <w:p w14:paraId="78480D05" w14:textId="77777777" w:rsidR="00F74740"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8. Tratamientos recomendados</w:t>
      </w:r>
    </w:p>
    <w:p w14:paraId="6FF60CA2" w14:textId="77777777" w:rsidR="00E4255B" w:rsidRPr="00E4255B" w:rsidRDefault="00E4255B" w:rsidP="00E4255B">
      <w:pPr>
        <w:rPr>
          <w:lang w:val="es-CO"/>
        </w:rPr>
      </w:pPr>
    </w:p>
    <w:p w14:paraId="07132D31" w14:textId="77777777" w:rsidR="004058FD" w:rsidRPr="001B3F2A" w:rsidRDefault="004058FD" w:rsidP="00E4255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A partir de los hallazgos identificados durante la auditoría, se proponen los siguientes tratamientos. Las acciones buscan corregir o controlar problemas de calidad sin modificar los datos de manera automática y conservando la trazabilidad de las transformaciones realizadas.</w:t>
      </w:r>
    </w:p>
    <w:tbl>
      <w:tblPr>
        <w:tblStyle w:val="TableGrid"/>
        <w:tblW w:w="0" w:type="auto"/>
        <w:jc w:val="center"/>
        <w:tblLayout w:type="fixed"/>
        <w:tblLook w:val="04A0" w:firstRow="1" w:lastRow="0" w:firstColumn="1" w:lastColumn="0" w:noHBand="0" w:noVBand="1"/>
      </w:tblPr>
      <w:tblGrid>
        <w:gridCol w:w="2835"/>
        <w:gridCol w:w="2268"/>
        <w:gridCol w:w="4535"/>
      </w:tblGrid>
      <w:tr w:rsidR="004058FD" w:rsidRPr="001B3F2A" w14:paraId="674FE34F" w14:textId="77777777">
        <w:trPr>
          <w:tblHeader/>
          <w:jc w:val="center"/>
        </w:trPr>
        <w:tc>
          <w:tcPr>
            <w:tcW w:w="2835"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5B9622F"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b/>
                <w:sz w:val="24"/>
                <w:szCs w:val="24"/>
              </w:rPr>
              <w:t>Hallazgo</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3F84D16"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b/>
                <w:sz w:val="24"/>
                <w:szCs w:val="24"/>
              </w:rPr>
              <w:t>Dimensión</w:t>
            </w:r>
            <w:proofErr w:type="spellEnd"/>
          </w:p>
        </w:tc>
        <w:tc>
          <w:tcPr>
            <w:tcW w:w="4535"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7B21EAE"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b/>
                <w:sz w:val="24"/>
                <w:szCs w:val="24"/>
              </w:rPr>
              <w:t>Tratamiento</w:t>
            </w:r>
            <w:proofErr w:type="spellEnd"/>
            <w:r w:rsidRPr="001B3F2A">
              <w:rPr>
                <w:rFonts w:ascii="Times New Roman" w:hAnsi="Times New Roman" w:cs="Times New Roman"/>
                <w:b/>
                <w:sz w:val="24"/>
                <w:szCs w:val="24"/>
              </w:rPr>
              <w:t xml:space="preserve"> </w:t>
            </w:r>
            <w:proofErr w:type="spellStart"/>
            <w:r w:rsidRPr="001B3F2A">
              <w:rPr>
                <w:rFonts w:ascii="Times New Roman" w:hAnsi="Times New Roman" w:cs="Times New Roman"/>
                <w:b/>
                <w:sz w:val="24"/>
                <w:szCs w:val="24"/>
              </w:rPr>
              <w:t>recomendado</w:t>
            </w:r>
            <w:proofErr w:type="spellEnd"/>
          </w:p>
        </w:tc>
      </w:tr>
      <w:tr w:rsidR="004058FD" w:rsidRPr="001B3F2A" w14:paraId="54E62620"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7ED02F54"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Diferencias</w:t>
            </w:r>
            <w:proofErr w:type="spellEnd"/>
            <w:r w:rsidRPr="001B3F2A">
              <w:rPr>
                <w:rFonts w:ascii="Times New Roman" w:hAnsi="Times New Roman" w:cs="Times New Roman"/>
                <w:sz w:val="24"/>
                <w:szCs w:val="24"/>
              </w:rPr>
              <w:t xml:space="preserve"> de </w:t>
            </w:r>
            <w:proofErr w:type="spellStart"/>
            <w:r w:rsidRPr="001B3F2A">
              <w:rPr>
                <w:rFonts w:ascii="Times New Roman" w:hAnsi="Times New Roman" w:cs="Times New Roman"/>
                <w:sz w:val="24"/>
                <w:szCs w:val="24"/>
              </w:rPr>
              <w:t>nombres</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territoriales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13B49D5C"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Consistencia</w:t>
            </w:r>
            <w:proofErr w:type="spellEnd"/>
            <w:r w:rsidRPr="001B3F2A">
              <w:rPr>
                <w:rFonts w:ascii="Times New Roman" w:hAnsi="Times New Roman" w:cs="Times New Roman"/>
                <w:sz w:val="24"/>
                <w:szCs w:val="24"/>
              </w:rPr>
              <w:t xml:space="preserve"> / </w:t>
            </w:r>
            <w:proofErr w:type="spellStart"/>
            <w:r w:rsidRPr="001B3F2A">
              <w:rPr>
                <w:rFonts w:ascii="Times New Roman" w:hAnsi="Times New Roman" w:cs="Times New Roman"/>
                <w:sz w:val="24"/>
                <w:szCs w:val="24"/>
              </w:rPr>
              <w:t>Exactitud</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13057F02"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Homologar mediante código DANE y DIVIPOLA, conservando el valor original para trazabilidad.</w:t>
            </w:r>
          </w:p>
        </w:tc>
      </w:tr>
      <w:tr w:rsidR="004058FD" w:rsidRPr="001B3F2A" w14:paraId="6B61C79D"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1C516E85"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lastRenderedPageBreak/>
              <w:t>Diferencias de formato en códigos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B09B66F"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Validez</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3EA8C386"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Estandarizar como texto de cinco dígitos y preservar los ceros a la izquierda.</w:t>
            </w:r>
          </w:p>
        </w:tc>
      </w:tr>
      <w:tr w:rsidR="004058FD" w:rsidRPr="001B3F2A" w14:paraId="22E37565"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2133CD5F" w14:textId="77777777" w:rsidR="004058FD" w:rsidRPr="001B3F2A" w:rsidRDefault="004058FD" w:rsidP="004058FD">
            <w:pPr>
              <w:spacing w:line="276" w:lineRule="auto"/>
              <w:rPr>
                <w:rFonts w:ascii="Times New Roman" w:hAnsi="Times New Roman" w:cs="Times New Roman"/>
                <w:sz w:val="24"/>
                <w:szCs w:val="24"/>
              </w:rPr>
            </w:pPr>
            <w:r w:rsidRPr="001B3F2A">
              <w:rPr>
                <w:rFonts w:ascii="Times New Roman" w:hAnsi="Times New Roman" w:cs="Times New Roman"/>
                <w:sz w:val="24"/>
                <w:szCs w:val="24"/>
              </w:rPr>
              <w:t xml:space="preserve">Valores </w:t>
            </w:r>
            <w:proofErr w:type="spellStart"/>
            <w:r w:rsidRPr="001B3F2A">
              <w:rPr>
                <w:rFonts w:ascii="Times New Roman" w:hAnsi="Times New Roman" w:cs="Times New Roman"/>
                <w:sz w:val="24"/>
                <w:szCs w:val="24"/>
              </w:rPr>
              <w:t>faltantes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5B5A6863"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Completitud</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3663849E"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Investigar su significado y evitar convertir NULL en cero sin evidencia metodológica.</w:t>
            </w:r>
          </w:p>
        </w:tc>
      </w:tr>
      <w:tr w:rsidR="004058FD" w:rsidRPr="001B3F2A" w14:paraId="5BBFD7B7"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0B1B6EEC" w14:textId="77777777" w:rsidR="004058FD" w:rsidRPr="001B3F2A" w:rsidRDefault="004058FD" w:rsidP="004058FD">
            <w:pPr>
              <w:spacing w:line="276" w:lineRule="auto"/>
              <w:rPr>
                <w:rFonts w:ascii="Times New Roman" w:hAnsi="Times New Roman" w:cs="Times New Roman"/>
                <w:sz w:val="24"/>
                <w:szCs w:val="24"/>
              </w:rPr>
            </w:pPr>
            <w:r w:rsidRPr="001B3F2A">
              <w:rPr>
                <w:rFonts w:ascii="Times New Roman" w:hAnsi="Times New Roman" w:cs="Times New Roman"/>
                <w:sz w:val="24"/>
                <w:szCs w:val="24"/>
              </w:rPr>
              <w:t xml:space="preserve">Valores </w:t>
            </w:r>
            <w:proofErr w:type="spellStart"/>
            <w:r w:rsidRPr="001B3F2A">
              <w:rPr>
                <w:rFonts w:ascii="Times New Roman" w:hAnsi="Times New Roman" w:cs="Times New Roman"/>
                <w:sz w:val="24"/>
                <w:szCs w:val="24"/>
              </w:rPr>
              <w:t>extremos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67B154C"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Exactitud</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2AECDBFA"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Contrastar con la fuente oficial antes de corregir o excluir; un valor extremo no constituye por sí mismo un error.</w:t>
            </w:r>
          </w:p>
        </w:tc>
      </w:tr>
      <w:tr w:rsidR="004058FD" w:rsidRPr="001B3F2A" w14:paraId="1DFDB98F"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69C375C6"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Duplicados</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exactos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0A8A1529"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Unicidad</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6E5A6C68"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Validar contra la granularidad de cada fuente y eliminar únicamente los registros confirmados como duplicados.</w:t>
            </w:r>
          </w:p>
        </w:tc>
      </w:tr>
      <w:tr w:rsidR="004058FD" w:rsidRPr="001B3F2A" w14:paraId="2C032F6B"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29C46C75"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Posibles</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duplicados</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lógicos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6F817F3F"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Unicidad</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55FB7D4F"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Analizar las variables que determinan la unicidad del registro antes de consolidar o eliminar.</w:t>
            </w:r>
          </w:p>
        </w:tc>
      </w:tr>
      <w:tr w:rsidR="004058FD" w:rsidRPr="001B3F2A" w14:paraId="43D8561C"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113EEF0B"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Diferencias</w:t>
            </w:r>
            <w:proofErr w:type="spellEnd"/>
            <w:r w:rsidRPr="001B3F2A">
              <w:rPr>
                <w:rFonts w:ascii="Times New Roman" w:hAnsi="Times New Roman" w:cs="Times New Roman"/>
                <w:sz w:val="24"/>
                <w:szCs w:val="24"/>
              </w:rPr>
              <w:t xml:space="preserve"> de </w:t>
            </w:r>
            <w:proofErr w:type="spellStart"/>
            <w:r w:rsidRPr="001B3F2A">
              <w:rPr>
                <w:rFonts w:ascii="Times New Roman" w:hAnsi="Times New Roman" w:cs="Times New Roman"/>
                <w:sz w:val="24"/>
                <w:szCs w:val="24"/>
              </w:rPr>
              <w:t>cobertura</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geográfica</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665444D"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Completitud</w:t>
            </w:r>
            <w:proofErr w:type="spellEnd"/>
            <w:r w:rsidRPr="001B3F2A">
              <w:rPr>
                <w:rFonts w:ascii="Times New Roman" w:hAnsi="Times New Roman" w:cs="Times New Roman"/>
                <w:sz w:val="24"/>
                <w:szCs w:val="24"/>
              </w:rPr>
              <w:t xml:space="preserve"> / </w:t>
            </w:r>
            <w:proofErr w:type="spellStart"/>
            <w:r w:rsidRPr="001B3F2A">
              <w:rPr>
                <w:rFonts w:ascii="Times New Roman" w:hAnsi="Times New Roman" w:cs="Times New Roman"/>
                <w:sz w:val="24"/>
                <w:szCs w:val="24"/>
              </w:rPr>
              <w:t>Consistencia</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65FA0680"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No imputar automáticamente; interpretar según el fenómeno y documentar la cobertura.</w:t>
            </w:r>
          </w:p>
        </w:tc>
      </w:tr>
      <w:tr w:rsidR="004058FD" w:rsidRPr="001B3F2A" w14:paraId="1A7A612F"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5D6C4271"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Inconsistencias</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temporales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1D3DD3D3"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Validez</w:t>
            </w:r>
            <w:proofErr w:type="spellEnd"/>
            <w:r w:rsidRPr="001B3F2A">
              <w:rPr>
                <w:rFonts w:ascii="Times New Roman" w:hAnsi="Times New Roman" w:cs="Times New Roman"/>
                <w:sz w:val="24"/>
                <w:szCs w:val="24"/>
              </w:rPr>
              <w:t xml:space="preserve"> / </w:t>
            </w:r>
            <w:proofErr w:type="spellStart"/>
            <w:r w:rsidRPr="001B3F2A">
              <w:rPr>
                <w:rFonts w:ascii="Times New Roman" w:hAnsi="Times New Roman" w:cs="Times New Roman"/>
                <w:sz w:val="24"/>
                <w:szCs w:val="24"/>
              </w:rPr>
              <w:t>Consistencia</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67F41945"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Estandarizar fechas y establecer un período de corte común para el índice.</w:t>
            </w:r>
          </w:p>
        </w:tc>
      </w:tr>
      <w:tr w:rsidR="004058FD" w:rsidRPr="001B3F2A" w14:paraId="4DF9F36B"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63EEF7E0"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Diferentes</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frecuencias</w:t>
            </w:r>
            <w:proofErr w:type="spellEnd"/>
            <w:r w:rsidRPr="001B3F2A">
              <w:rPr>
                <w:rFonts w:ascii="Times New Roman" w:hAnsi="Times New Roman" w:cs="Times New Roman"/>
                <w:sz w:val="24"/>
                <w:szCs w:val="24"/>
              </w:rPr>
              <w:t xml:space="preserve"> de </w:t>
            </w:r>
            <w:proofErr w:type="spellStart"/>
            <w:r w:rsidRPr="001B3F2A">
              <w:rPr>
                <w:rFonts w:ascii="Times New Roman" w:hAnsi="Times New Roman" w:cs="Times New Roman"/>
                <w:sz w:val="24"/>
                <w:szCs w:val="24"/>
              </w:rPr>
              <w:t>actualización</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61A8483B"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Oportunidad</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0FE7E2F1"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Alinear las fuentes a una periodicidad y período de referencia definidos para el modelo.</w:t>
            </w:r>
          </w:p>
        </w:tc>
      </w:tr>
      <w:tr w:rsidR="004058FD" w:rsidRPr="001B3F2A" w14:paraId="49AB39BD"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08FC2EBC" w14:textId="77777777" w:rsidR="004058FD" w:rsidRPr="001B3F2A" w:rsidRDefault="004058FD" w:rsidP="004058FD">
            <w:pPr>
              <w:spacing w:line="276" w:lineRule="auto"/>
              <w:rPr>
                <w:rFonts w:ascii="Times New Roman" w:hAnsi="Times New Roman" w:cs="Times New Roman"/>
                <w:sz w:val="24"/>
                <w:szCs w:val="24"/>
              </w:rPr>
            </w:pPr>
            <w:r w:rsidRPr="001B3F2A">
              <w:rPr>
                <w:rFonts w:ascii="Times New Roman" w:hAnsi="Times New Roman" w:cs="Times New Roman"/>
                <w:sz w:val="24"/>
                <w:szCs w:val="24"/>
              </w:rPr>
              <w:t xml:space="preserve">2025 no disponible </w:t>
            </w:r>
            <w:proofErr w:type="spellStart"/>
            <w:r w:rsidRPr="001B3F2A">
              <w:rPr>
                <w:rFonts w:ascii="Times New Roman" w:hAnsi="Times New Roman" w:cs="Times New Roman"/>
                <w:sz w:val="24"/>
                <w:szCs w:val="24"/>
              </w:rPr>
              <w:t>en</w:t>
            </w:r>
            <w:proofErr w:type="spellEnd"/>
            <w:r w:rsidRPr="001B3F2A">
              <w:rPr>
                <w:rFonts w:ascii="Times New Roman" w:hAnsi="Times New Roman" w:cs="Times New Roman"/>
                <w:sz w:val="24"/>
                <w:szCs w:val="24"/>
              </w:rPr>
              <w:t xml:space="preserve"> Coca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999420"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Oportunidad</w:t>
            </w:r>
            <w:proofErr w:type="spellEnd"/>
            <w:r w:rsidRPr="001B3F2A">
              <w:rPr>
                <w:rFonts w:ascii="Times New Roman" w:hAnsi="Times New Roman" w:cs="Times New Roman"/>
                <w:sz w:val="24"/>
                <w:szCs w:val="24"/>
              </w:rPr>
              <w:t xml:space="preserve"> / </w:t>
            </w:r>
            <w:proofErr w:type="spellStart"/>
            <w:r w:rsidRPr="001B3F2A">
              <w:rPr>
                <w:rFonts w:ascii="Times New Roman" w:hAnsi="Times New Roman" w:cs="Times New Roman"/>
                <w:sz w:val="24"/>
                <w:szCs w:val="24"/>
              </w:rPr>
              <w:t>Completitud</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17D46173"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Verificar la publicación oficial; incorporar el período si está disponible y documentar la limitación si no lo está.</w:t>
            </w:r>
          </w:p>
        </w:tc>
      </w:tr>
      <w:tr w:rsidR="004058FD" w:rsidRPr="001B3F2A" w14:paraId="0D990530"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48D2F402"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Diferencias</w:t>
            </w:r>
            <w:proofErr w:type="spellEnd"/>
            <w:r w:rsidRPr="001B3F2A">
              <w:rPr>
                <w:rFonts w:ascii="Times New Roman" w:hAnsi="Times New Roman" w:cs="Times New Roman"/>
                <w:sz w:val="24"/>
                <w:szCs w:val="24"/>
              </w:rPr>
              <w:t xml:space="preserve"> de </w:t>
            </w:r>
            <w:proofErr w:type="spellStart"/>
            <w:r w:rsidRPr="001B3F2A">
              <w:rPr>
                <w:rFonts w:ascii="Times New Roman" w:hAnsi="Times New Roman" w:cs="Times New Roman"/>
                <w:sz w:val="24"/>
                <w:szCs w:val="24"/>
              </w:rPr>
              <w:t>separadores</w:t>
            </w:r>
            <w:proofErr w:type="spellEnd"/>
            <w:r w:rsidRPr="001B3F2A">
              <w:rPr>
                <w:rFonts w:ascii="Times New Roman" w:hAnsi="Times New Roman" w:cs="Times New Roman"/>
                <w:sz w:val="24"/>
                <w:szCs w:val="24"/>
              </w:rPr>
              <w:t xml:space="preserve"> </w:t>
            </w:r>
            <w:proofErr w:type="spellStart"/>
            <w:r w:rsidRPr="001B3F2A">
              <w:rPr>
                <w:rFonts w:ascii="Times New Roman" w:hAnsi="Times New Roman" w:cs="Times New Roman"/>
                <w:sz w:val="24"/>
                <w:szCs w:val="24"/>
              </w:rPr>
              <w:t>numéricos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5FE7BD3A"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Validez</w:t>
            </w:r>
            <w:proofErr w:type="spellEnd"/>
          </w:p>
        </w:tc>
        <w:tc>
          <w:tcPr>
            <w:tcW w:w="4535" w:type="dxa"/>
            <w:tcBorders>
              <w:top w:val="single" w:sz="4" w:space="0" w:color="auto"/>
              <w:left w:val="single" w:sz="4" w:space="0" w:color="auto"/>
              <w:bottom w:val="single" w:sz="4" w:space="0" w:color="auto"/>
              <w:right w:val="single" w:sz="4" w:space="0" w:color="auto"/>
            </w:tcBorders>
            <w:vAlign w:val="center"/>
            <w:hideMark/>
          </w:tcPr>
          <w:p w14:paraId="5853455E"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Estandarizar formatos decimales y de miles antes de realizar cálculos.</w:t>
            </w:r>
          </w:p>
        </w:tc>
      </w:tr>
      <w:tr w:rsidR="004058FD" w:rsidRPr="001B3F2A" w14:paraId="12F304EA"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4268B457" w14:textId="77777777" w:rsidR="004058FD" w:rsidRPr="001B3F2A" w:rsidRDefault="004058FD" w:rsidP="004058FD">
            <w:pPr>
              <w:spacing w:line="276" w:lineRule="auto"/>
              <w:rPr>
                <w:rFonts w:ascii="Times New Roman" w:hAnsi="Times New Roman" w:cs="Times New Roman"/>
                <w:sz w:val="24"/>
                <w:szCs w:val="24"/>
              </w:rPr>
            </w:pPr>
            <w:r w:rsidRPr="001B3F2A">
              <w:rPr>
                <w:rFonts w:ascii="Times New Roman" w:hAnsi="Times New Roman" w:cs="Times New Roman"/>
                <w:sz w:val="24"/>
                <w:szCs w:val="24"/>
              </w:rPr>
              <w:t xml:space="preserve">Falta de </w:t>
            </w:r>
            <w:proofErr w:type="spellStart"/>
            <w:r w:rsidRPr="001B3F2A">
              <w:rPr>
                <w:rFonts w:ascii="Times New Roman" w:hAnsi="Times New Roman" w:cs="Times New Roman"/>
                <w:sz w:val="24"/>
                <w:szCs w:val="24"/>
              </w:rPr>
              <w:t>trazabilidad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45DB4665" w14:textId="77777777" w:rsidR="004058FD" w:rsidRPr="001B3F2A" w:rsidRDefault="004058FD" w:rsidP="004058FD">
            <w:pPr>
              <w:spacing w:line="276" w:lineRule="auto"/>
              <w:rPr>
                <w:rFonts w:ascii="Times New Roman" w:hAnsi="Times New Roman" w:cs="Times New Roman"/>
                <w:sz w:val="24"/>
                <w:szCs w:val="24"/>
              </w:rPr>
            </w:pPr>
            <w:proofErr w:type="spellStart"/>
            <w:r w:rsidRPr="001B3F2A">
              <w:rPr>
                <w:rFonts w:ascii="Times New Roman" w:hAnsi="Times New Roman" w:cs="Times New Roman"/>
                <w:sz w:val="24"/>
                <w:szCs w:val="24"/>
              </w:rPr>
              <w:t>Oportunidad</w:t>
            </w:r>
            <w:proofErr w:type="spellEnd"/>
            <w:r w:rsidRPr="001B3F2A">
              <w:rPr>
                <w:rFonts w:ascii="Times New Roman" w:hAnsi="Times New Roman" w:cs="Times New Roman"/>
                <w:sz w:val="24"/>
                <w:szCs w:val="24"/>
              </w:rPr>
              <w:t xml:space="preserve"> / </w:t>
            </w:r>
            <w:proofErr w:type="spellStart"/>
            <w:r w:rsidRPr="001B3F2A">
              <w:rPr>
                <w:rFonts w:ascii="Times New Roman" w:hAnsi="Times New Roman" w:cs="Times New Roman"/>
                <w:sz w:val="24"/>
                <w:szCs w:val="24"/>
              </w:rPr>
              <w:t>Gestión</w:t>
            </w:r>
            <w:proofErr w:type="spellEnd"/>
            <w:r w:rsidRPr="001B3F2A">
              <w:rPr>
                <w:rFonts w:ascii="Times New Roman" w:hAnsi="Times New Roman" w:cs="Times New Roman"/>
                <w:sz w:val="24"/>
                <w:szCs w:val="24"/>
              </w:rPr>
              <w:t xml:space="preserve"> del proceso</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82873E6" w14:textId="77777777" w:rsidR="004058FD" w:rsidRPr="001B3F2A" w:rsidRDefault="004058FD" w:rsidP="004058FD">
            <w:pPr>
              <w:spacing w:line="276" w:lineRule="auto"/>
              <w:rPr>
                <w:rFonts w:ascii="Times New Roman" w:hAnsi="Times New Roman" w:cs="Times New Roman"/>
                <w:sz w:val="24"/>
                <w:szCs w:val="24"/>
                <w:lang w:val="es-CO"/>
              </w:rPr>
            </w:pPr>
            <w:r w:rsidRPr="001B3F2A">
              <w:rPr>
                <w:rFonts w:ascii="Times New Roman" w:hAnsi="Times New Roman" w:cs="Times New Roman"/>
                <w:sz w:val="24"/>
                <w:szCs w:val="24"/>
                <w:lang w:val="es-CO"/>
              </w:rPr>
              <w:t>Registrar URL, fecha de descarga, versión, fecha de corte y transformaciones realizadas.</w:t>
            </w:r>
          </w:p>
        </w:tc>
      </w:tr>
    </w:tbl>
    <w:p w14:paraId="03812783" w14:textId="77777777" w:rsidR="00F74740"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9. Conclusión</w:t>
      </w:r>
    </w:p>
    <w:p w14:paraId="701A7110" w14:textId="77777777" w:rsidR="00933A1B" w:rsidRPr="00933A1B" w:rsidRDefault="00933A1B" w:rsidP="00933A1B">
      <w:pPr>
        <w:rPr>
          <w:lang w:val="es-CO"/>
        </w:rPr>
      </w:pPr>
    </w:p>
    <w:p w14:paraId="0CD58B15" w14:textId="77777777" w:rsidR="00F74740" w:rsidRPr="001B3F2A" w:rsidRDefault="00000000" w:rsidP="00933A1B">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 xml:space="preserve">Las seis fuentes analizadas presentan condiciones favorables para ser utilizadas como insumo del Índice Integral de Riesgo Municipal, especialmente por su estructura, pertinencia, procedencia institucional y disponibilidad de información histórica. Sin embargo, la auditoría </w:t>
      </w:r>
      <w:r w:rsidRPr="001B3F2A">
        <w:rPr>
          <w:rFonts w:ascii="Times New Roman" w:hAnsi="Times New Roman" w:cs="Times New Roman"/>
          <w:sz w:val="24"/>
          <w:szCs w:val="24"/>
          <w:lang w:val="es-CO"/>
        </w:rPr>
        <w:lastRenderedPageBreak/>
        <w:t>evidencia que no deben integrarse directamente sin un proceso previo de preparación y control de calidad.</w:t>
      </w:r>
    </w:p>
    <w:p w14:paraId="77456AD5" w14:textId="77777777" w:rsidR="00F74740" w:rsidRPr="001B3F2A" w:rsidRDefault="00000000">
      <w:pPr>
        <w:rPr>
          <w:rFonts w:ascii="Times New Roman" w:hAnsi="Times New Roman" w:cs="Times New Roman"/>
          <w:sz w:val="24"/>
          <w:szCs w:val="24"/>
          <w:lang w:val="es-CO"/>
        </w:rPr>
      </w:pPr>
      <w:proofErr w:type="gramStart"/>
      <w:r w:rsidRPr="001B3F2A">
        <w:rPr>
          <w:rFonts w:ascii="Times New Roman" w:hAnsi="Times New Roman" w:cs="Times New Roman"/>
          <w:sz w:val="24"/>
          <w:szCs w:val="24"/>
          <w:lang w:val="es-CO"/>
        </w:rPr>
        <w:t>Los principales aspectos a gestionar</w:t>
      </w:r>
      <w:proofErr w:type="gramEnd"/>
      <w:r w:rsidRPr="001B3F2A">
        <w:rPr>
          <w:rFonts w:ascii="Times New Roman" w:hAnsi="Times New Roman" w:cs="Times New Roman"/>
          <w:sz w:val="24"/>
          <w:szCs w:val="24"/>
          <w:lang w:val="es-CO"/>
        </w:rPr>
        <w:t xml:space="preserve"> corresponden a la homologación territorial, la revisión de duplicados, el tratamiento documentado de valores faltantes y la alineación temporal entre fuentes con diferentes frecuencias de actualización. En consecuencia, la aptitud de los datos debe entenderse como una condición vinculada al propósito: las fuentes son potencialmente aptas para el análisis siempre que se implementen los controles y tratamientos identificados.</w:t>
      </w:r>
    </w:p>
    <w:p w14:paraId="3D207526"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El detalle de las preguntas de auditoría, métricas, registros afectados y evidencias de cálculo se encuentra documentado en el archivo Excel complementario.</w:t>
      </w:r>
    </w:p>
    <w:p w14:paraId="213B11BE" w14:textId="77777777" w:rsidR="00F74740"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10. Declaración de uso de inteligencia artificial</w:t>
      </w:r>
    </w:p>
    <w:p w14:paraId="74018815" w14:textId="77777777" w:rsidR="00B726A2" w:rsidRPr="00B726A2" w:rsidRDefault="00B726A2" w:rsidP="00B726A2">
      <w:pPr>
        <w:rPr>
          <w:lang w:val="es-CO"/>
        </w:rPr>
      </w:pPr>
    </w:p>
    <w:p w14:paraId="72245ED1" w14:textId="12AA42CA" w:rsidR="00F74740" w:rsidRPr="001B3F2A" w:rsidRDefault="00000000" w:rsidP="00B726A2">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 xml:space="preserve">Se utilizaron herramientas de inteligencia artificial como apoyo para la organización, redacción y revisión conceptual del informe. El análisis de los datos, los cálculos, la interpretación de los resultados y las conclusiones corresponden al trabajo realizado por el grupo </w:t>
      </w:r>
      <w:r w:rsidR="00B726A2">
        <w:rPr>
          <w:rFonts w:ascii="Times New Roman" w:hAnsi="Times New Roman" w:cs="Times New Roman"/>
          <w:sz w:val="24"/>
          <w:szCs w:val="24"/>
          <w:lang w:val="es-CO"/>
        </w:rPr>
        <w:t>con base en la bibliografía propuesta en el taller.</w:t>
      </w:r>
    </w:p>
    <w:p w14:paraId="78566BFD" w14:textId="77777777" w:rsidR="00F74740" w:rsidRPr="001B3F2A" w:rsidRDefault="00000000">
      <w:pPr>
        <w:pStyle w:val="Heading1"/>
        <w:rPr>
          <w:rFonts w:ascii="Times New Roman" w:hAnsi="Times New Roman" w:cs="Times New Roman"/>
          <w:color w:val="auto"/>
          <w:sz w:val="24"/>
          <w:szCs w:val="24"/>
          <w:lang w:val="es-CO"/>
        </w:rPr>
      </w:pPr>
      <w:r w:rsidRPr="001B3F2A">
        <w:rPr>
          <w:rFonts w:ascii="Times New Roman" w:hAnsi="Times New Roman" w:cs="Times New Roman"/>
          <w:color w:val="auto"/>
          <w:sz w:val="24"/>
          <w:szCs w:val="24"/>
          <w:lang w:val="es-CO"/>
        </w:rPr>
        <w:t>11. Referencias y fuentes consultadas</w:t>
      </w:r>
    </w:p>
    <w:p w14:paraId="61409B6A" w14:textId="77777777" w:rsidR="0031526E" w:rsidRPr="001B3F2A" w:rsidRDefault="0031526E" w:rsidP="0031526E">
      <w:pPr>
        <w:rPr>
          <w:rFonts w:ascii="Times New Roman" w:hAnsi="Times New Roman" w:cs="Times New Roman"/>
          <w:sz w:val="24"/>
          <w:szCs w:val="24"/>
          <w:lang w:val="es-CO"/>
        </w:rPr>
      </w:pPr>
    </w:p>
    <w:p w14:paraId="5B1832F6" w14:textId="77777777" w:rsidR="0031526E" w:rsidRPr="001B3F2A" w:rsidRDefault="0031526E" w:rsidP="0031526E">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Datos Abiertos Colombia. Portal de Datos Abiertos del Gobierno de Colombia. Plataforma utilizada para la consulta y descarga de los conjuntos de datos empleados en la auditoría. Consulta realizada el 10 de septiembre de 2026.</w:t>
      </w:r>
    </w:p>
    <w:p w14:paraId="4A67DF2F" w14:textId="77777777" w:rsidR="0031526E" w:rsidRPr="001B3F2A" w:rsidRDefault="0031526E" w:rsidP="0031526E">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Departamento Administrativo Nacional de Estadística (DANE). DIVIPOLA – Códigos municipios. Datos Abiertos Colombia. Consulta y descarga realizada el 3 de septiembre de 2026.</w:t>
      </w:r>
    </w:p>
    <w:p w14:paraId="6E8F24FD" w14:textId="0DE9E36C" w:rsidR="0031526E" w:rsidRPr="001B3F2A" w:rsidRDefault="0031526E" w:rsidP="0031526E">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UNODC–SIMCI / OCHA Colombia. Monitoreo de cultivos de coca. Fuente de la información sobre hectáreas de cultivos de coca utilizada en la auditoría. Consulta realizada el 10 de septiembre de 2026.</w:t>
      </w:r>
    </w:p>
    <w:p w14:paraId="19D166C1" w14:textId="77777777" w:rsidR="007E4589" w:rsidRPr="001B3F2A" w:rsidRDefault="007E4589" w:rsidP="0031526E">
      <w:pPr>
        <w:ind w:firstLine="720"/>
        <w:rPr>
          <w:rFonts w:ascii="Times New Roman" w:hAnsi="Times New Roman" w:cs="Times New Roman"/>
          <w:sz w:val="24"/>
          <w:szCs w:val="24"/>
          <w:lang w:val="es-CO"/>
        </w:rPr>
      </w:pPr>
    </w:p>
    <w:p w14:paraId="0EF0ED4E" w14:textId="73ACCD81" w:rsidR="007E4589" w:rsidRPr="001B3F2A" w:rsidRDefault="007E4589" w:rsidP="007E4589">
      <w:pPr>
        <w:rPr>
          <w:rFonts w:ascii="Times New Roman" w:hAnsi="Times New Roman" w:cs="Times New Roman"/>
          <w:b/>
          <w:bCs/>
          <w:sz w:val="24"/>
          <w:szCs w:val="24"/>
          <w:lang w:val="es-CO"/>
        </w:rPr>
      </w:pPr>
      <w:r w:rsidRPr="001B3F2A">
        <w:rPr>
          <w:rFonts w:ascii="Times New Roman" w:hAnsi="Times New Roman" w:cs="Times New Roman"/>
          <w:b/>
          <w:bCs/>
          <w:sz w:val="24"/>
          <w:szCs w:val="24"/>
          <w:lang w:val="es-CO"/>
        </w:rPr>
        <w:t>Nuevas fuentes públicas seleccionadas</w:t>
      </w:r>
    </w:p>
    <w:p w14:paraId="7AA89798" w14:textId="77777777" w:rsidR="007E4589" w:rsidRPr="001B3F2A" w:rsidRDefault="007E4589" w:rsidP="007E4589">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Departamento Administrativo Nacional de Estadística (DANE). Proyecciones de población por área, 2018–2042. Fuente complementaria para incorporar población municipal como denominador de indicadores de riesgo. Consulta realizada el 10 de septiembre de 2026.</w:t>
      </w:r>
    </w:p>
    <w:p w14:paraId="7DE2F47B" w14:textId="30CC89D9" w:rsidR="007E4589" w:rsidRPr="001B3F2A" w:rsidRDefault="007E4589" w:rsidP="007E4589">
      <w:pPr>
        <w:ind w:firstLine="720"/>
        <w:rPr>
          <w:rFonts w:ascii="Times New Roman" w:hAnsi="Times New Roman" w:cs="Times New Roman"/>
          <w:sz w:val="24"/>
          <w:szCs w:val="24"/>
          <w:lang w:val="es-CO"/>
        </w:rPr>
      </w:pPr>
      <w:r w:rsidRPr="001B3F2A">
        <w:rPr>
          <w:rFonts w:ascii="Times New Roman" w:hAnsi="Times New Roman" w:cs="Times New Roman"/>
          <w:sz w:val="24"/>
          <w:szCs w:val="24"/>
          <w:lang w:val="es-CO"/>
        </w:rPr>
        <w:t>Departamento Administrativo Nacional de Estadística (DANE). Pobreza multidimensional. Fuente complementaria para incorporar una dimensión socioeconómica al análisis territorial. Consulta realizada el 10 de septiembre de 2026.</w:t>
      </w:r>
    </w:p>
    <w:p w14:paraId="257C1972" w14:textId="5F9C7A91" w:rsidR="00F74740" w:rsidRPr="001B3F2A" w:rsidRDefault="00000000" w:rsidP="00471D83">
      <w:pPr>
        <w:pStyle w:val="Heading1"/>
        <w:rPr>
          <w:rFonts w:ascii="Times New Roman" w:eastAsiaTheme="minorEastAsia" w:hAnsi="Times New Roman" w:cs="Times New Roman"/>
          <w:b w:val="0"/>
          <w:bCs w:val="0"/>
          <w:color w:val="auto"/>
          <w:sz w:val="24"/>
          <w:szCs w:val="24"/>
          <w:lang w:val="es-CO"/>
        </w:rPr>
      </w:pPr>
      <w:r w:rsidRPr="001B3F2A">
        <w:rPr>
          <w:rFonts w:ascii="Times New Roman" w:hAnsi="Times New Roman" w:cs="Times New Roman"/>
          <w:color w:val="auto"/>
          <w:sz w:val="24"/>
          <w:szCs w:val="24"/>
          <w:lang w:val="es-CO"/>
        </w:rPr>
        <w:lastRenderedPageBreak/>
        <w:t>12. Anexo</w:t>
      </w:r>
    </w:p>
    <w:p w14:paraId="24E8E529" w14:textId="77777777" w:rsidR="00F74740" w:rsidRPr="001B3F2A" w:rsidRDefault="00000000">
      <w:pPr>
        <w:rPr>
          <w:rFonts w:ascii="Times New Roman" w:hAnsi="Times New Roman" w:cs="Times New Roman"/>
          <w:sz w:val="24"/>
          <w:szCs w:val="24"/>
          <w:lang w:val="es-CO"/>
        </w:rPr>
      </w:pPr>
      <w:r w:rsidRPr="001B3F2A">
        <w:rPr>
          <w:rFonts w:ascii="Times New Roman" w:hAnsi="Times New Roman" w:cs="Times New Roman"/>
          <w:sz w:val="24"/>
          <w:szCs w:val="24"/>
          <w:lang w:val="es-CO"/>
        </w:rPr>
        <w:t>Archivo complementario: Matriz de auditoría de datos en formato Excel, con el detalle de las preguntas, resultados, métricas, hallazgos, registros afectados y tratamientos propuestos.</w:t>
      </w:r>
    </w:p>
    <w:sectPr w:rsidR="00F74740" w:rsidRPr="001B3F2A" w:rsidSect="00836B7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97A3C" w14:textId="77777777" w:rsidR="00123E30" w:rsidRDefault="00123E30">
      <w:pPr>
        <w:spacing w:after="0" w:line="240" w:lineRule="auto"/>
      </w:pPr>
      <w:r>
        <w:separator/>
      </w:r>
    </w:p>
  </w:endnote>
  <w:endnote w:type="continuationSeparator" w:id="0">
    <w:p w14:paraId="392ADB8A" w14:textId="77777777" w:rsidR="00123E30" w:rsidRDefault="00123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EEC2" w14:textId="77777777" w:rsidR="00F74740" w:rsidRPr="00460B2F" w:rsidRDefault="00000000">
    <w:pPr>
      <w:pStyle w:val="Footer"/>
      <w:jc w:val="center"/>
      <w:rPr>
        <w:lang w:val="es-CO"/>
      </w:rPr>
    </w:pPr>
    <w:r w:rsidRPr="00460B2F">
      <w:rPr>
        <w:color w:val="666666"/>
        <w:sz w:val="16"/>
        <w:lang w:val="es-CO"/>
      </w:rPr>
      <w:t>Especialización en Analítica de Datos e Inteligencia Artificial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01DC" w14:textId="77777777" w:rsidR="00123E30" w:rsidRDefault="00123E30">
      <w:pPr>
        <w:spacing w:after="0" w:line="240" w:lineRule="auto"/>
      </w:pPr>
      <w:r>
        <w:separator/>
      </w:r>
    </w:p>
  </w:footnote>
  <w:footnote w:type="continuationSeparator" w:id="0">
    <w:p w14:paraId="039919B8" w14:textId="77777777" w:rsidR="00123E30" w:rsidRDefault="00123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069E" w14:textId="77777777" w:rsidR="00F74740" w:rsidRPr="00460B2F" w:rsidRDefault="00000000">
    <w:pPr>
      <w:pStyle w:val="Header"/>
      <w:jc w:val="right"/>
      <w:rPr>
        <w:lang w:val="es-CO"/>
      </w:rPr>
    </w:pPr>
    <w:r w:rsidRPr="00460B2F">
      <w:rPr>
        <w:color w:val="666666"/>
        <w:sz w:val="16"/>
        <w:lang w:val="es-CO"/>
      </w:rPr>
      <w:t>Índice Integral de Riesgo Municipal | Informe de Auditoría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006313"/>
    <w:multiLevelType w:val="hybridMultilevel"/>
    <w:tmpl w:val="C8E454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77636790">
    <w:abstractNumId w:val="8"/>
  </w:num>
  <w:num w:numId="2" w16cid:durableId="223224227">
    <w:abstractNumId w:val="6"/>
  </w:num>
  <w:num w:numId="3" w16cid:durableId="475073248">
    <w:abstractNumId w:val="5"/>
  </w:num>
  <w:num w:numId="4" w16cid:durableId="1742560694">
    <w:abstractNumId w:val="4"/>
  </w:num>
  <w:num w:numId="5" w16cid:durableId="1063060291">
    <w:abstractNumId w:val="7"/>
  </w:num>
  <w:num w:numId="6" w16cid:durableId="628051560">
    <w:abstractNumId w:val="3"/>
  </w:num>
  <w:num w:numId="7" w16cid:durableId="503327554">
    <w:abstractNumId w:val="2"/>
  </w:num>
  <w:num w:numId="8" w16cid:durableId="749887957">
    <w:abstractNumId w:val="1"/>
  </w:num>
  <w:num w:numId="9" w16cid:durableId="1357775630">
    <w:abstractNumId w:val="0"/>
  </w:num>
  <w:num w:numId="10" w16cid:durableId="1412048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E30"/>
    <w:rsid w:val="0015074B"/>
    <w:rsid w:val="001B3F2A"/>
    <w:rsid w:val="0029639D"/>
    <w:rsid w:val="0031526E"/>
    <w:rsid w:val="00326F90"/>
    <w:rsid w:val="004058FD"/>
    <w:rsid w:val="00460B2F"/>
    <w:rsid w:val="00471D83"/>
    <w:rsid w:val="006D2863"/>
    <w:rsid w:val="006E764E"/>
    <w:rsid w:val="00790686"/>
    <w:rsid w:val="007E4589"/>
    <w:rsid w:val="007F79C1"/>
    <w:rsid w:val="00836B77"/>
    <w:rsid w:val="00856942"/>
    <w:rsid w:val="00905F49"/>
    <w:rsid w:val="00933A1B"/>
    <w:rsid w:val="00944031"/>
    <w:rsid w:val="00AA1D8D"/>
    <w:rsid w:val="00B47730"/>
    <w:rsid w:val="00B726A2"/>
    <w:rsid w:val="00BB6D52"/>
    <w:rsid w:val="00CB0664"/>
    <w:rsid w:val="00CF78D5"/>
    <w:rsid w:val="00E4255B"/>
    <w:rsid w:val="00F74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5ACBE2-B076-46DA-86FE-8EAB7E455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1754</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Fernandez</cp:lastModifiedBy>
  <cp:revision>18</cp:revision>
  <dcterms:created xsi:type="dcterms:W3CDTF">2013-12-23T23:15:00Z</dcterms:created>
  <dcterms:modified xsi:type="dcterms:W3CDTF">2026-09-10T16:41:00Z</dcterms:modified>
  <cp:category/>
</cp:coreProperties>
</file>