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jc w:val="center"/>
      </w:pPr>
      <w:r>
        <w:rPr>
          <w:rFonts w:ascii="Arial" w:cs="Arial" w:eastAsia="Arial" w:hAnsi="Arial"/>
          <w:b/>
          <w:bCs/>
          <w:color w:val="1a1a2e"/>
          <w:sz w:val="40"/>
          <w:szCs w:val="40"/>
        </w:rPr>
        <w:t xml:space="preserve">Münster Event Venue Finder</w:t>
      </w:r>
    </w:p>
    <w:p>
      <w:pPr>
        <w:spacing w:after="80"/>
        <w:jc w:val="center"/>
      </w:pPr>
      <w:r>
        <w:rPr>
          <w:rFonts w:ascii="Arial" w:cs="Arial" w:eastAsia="Arial" w:hAnsi="Arial"/>
          <w:color w:val="555555"/>
          <w:sz w:val="24"/>
          <w:szCs w:val="24"/>
        </w:rPr>
        <w:t xml:space="preserve">A Web-Based GIS Application for Spatial Data Infrastructures</w:t>
      </w:r>
    </w:p>
    <w:p>
      <w:pPr>
        <w:spacing w:after="480"/>
        <w:jc w:val="center"/>
      </w:pPr>
      <w:r>
        <w:rPr>
          <w:rFonts w:ascii="Arial" w:cs="Arial" w:eastAsia="Arial" w:hAnsi="Arial"/>
          <w:color w:val="888888"/>
          <w:sz w:val="20"/>
          <w:szCs w:val="20"/>
        </w:rPr>
        <w:t xml:space="preserve">Spatial Data Infrastructures · Institute for Geoinformatics · University of Münster</w:t>
      </w:r>
    </w:p>
    <w:p>
      <w:pPr>
        <w:pStyle w:val="Heading1"/>
      </w:pPr>
      <w:r>
        <w:t xml:space="preserve">1. Introduction</w:t>
      </w:r>
    </w:p>
    <w:p>
      <w:pPr>
        <w:spacing w:after="200"/>
      </w:pPr>
      <w:r>
        <w:rPr>
          <w:rFonts w:ascii="Arial" w:cs="Arial" w:eastAsia="Arial" w:hAnsi="Arial"/>
          <w:sz w:val="24"/>
          <w:szCs w:val="24"/>
        </w:rPr>
        <w:t xml:space="preserve">This report describes the design, architecture, and implementation of a web-based GIS application developed as part of the Spatial Data Infrastructures course. The application, titled Münster Event Venue Finder, serves as an interactive mapping tool for discovering event venues across the city of Münster, Germany. The system integrates two spatial datasets — self-collected event venue data and publicly available bus stop locations — and exposes them through open geospatial standards to a browser-based frontend.</w:t>
      </w:r>
    </w:p>
    <w:p>
      <w:pPr>
        <w:spacing w:after="200"/>
      </w:pPr>
      <w:r>
        <w:rPr>
          <w:rFonts w:ascii="Arial" w:cs="Arial" w:eastAsia="Arial" w:hAnsi="Arial"/>
          <w:sz w:val="24"/>
          <w:szCs w:val="24"/>
        </w:rPr>
        <w:t xml:space="preserve">The motivation for the project stems from a practical need: finding suitable spaces for events such as meetings, workshops, or social gatherings is often a fragmented process. By bringing venue attributes, capacity information, contact details, and public transport accessibility together in a single spatial interface, the application aims to support more informed and efficient event planning decisions.</w:t>
      </w:r>
    </w:p>
    <w:p>
      <w:pPr>
        <w:pStyle w:val="Heading1"/>
      </w:pPr>
      <w:r>
        <w:t xml:space="preserve">2. Dataset and Data Preparation</w:t>
      </w:r>
    </w:p>
    <w:p>
      <w:pPr>
        <w:spacing w:after="200"/>
      </w:pPr>
      <w:r>
        <w:rPr>
          <w:rFonts w:ascii="Arial" w:cs="Arial" w:eastAsia="Arial" w:hAnsi="Arial"/>
          <w:sz w:val="24"/>
          <w:szCs w:val="24"/>
        </w:rPr>
        <w:t xml:space="preserve">Two datasets underpin the application. The first is a self-compiled dataset of event venues in Münster, authored in GeoJSON format. Each venue feature contains a rich set of attributes including venue name, type, category (indoor or outdoor), address, minimum and maximum capacity, availability on weekends and evenings, whether alcohol and food are permitted, noise restriction levels, permit requirements, contact information, suitable event types, and general notes. This dataset was authored manually and reflects real venues identifiable within the city.</w:t>
      </w:r>
    </w:p>
    <w:p>
      <w:pPr>
        <w:spacing w:after="200"/>
      </w:pPr>
      <w:r>
        <w:rPr>
          <w:rFonts w:ascii="Arial" w:cs="Arial" w:eastAsia="Arial" w:hAnsi="Arial"/>
          <w:sz w:val="24"/>
          <w:szCs w:val="24"/>
        </w:rPr>
        <w:t xml:space="preserve">The second dataset consists of bus stop locations for Münster, sourced as an external GeoJSON file. Both datasets were originally authored in GeoJSON, which is a widely supported open format for encoding geographic features. However, since GeoServer does not natively support GeoJSON as a data store without additional plugins, both files were converted to ESRI Shapefile format using QGIS prior to publication. During this conversion, it was observed that Shapefile's ten-character field name limit resulted in truncation of several attribute names, which had to be accounted for in the frontend code. Encoding was explicitly set to UTF-8 during export to preserve German special characters such as umlauts.</w:t>
      </w:r>
    </w:p>
    <w:p>
      <w:pPr>
        <w:pStyle w:val="Heading1"/>
      </w:pPr>
      <w:r>
        <w:t xml:space="preserve">3. System Architecture</w:t>
      </w:r>
    </w:p>
    <w:p>
      <w:pPr>
        <w:spacing w:after="200"/>
      </w:pPr>
      <w:r>
        <w:rPr>
          <w:rFonts w:ascii="Arial" w:cs="Arial" w:eastAsia="Arial" w:hAnsi="Arial"/>
          <w:sz w:val="24"/>
          <w:szCs w:val="24"/>
        </w:rPr>
        <w:t xml:space="preserve">The system follows a three-tier architecture consisting of a data tier, a service tier, and a presentation tier. At the data tier, both shapefiles are stored within GeoServer's data directory. At the service tier, GeoServer acts as the geospatial middleware, publishing each dataset as a distinct workspace and exposing it via OGC-compliant Web Feature Service (WFS) endpoints. The frontend consumes these endpoints at the presentation tier using JavaScript's Fetch API, requesting data in GeoJSON format via the outputFormat=application/json parameter.</w:t>
      </w:r>
    </w:p>
    <w:p>
      <w:pPr>
        <w:spacing w:after="200"/>
      </w:pPr>
      <w:r>
        <w:rPr>
          <w:rFonts w:ascii="Arial" w:cs="Arial" w:eastAsia="Arial" w:hAnsi="Arial"/>
          <w:sz w:val="24"/>
          <w:szCs w:val="24"/>
        </w:rPr>
        <w:t xml:space="preserve">GeoServer was configured with Cross-Origin Resource Sharing (CORS) support to allow the locally hosted frontend to make requests to the GeoServer instance running on a different port. This required editing the web.xml configuration file within GeoServer's deployment directory to enable the CrossOriginFilter, specifying wildcard allowances for origins, methods, and headers. The filter mapping was applied to all URL patterns to ensure both WFS and WMS endpoints were covered.</w:t>
      </w:r>
    </w:p>
    <w:p>
      <w:pPr>
        <w:spacing w:after="200"/>
      </w:pPr>
      <w:r>
        <w:rPr>
          <w:rFonts w:ascii="Arial" w:cs="Arial" w:eastAsia="Arial" w:hAnsi="Arial"/>
          <w:sz w:val="24"/>
          <w:szCs w:val="24"/>
        </w:rPr>
        <w:t xml:space="preserve">The frontend is structured as three separate files — index.html, style.css, and map.js — following a clean separation of concerns. The HTML file provides minimal structure and links to dependencies. The CSS file handles all visual styling including popup appearance, the map legend, header, and tooltip design. The JavaScript file contains all application logic.</w:t>
      </w:r>
    </w:p>
    <w:p>
      <w:pPr>
        <w:pStyle w:val="Heading1"/>
      </w:pPr>
      <w:r>
        <w:t xml:space="preserve">4. Frontend Implementation</w:t>
      </w:r>
    </w:p>
    <w:p>
      <w:pPr>
        <w:spacing w:after="200"/>
      </w:pPr>
      <w:r>
        <w:rPr>
          <w:rFonts w:ascii="Arial" w:cs="Arial" w:eastAsia="Arial" w:hAnsi="Arial"/>
          <w:sz w:val="24"/>
          <w:szCs w:val="24"/>
        </w:rPr>
        <w:t xml:space="preserve">The mapping interface is built on Leaflet.js, an open-source JavaScript library for interactive maps. On page load, both WFS endpoints are fetched simultaneously using Promise.all(), ensuring neither layer renders before both datasets are fully available. This is particularly important for the nearest bus stop calculation, which requires the complete bus stop dataset to be in memory.</w:t>
      </w:r>
    </w:p>
    <w:p>
      <w:pPr>
        <w:spacing w:after="200"/>
      </w:pPr>
      <w:r>
        <w:rPr>
          <w:rFonts w:ascii="Arial" w:cs="Arial" w:eastAsia="Arial" w:hAnsi="Arial"/>
          <w:sz w:val="24"/>
          <w:szCs w:val="24"/>
        </w:rPr>
        <w:t xml:space="preserve">Nearest bus stop proximity is calculated entirely client-side using the Haversine formula, which computes great-circle distance between two geographic coordinates. For each venue, the function iterates through all bus stop features and identifies the one with the minimum distance. The result — including the stop name and distance in metres — is displayed prominently at the top of each venue's popup. This approach avoids the need for a server-side spatial query and keeps the architecture simple while remaining accurate for city-scale distances.</w:t>
      </w:r>
    </w:p>
    <w:p>
      <w:pPr>
        <w:spacing w:after="200"/>
      </w:pPr>
      <w:r>
        <w:rPr>
          <w:rFonts w:ascii="Arial" w:cs="Arial" w:eastAsia="Arial" w:hAnsi="Arial"/>
          <w:sz w:val="24"/>
          <w:szCs w:val="24"/>
        </w:rPr>
        <w:t xml:space="preserve">Walking route generation is implemented using Leaflet Routing Machine, which interfaces with the OSRM pedestrian routing service. When a user clicks a venue marker, a route is drawn from the venue to its nearest bus stop. A global variable tracks the active route control so that clicking a different venue removes the previous route before drawing a new one. Waypoint markers are suppressed to avoid visual clutter, and the turn-by-turn directions panel is hidden via CSS, leaving only the route line visible on the map.</w:t>
      </w:r>
    </w:p>
    <w:p>
      <w:pPr>
        <w:spacing w:after="200"/>
      </w:pPr>
      <w:r>
        <w:rPr>
          <w:rFonts w:ascii="Arial" w:cs="Arial" w:eastAsia="Arial" w:hAnsi="Arial"/>
          <w:sz w:val="24"/>
          <w:szCs w:val="24"/>
        </w:rPr>
        <w:t xml:space="preserve">Venue popups are dynamically generated from GeoServer response properties and include null handling for optional fields such as contact phone, email, and website, so that missing values do not render empty icons or broken layout elements. Boolean attributes such as alcohol permitted, restrooms available, and food allowed are rendered as colour-coded badges. The suitable_for field, which arrives as a comma-separated string due to Shapefile's inability to store arrays, is split and rendered as individual tags within the popup.</w:t>
      </w:r>
    </w:p>
    <w:p>
      <w:pPr>
        <w:pStyle w:val="Heading1"/>
      </w:pPr>
      <w:r>
        <w:t xml:space="preserve">5. Challenges and Lessons Learned</w:t>
      </w:r>
    </w:p>
    <w:p>
      <w:pPr>
        <w:spacing w:after="200"/>
      </w:pPr>
      <w:r>
        <w:rPr>
          <w:rFonts w:ascii="Arial" w:cs="Arial" w:eastAsia="Arial" w:hAnsi="Arial"/>
          <w:sz w:val="24"/>
          <w:szCs w:val="24"/>
        </w:rPr>
        <w:t xml:space="preserve">Several technical challenges were encountered during implementation. The most persistent was CORS configuration on GeoServer. The default installation does not enable CORS, and the fix required manual editing of web.xml, including ensuring the filter-mapping block was present alongside the filter definition. On Jetty 10, the additional chainPreflight parameter set to false was necessary for preflight OPTIONS requests to be handled correctly.</w:t>
      </w:r>
    </w:p>
    <w:p>
      <w:pPr>
        <w:spacing w:after="200"/>
      </w:pPr>
      <w:r>
        <w:rPr>
          <w:rFonts w:ascii="Arial" w:cs="Arial" w:eastAsia="Arial" w:hAnsi="Arial"/>
          <w:sz w:val="24"/>
          <w:szCs w:val="24"/>
        </w:rPr>
        <w:t xml:space="preserve">The Shapefile format introduced several limitations that required workarounds. Field name truncation to ten characters meant that attribute references in the frontend code had to be updated to match the shortened names returned by GeoServer. Character encoding issues with German umlauts required explicit UTF-8 encoding during QGIS export and the addition of a .cpg companion file. Array-type properties such as suitable_for were flattened into comma-separated strings and had to be parsed back on the client side.</w:t>
      </w:r>
    </w:p>
    <w:p>
      <w:pPr>
        <w:spacing w:after="200"/>
      </w:pPr>
      <w:r>
        <w:rPr>
          <w:rFonts w:ascii="Arial" w:cs="Arial" w:eastAsia="Arial" w:hAnsi="Arial"/>
          <w:sz w:val="24"/>
          <w:szCs w:val="24"/>
        </w:rPr>
        <w:t xml:space="preserve">Working through these issues reinforced the value of understanding the full data pipeline from source format through geospatial middleware to the consuming application. It also highlighted the trade-offs inherent in format choices: while Shapefile is universally supported and easy to publish in GeoServer, its structural limitations make PostGIS a more appropriate choice for production systems with richer attribute schemas. Overall, the project provided practical experience with spatial data infrastructures, OGC service standards, client-side spatial computation, and the integration of open geospatial tools into a functioning web application.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20" w:after="160"/>
      <w:outlineLvl w:val="0"/>
    </w:pPr>
    <w:rPr>
      <w:rFonts w:ascii="Arial" w:cs="Arial" w:eastAsia="Arial" w:hAnsi="Arial"/>
      <w:b/>
      <w:bCs/>
      <w:color w:val="1a1a2e"/>
      <w:sz w:val="32"/>
      <w:szCs w:val="32"/>
    </w:rPr>
  </w:style>
  <w:style w:type="paragraph" w:styleId="Heading2">
    <w:name w:val="Heading 2"/>
    <w:basedOn w:val="Normal"/>
    <w:next w:val="Normal"/>
    <w:qFormat/>
    <w:pPr>
      <w:spacing w:before="240" w:after="120"/>
      <w:outlineLvl w:val="1"/>
    </w:pPr>
    <w:rPr>
      <w:rFonts w:ascii="Arial" w:cs="Arial" w:eastAsia="Arial" w:hAnsi="Arial"/>
      <w:b/>
      <w:bCs/>
      <w:color w:val="1a1a2e"/>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2026-02-28T13:06:14.150Z</dcterms:created>
  <dcterms:modified xsi:type="dcterms:W3CDTF">2026-02-28T13:06:14.151Z</dcterms:modified>
</cp:coreProperties>
</file>

<file path=docProps/custom.xml><?xml version="1.0" encoding="utf-8"?>
<Properties xmlns="http://schemas.openxmlformats.org/officeDocument/2006/custom-properties" xmlns:vt="http://schemas.openxmlformats.org/officeDocument/2006/docPropsVTypes"/>
</file>