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a1a2e"/>
          <w:sz w:val="40"/>
          <w:szCs w:val="40"/>
        </w:rPr>
        <w:t xml:space="preserve">Münster Event Venue Finder</w:t>
      </w:r>
    </w:p>
    <w:p>
      <w:pPr>
        <w:spacing w:after="80"/>
        <w:jc w:val="center"/>
      </w:pPr>
      <w:r>
        <w:rPr>
          <w:rFonts w:ascii="Arial" w:cs="Arial" w:eastAsia="Arial" w:hAnsi="Arial"/>
          <w:color w:val="555555"/>
          <w:sz w:val="24"/>
          <w:szCs w:val="24"/>
        </w:rPr>
        <w:t xml:space="preserve">A Web-Based GIS Application for Spatial Data Infrastructures</w:t>
      </w:r>
    </w:p>
    <w:p>
      <w:pPr>
        <w:spacing w:after="480"/>
        <w:jc w:val="center"/>
      </w:pPr>
      <w:r>
        <w:rPr>
          <w:rFonts w:ascii="Arial" w:cs="Arial" w:eastAsia="Arial" w:hAnsi="Arial"/>
          <w:color w:val="888888"/>
          <w:sz w:val="20"/>
          <w:szCs w:val="20"/>
        </w:rPr>
        <w:t xml:space="preserve">Spatial Data Infrastructures · Institute for Geoinformatics · University of Münster</w:t>
      </w:r>
    </w:p>
    <w:p>
      <w:pPr>
        <w:pStyle w:val="Heading1"/>
      </w:pPr>
      <w:r>
        <w:t xml:space="preserve">1. Introduction</w:t>
      </w:r>
    </w:p>
    <w:p>
      <w:pPr>
        <w:spacing w:after="200"/>
      </w:pPr>
      <w:r>
        <w:rPr>
          <w:rFonts w:ascii="Arial" w:cs="Arial" w:eastAsia="Arial" w:hAnsi="Arial"/>
          <w:sz w:val="24"/>
          <w:szCs w:val="24"/>
        </w:rPr>
        <w:t xml:space="preserve">This report describes the design, architecture, and implementation of the Münster Event Venue Finder, a web-based GIS application developed for the Spatial Data Infrastructures course. The application provides an interactive map for discovering event venues across Münster, integrating a self-compiled venue dataset with public bus stop locations. Both datasets are exposed through OGC-compliant web services to a Leaflet.js frontend, allowing users to explore venue attributes and assess public transport accessibility in a single interface.</w:t>
      </w:r>
    </w:p>
    <w:p>
      <w:pPr>
        <w:pStyle w:val="Heading1"/>
      </w:pPr>
      <w:r>
        <w:t xml:space="preserve">2. Dataset and Data Preparation</w:t>
      </w:r>
    </w:p>
    <w:p>
      <w:pPr>
        <w:spacing w:after="200"/>
      </w:pPr>
      <w:r>
        <w:rPr>
          <w:rFonts w:ascii="Arial" w:cs="Arial" w:eastAsia="Arial" w:hAnsi="Arial"/>
          <w:sz w:val="24"/>
          <w:szCs w:val="24"/>
        </w:rPr>
        <w:t xml:space="preserve">The application draws on two datasets. The first is a self-compiled GeoJSON file of event venues in Münster, with each feature carrying over twenty attributes including venue type, indoor or outdoor category, address, minimum and maximum capacity, availability on weekends and evenings, whether alcohol and food are permitted, noise restriction level, permit requirements, contact information, suitable event types, and general notes. The second dataset is an external GeoJSON file of Münster bus stops, used to support public transport proximity analysis.</w:t>
      </w:r>
    </w:p>
    <w:p>
      <w:pPr>
        <w:spacing w:after="200"/>
      </w:pPr>
      <w:r>
        <w:rPr>
          <w:rFonts w:ascii="Arial" w:cs="Arial" w:eastAsia="Arial" w:hAnsi="Arial"/>
          <w:sz w:val="24"/>
          <w:szCs w:val="24"/>
        </w:rPr>
        <w:t xml:space="preserve">Since GeoServer does not natively support GeoJSON as a data store without additional plugins, both files were converted to ESRI Shapefile format using QGIS prior to publication. This conversion introduced several limitations that required careful handling downstream. Field names were truncated to ten characters, meaning attribute references in the frontend had to match the shortened names returned by GeoServer. Array-type properties such as suitable_for were flattened into comma-separated strings and had to be parsed back on the client side. Encoding was set explicitly to UTF-8 during export, and a .cpg companion file was added to ensure German umlauts rendered correctly.</w:t>
      </w:r>
    </w:p>
    <w:p>
      <w:pPr>
        <w:pStyle w:val="Heading1"/>
      </w:pPr>
      <w:r>
        <w:t xml:space="preserve">3. System Architecture</w:t>
      </w:r>
    </w:p>
    <w:p>
      <w:pPr>
        <w:spacing w:after="200"/>
      </w:pPr>
      <w:r>
        <w:rPr>
          <w:rFonts w:ascii="Arial" w:cs="Arial" w:eastAsia="Arial" w:hAnsi="Arial"/>
          <w:sz w:val="24"/>
          <w:szCs w:val="24"/>
        </w:rPr>
        <w:t xml:space="preserve">The system follows a three-tier architecture consisting of a data tier, a service tier, and a presentation tier. At the data tier, both shapefiles are stored within GeoServer's data directory. At the service tier, GeoServer publishes each dataset as a separate workspace and exposes it via Web Feature Service endpoints, returning data in GeoJSON format through the outputFormat=application/json parameter. At the presentation tier, a Leaflet.js frontend fetches both endpoints simultaneously using Promise.all() and renders the results as interactive map layers. CORS support was enabled by configuring the CrossOriginFilter in GeoServer's web.xml, with the chainPreflight parameter set to false for Jetty 10 compatibility. The frontend is cleanly separated across three files — index.html, style.css, and map.js — handling structure, styling, and logic independently.</w:t>
      </w:r>
    </w:p>
    <w:p>
      <w:pPr>
        <w:pStyle w:val="Heading1"/>
      </w:pPr>
      <w:r>
        <w:t xml:space="preserve">4. Frontend Implementation</w:t>
      </w:r>
    </w:p>
    <w:p>
      <w:pPr>
        <w:spacing w:after="200"/>
      </w:pPr>
      <w:r>
        <w:rPr>
          <w:rFonts w:ascii="Arial" w:cs="Arial" w:eastAsia="Arial" w:hAnsi="Arial"/>
          <w:sz w:val="24"/>
          <w:szCs w:val="24"/>
        </w:rPr>
        <w:t xml:space="preserve">Each venue is rendered as a custom SVG marker. Clicking it opens a styled popup displaying the full set of venue attributes. A highlighted entry at the top of each popup shows the nearest bus stop, computed entirely client-side using the Haversine formula, which iterates over all bus stop features to identify the minimum great-circle distance and returns both the stop name and distance in metres. Boolean attributes such as restrooms available, alcohol permitted, and food allowed are rendered as colour-coded yes/no badges, while the suitable_for field is split from its comma-separated string back into individual visual tags. Null handling throughout the popup builder ensures that venues with missing contact details do not render broken icons or empty layout elements.</w:t>
      </w:r>
    </w:p>
    <w:p>
      <w:pPr>
        <w:spacing w:after="200"/>
      </w:pPr>
      <w:r>
        <w:rPr>
          <w:rFonts w:ascii="Arial" w:cs="Arial" w:eastAsia="Arial" w:hAnsi="Arial"/>
          <w:sz w:val="24"/>
          <w:szCs w:val="24"/>
        </w:rPr>
        <w:t xml:space="preserve">Clicking a venue also triggers a pedestrian walking route drawn from the venue to its nearest bus stop, implemented using Leaflet Routing Machine against the OSRM pedestrian routing endpoint. A global variable tracks the active route control, ensuring that any previously drawn route is removed before a new one is rendered. Waypoint markers are suppressed and the turn-by-turn directions panel is hidden via CSS, leaving only the route polyline visible on the map.</w:t>
      </w:r>
    </w:p>
    <w:p>
      <w:pPr>
        <w:pStyle w:val="Heading1"/>
      </w:pPr>
      <w:r>
        <w:t xml:space="preserve">5. Challenges and Lessons Learned</w:t>
      </w:r>
    </w:p>
    <w:p>
      <w:pPr>
        <w:spacing w:after="200"/>
      </w:pPr>
      <w:r>
        <w:rPr>
          <w:rFonts w:ascii="Arial" w:cs="Arial" w:eastAsia="Arial" w:hAnsi="Arial"/>
          <w:sz w:val="24"/>
          <w:szCs w:val="24"/>
        </w:rPr>
        <w:t xml:space="preserve">Several technical challenges arose during implementation. The most persistent was CORS configuration in GeoServer. Enabling it required both a filter definition and a corresponding filter-mapping block in web.xml, and on Jetty 10 the chainPreflight parameter had to be set to false for preflight OPTIONS requests to be handled correctly — without it, the browser continued to block requests despite the filter being present. Shapefile's structural constraints also introduced friction: truncated field names required updating all attribute references in the frontend, array values had to be reconstructed from strings, and encoding issues with German characters took multiple steps to resolve including re-exporting from QGIS and adding a .cpg file.</w:t>
      </w:r>
    </w:p>
    <w:p>
      <w:pPr>
        <w:spacing w:after="200"/>
      </w:pPr>
      <w:r>
        <w:rPr>
          <w:rFonts w:ascii="Arial" w:cs="Arial" w:eastAsia="Arial" w:hAnsi="Arial"/>
          <w:sz w:val="24"/>
          <w:szCs w:val="24"/>
        </w:rPr>
        <w:t xml:space="preserve">These experiences highlighted the trade-off between Shapefile's universal compatibility and the richer capabilities of PostGIS, which would be the more appropriate choice for a production system with complex attribute schemas and server-side spatial queries. Overall, the project provided practical end-to-end experience with a spatial data infrastructure: from data preparation and OGC service publication through GeoServer, to client-side spatial computation and interactive web mapping with Leaflet.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2026-03-01T15:13:42.813Z</dcterms:created>
  <dcterms:modified xsi:type="dcterms:W3CDTF">2026-03-01T15:13:42.814Z</dcterms:modified>
</cp:coreProperties>
</file>

<file path=docProps/custom.xml><?xml version="1.0" encoding="utf-8"?>
<Properties xmlns="http://schemas.openxmlformats.org/officeDocument/2006/custom-properties" xmlns:vt="http://schemas.openxmlformats.org/officeDocument/2006/docPropsVTypes"/>
</file>