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rPr>
      </w:pPr>
      <w:r>
        <w:rPr>
          <w:b/>
          <w:bCs/>
        </w:rPr>
      </w:r>
    </w:p>
    <w:tbl>
      <w:tblPr>
        <w:tblpPr w:bottomFromText="0" w:horzAnchor="margin" w:leftFromText="141" w:rightFromText="141" w:tblpX="0" w:tblpXSpec="center" w:tblpY="0" w:tblpYSpec="top" w:topFromText="0" w:vertAnchor="text"/>
        <w:tblW w:w="109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95"/>
        <w:gridCol w:w="1421"/>
        <w:gridCol w:w="4480"/>
      </w:tblGrid>
      <w:tr>
        <w:trPr>
          <w:trHeight w:val="221" w:hRule="atLeast"/>
        </w:trPr>
        <w:tc>
          <w:tcPr>
            <w:tcW w:w="5095" w:type="dxa"/>
            <w:tcBorders/>
          </w:tcPr>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RÉPUBLIQUE DU CAMEROUN</w:t>
            </w:r>
          </w:p>
          <w:p>
            <w:pPr>
              <w:pStyle w:val="Normal"/>
              <w:widowControl w:val="false"/>
              <w:tabs>
                <w:tab w:val="clear" w:pos="709"/>
                <w:tab w:val="center" w:pos="2610" w:leader="none"/>
                <w:tab w:val="right" w:pos="5220" w:leader="none"/>
              </w:tabs>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Paix-Travail-Patrie</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 xml:space="preserve">MINISTÈRE DE LA JEUNESSE ET </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DE L’ÉDUCATION CIVIQUE</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SECRÉTARIAT GÉNÉRAL</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 xml:space="preserve">DIVISION DE LA COOPÉRATION ET </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DES STATISTIQUES</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CELLULE DE LA COOPÉRATION</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r>
          </w:p>
          <w:p>
            <w:pPr>
              <w:pStyle w:val="Normal"/>
              <w:widowControl w:val="false"/>
              <w:bidi w:val="0"/>
              <w:spacing w:lineRule="auto" w:line="240" w:before="0" w:after="0"/>
              <w:ind w:hanging="0"/>
              <w:jc w:val="center"/>
              <w:rPr>
                <w:rFonts w:ascii="Maiandra GD" w:hAnsi="Maiandra GD"/>
                <w:b/>
                <w:b/>
              </w:rPr>
            </w:pPr>
            <w:r>
              <w:rPr>
                <w:rFonts w:eastAsia="Calibri" w:cs="Times New Roman" w:ascii="Times New Roman" w:hAnsi="Times New Roman"/>
                <w:b/>
                <w:sz w:val="18"/>
                <w:szCs w:val="18"/>
              </w:rPr>
              <w:t>N°_______/N/MINJEC/SG/DCOS/CELCOOP</w:t>
            </w:r>
            <w:r>
              <w:rPr>
                <w:rFonts w:eastAsia="Calibri" w:cs="Times New Roman" w:ascii="Maiandra GD" w:hAnsi="Maiandra GD"/>
                <w:b/>
                <w:sz w:val="20"/>
                <w:szCs w:val="20"/>
              </w:rPr>
              <w:t xml:space="preserve"> </w:t>
            </w:r>
          </w:p>
        </w:tc>
        <w:tc>
          <w:tcPr>
            <w:tcW w:w="1421" w:type="dxa"/>
            <w:tcBorders/>
          </w:tcPr>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mc:AlternateContent>
                <mc:Choice Requires="wpg">
                  <w:drawing>
                    <wp:anchor behindDoc="0" distT="0" distB="0" distL="0" distR="0" simplePos="0" locked="0" layoutInCell="0" allowOverlap="1" relativeHeight="2" wp14:anchorId="3CECBE58">
                      <wp:simplePos x="0" y="0"/>
                      <wp:positionH relativeFrom="column">
                        <wp:posOffset>86995</wp:posOffset>
                      </wp:positionH>
                      <wp:positionV relativeFrom="paragraph">
                        <wp:posOffset>455930</wp:posOffset>
                      </wp:positionV>
                      <wp:extent cx="577850" cy="577850"/>
                      <wp:effectExtent l="0" t="0" r="0" b="0"/>
                      <wp:wrapNone/>
                      <wp:docPr id="1" name="Groupe 2"/>
                      <a:graphic xmlns:a="http://schemas.openxmlformats.org/drawingml/2006/main">
                        <a:graphicData uri="http://schemas.microsoft.com/office/word/2010/wordprocessingGroup">
                          <wpg:wgp>
                            <wpg:cNvGrpSpPr/>
                            <wpg:grpSpPr>
                              <a:xfrm>
                                <a:off x="0" y="0"/>
                                <a:ext cx="577800" cy="577800"/>
                                <a:chOff x="0" y="0"/>
                                <a:chExt cx="577800" cy="577800"/>
                              </a:xfrm>
                            </wpg:grpSpPr>
                            <pic:pic xmlns:pic="http://schemas.openxmlformats.org/drawingml/2006/picture">
                              <pic:nvPicPr>
                                <pic:cNvPr id="0" name="Picture 2" descr=""/>
                                <pic:cNvPicPr/>
                              </pic:nvPicPr>
                              <pic:blipFill>
                                <a:blip r:embed="rId2"/>
                                <a:stretch/>
                              </pic:blipFill>
                              <pic:spPr>
                                <a:xfrm>
                                  <a:off x="0" y="0"/>
                                  <a:ext cx="577800" cy="577800"/>
                                </a:xfrm>
                                <a:prstGeom prst="rect">
                                  <a:avLst/>
                                </a:prstGeom>
                                <a:ln w="0">
                                  <a:noFill/>
                                </a:ln>
                              </pic:spPr>
                            </pic:pic>
                            <wps:wsp>
                              <wps:cNvSpPr/>
                              <wps:spPr>
                                <a:xfrm>
                                  <a:off x="244440" y="201240"/>
                                  <a:ext cx="81360" cy="4392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54800" y="212040"/>
                                  <a:ext cx="47520" cy="38160"/>
                                </a:xfrm>
                                <a:custGeom>
                                  <a:avLst/>
                                  <a:gdLst/>
                                  <a:ah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525">
                                  <a:solidFill>
                                    <a:srgbClr val="ffc000"/>
                                  </a:solidFill>
                                  <a:miter/>
                                </a:ln>
                              </wps:spPr>
                              <wps:style>
                                <a:lnRef idx="0"/>
                                <a:fillRef idx="0"/>
                                <a:effectRef idx="0"/>
                                <a:fontRef idx="minor"/>
                              </wps:style>
                              <wps:bodyPr/>
                            </wps:wsp>
                          </wpg:wgp>
                        </a:graphicData>
                      </a:graphic>
                    </wp:anchor>
                  </w:drawing>
                </mc:Choice>
                <mc:Fallback>
                  <w:pict>
                    <v:group id="shape_0" alt="Groupe 2" style="position:absolute;margin-left:6.85pt;margin-top:35.9pt;width:45.5pt;height:45.5pt" coordorigin="137,718" coordsize="910,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left:137;top:718;width:909;height:909;mso-wrap-style:none;v-text-anchor:middle" type="_x0000_t75">
                        <v:imagedata r:id="rId2" o:detectmouseclick="t"/>
                        <v:stroke color="#3465a4" joinstyle="round" endcap="flat"/>
                        <w10:wrap type="none"/>
                      </v:shape>
                      <v:shapetype id="_x0000_t5" coordsize="21600,21600" o:spt="5" adj="10800" path="m,21600l@0,l21600,21600xe">
                        <v:stroke joinstyle="miter"/>
                        <v:formulas>
                          <v:f eqn="val #0"/>
                          <v:f eqn="prod 1 @0 2"/>
                          <v:f eqn="sum @1 10800 0"/>
                        </v:formulas>
                        <v:path gradientshapeok="t" o:connecttype="rect" textboxrect="@1,10800,@2,21600"/>
                        <v:handles>
                          <v:h position="@0,0"/>
                        </v:handles>
                      </v:shapetype>
                      <v:shape id="shape_0" path="l-2147483641,0l-2147483635,-2147483636xe" fillcolor="#cc0000" stroked="f" o:allowincell="f" style="position:absolute;left:522;top:1035;width:127;height:68;mso-wrap-style:none;v-text-anchor:middle" type="_x0000_t5">
                        <v:fill o:detectmouseclick="t" type="solid" color2="#33ffff"/>
                        <v:stroke color="#3465a4" joinstyle="round" endcap="flat"/>
                        <w10:wrap type="none"/>
                      </v:shape>
                    </v:group>
                  </w:pict>
                </mc:Fallback>
              </mc:AlternateContent>
            </w:r>
          </w:p>
        </w:tc>
        <w:tc>
          <w:tcPr>
            <w:tcW w:w="4480" w:type="dxa"/>
            <w:tcBorders/>
          </w:tcPr>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REPUBLIC OF CAMEROON</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Peace-Work-Fatherland</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MINISTRY OF YOUTH AFFAIRS AND</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 xml:space="preserve"> </w:t>
            </w:r>
            <w:r>
              <w:rPr>
                <w:rFonts w:eastAsia="Calibri" w:cs="Times New Roman" w:ascii="Times New Roman" w:hAnsi="Times New Roman"/>
                <w:b/>
                <w:sz w:val="20"/>
                <w:szCs w:val="20"/>
                <w:lang w:val="en-US"/>
              </w:rPr>
              <w:t>CIVIC EDUCATION</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GENERAL SECRETARIAT</w:t>
            </w:r>
          </w:p>
          <w:p>
            <w:pPr>
              <w:pStyle w:val="Normal"/>
              <w:widowControl w:val="false"/>
              <w:bidi w:val="0"/>
              <w:spacing w:lineRule="auto" w:line="240" w:before="0" w:after="0"/>
              <w:jc w:val="center"/>
              <w:rPr>
                <w:rFonts w:ascii="Times New Roman" w:hAnsi="Times New Roman" w:eastAsia="Calibri" w:cs="Times New Roman"/>
                <w:b/>
                <w:b/>
                <w:sz w:val="20"/>
                <w:szCs w:val="20"/>
              </w:rPr>
            </w:pPr>
            <w:r>
              <w:rPr>
                <w:rFonts w:eastAsia="Calibri" w:cs="Times New Roman" w:ascii="Times New Roman" w:hAnsi="Times New Roman"/>
                <w:b/>
                <w:sz w:val="20"/>
                <w:szCs w:val="20"/>
              </w:rPr>
              <w:t>--------------------</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 xml:space="preserve">DIVISION OF COOPERATION </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AND STATISTICS</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COOPERATION UNIT</w:t>
            </w:r>
          </w:p>
          <w:p>
            <w:pPr>
              <w:pStyle w:val="Normal"/>
              <w:widowControl w:val="false"/>
              <w:bidi w:val="0"/>
              <w:spacing w:lineRule="auto" w:line="240" w:before="0" w:after="0"/>
              <w:jc w:val="center"/>
              <w:rPr>
                <w:rFonts w:ascii="Times New Roman" w:hAnsi="Times New Roman" w:eastAsia="Calibri" w:cs="Times New Roman"/>
                <w:b/>
                <w:b/>
                <w:sz w:val="20"/>
                <w:szCs w:val="20"/>
                <w:lang w:val="en-US"/>
              </w:rPr>
            </w:pPr>
            <w:r>
              <w:rPr>
                <w:rFonts w:eastAsia="Calibri" w:cs="Times New Roman" w:ascii="Times New Roman" w:hAnsi="Times New Roman"/>
                <w:b/>
                <w:sz w:val="20"/>
                <w:szCs w:val="20"/>
                <w:lang w:val="en-US"/>
              </w:rPr>
              <w:t>--------------------</w:t>
            </w:r>
          </w:p>
          <w:p>
            <w:pPr>
              <w:pStyle w:val="Normal"/>
              <w:widowControl w:val="false"/>
              <w:bidi w:val="0"/>
              <w:spacing w:lineRule="auto" w:line="240" w:before="0" w:after="0"/>
              <w:ind w:hanging="0"/>
              <w:jc w:val="left"/>
              <w:rPr>
                <w:rFonts w:ascii="Maiandra GD" w:hAnsi="Maiandra GD"/>
              </w:rPr>
            </w:pPr>
            <w:r>
              <w:rPr>
                <w:rFonts w:ascii="Maiandra GD" w:hAnsi="Maiandra GD"/>
              </w:rPr>
            </w:r>
          </w:p>
          <w:p>
            <w:pPr>
              <w:pStyle w:val="Normal"/>
              <w:widowControl w:val="false"/>
              <w:bidi w:val="0"/>
              <w:spacing w:lineRule="auto" w:line="240" w:before="0" w:after="0"/>
              <w:ind w:hanging="0"/>
              <w:jc w:val="left"/>
              <w:rPr>
                <w:rFonts w:ascii="Times New Roman" w:hAnsi="Times New Roman" w:eastAsia="Calibri" w:cs="Times New Roman"/>
                <w:b/>
                <w:b/>
                <w:i/>
                <w:i/>
                <w:iCs/>
                <w:sz w:val="20"/>
                <w:szCs w:val="20"/>
              </w:rPr>
            </w:pPr>
            <w:r>
              <w:rPr>
                <w:rFonts w:eastAsia="Calibri" w:cs="Times New Roman" w:ascii="Maiandra GD" w:hAnsi="Maiandra GD"/>
                <w:b/>
                <w:i/>
                <w:iCs/>
                <w:sz w:val="20"/>
                <w:szCs w:val="20"/>
              </w:rPr>
              <w:t>Yaoundé, le</w:t>
            </w:r>
          </w:p>
        </w:tc>
      </w:tr>
    </w:tbl>
    <w:p>
      <w:pPr>
        <w:pStyle w:val="Normal"/>
        <w:bidi w:val="0"/>
        <w:jc w:val="center"/>
        <w:rPr>
          <w:b/>
          <w:b/>
          <w:bCs/>
        </w:rPr>
      </w:pPr>
      <w:r>
        <w:rPr>
          <w:b/>
          <w:bCs/>
        </w:rPr>
      </w:r>
    </w:p>
    <w:p>
      <w:pPr>
        <w:pStyle w:val="Normal"/>
        <w:bidi w:val="0"/>
        <w:jc w:val="center"/>
        <w:rPr>
          <w:b/>
          <w:b/>
          <w:bCs/>
        </w:rPr>
      </w:pPr>
      <w:r>
        <w:rPr>
          <w:b/>
          <w:bCs/>
        </w:rPr>
      </w:r>
    </w:p>
    <w:p>
      <w:pPr>
        <w:pStyle w:val="Normal"/>
        <w:bidi w:val="0"/>
        <w:jc w:val="center"/>
        <w:rPr>
          <w:b/>
          <w:b/>
          <w:bCs/>
          <w:sz w:val="28"/>
          <w:szCs w:val="28"/>
        </w:rPr>
      </w:pPr>
      <w:r>
        <w:rPr>
          <w:b/>
          <w:bCs/>
          <w:sz w:val="28"/>
          <w:szCs w:val="28"/>
        </w:rPr>
        <w:t>PRÉSENTATION DES DOLÉANCES DU MINJEC AU MINEPAT</w:t>
      </w:r>
    </w:p>
    <w:p>
      <w:pPr>
        <w:pStyle w:val="Normal"/>
        <w:bidi w:val="0"/>
        <w:jc w:val="both"/>
        <w:rPr/>
      </w:pPr>
      <w:r>
        <w:rPr/>
      </w:r>
    </w:p>
    <w:p>
      <w:pPr>
        <w:pStyle w:val="Normal"/>
        <w:bidi w:val="0"/>
        <w:jc w:val="both"/>
        <w:rPr/>
      </w:pPr>
      <w:r>
        <w:rPr/>
      </w:r>
    </w:p>
    <w:p>
      <w:pPr>
        <w:pStyle w:val="Normal"/>
        <w:bidi w:val="0"/>
        <w:jc w:val="both"/>
        <w:rPr/>
      </w:pPr>
      <w:r>
        <w:rPr/>
        <w:tab/>
      </w:r>
      <w:r>
        <w:rPr>
          <w:b/>
          <w:bCs/>
        </w:rPr>
        <w:t>Monsieur le Directeur Général,</w:t>
      </w:r>
    </w:p>
    <w:p>
      <w:pPr>
        <w:pStyle w:val="Normal"/>
        <w:bidi w:val="0"/>
        <w:jc w:val="both"/>
        <w:rPr>
          <w:b/>
          <w:b/>
          <w:bCs/>
        </w:rPr>
      </w:pPr>
      <w:r>
        <w:rPr>
          <w:b/>
          <w:bCs/>
        </w:rPr>
        <w:tab/>
        <w:t>Mesdames et Messieurs,</w:t>
      </w:r>
    </w:p>
    <w:p>
      <w:pPr>
        <w:pStyle w:val="Normal"/>
        <w:bidi w:val="0"/>
        <w:jc w:val="both"/>
        <w:rPr/>
      </w:pPr>
      <w:r>
        <w:rPr/>
      </w:r>
    </w:p>
    <w:p>
      <w:pPr>
        <w:pStyle w:val="Normal"/>
        <w:bidi w:val="0"/>
        <w:jc w:val="both"/>
        <w:rPr/>
      </w:pPr>
      <w:r>
        <w:rPr/>
        <w:tab/>
        <w:t xml:space="preserve">Le Ministère de la Jeunesse et de l’Éducation Civique </w:t>
      </w:r>
      <w:r>
        <w:rPr/>
        <w:t>(MINJEC)</w:t>
      </w:r>
      <w:r>
        <w:rPr/>
        <w:t xml:space="preserve"> souhaite, à travers cette rencontre, soumettre un certain nombre de préoccupations et attentes qui sont essentielles pour renforcer notre capacité de mobilisation des ressources extérieures et améliorer l’impact de nos interventions auprès de la jeunesse.</w:t>
      </w:r>
    </w:p>
    <w:p>
      <w:pPr>
        <w:pStyle w:val="Normal"/>
        <w:bidi w:val="0"/>
        <w:jc w:val="both"/>
        <w:rPr/>
      </w:pPr>
      <w:r>
        <w:rPr/>
        <w:tab/>
        <w:t xml:space="preserve">• </w:t>
      </w:r>
      <w:r>
        <w:rPr>
          <w:b/>
          <w:bCs/>
        </w:rPr>
        <w:t xml:space="preserve">Le MINJEC sollicite une clarification détaillée des mécanismes de maturation des projets au sein du MINEPAT. </w:t>
      </w:r>
      <w:r>
        <w:rPr/>
        <w:t>Nous souhaitons disposer d’une compréhension précise du circuit d’instruction technique, des exigences en matière de canevas, de logique de résultats, d’indicateurs, ainsi que des délais moyens de traitement. Une telle clarification nous permettra de structurer nos projets en conformité avec les standards attendus.</w:t>
      </w:r>
    </w:p>
    <w:p>
      <w:pPr>
        <w:pStyle w:val="Normal"/>
        <w:bidi w:val="0"/>
        <w:jc w:val="both"/>
        <w:rPr/>
      </w:pPr>
      <w:r>
        <w:rPr/>
        <w:tab/>
      </w:r>
      <w:r>
        <w:rPr>
          <w:b/>
          <w:bCs/>
        </w:rPr>
        <w:t xml:space="preserve">• Le MINJEC demande un appui pour identifier les guichets et fenêtres de financement accessibles aux ministères sectoriels. </w:t>
      </w:r>
      <w:r>
        <w:rPr/>
        <w:t>Dans un contexte marqué par la rareté des ressources, il nous est indispensable de connaître les opportunités bilatérales, multilatérales et thématiques disponibles, ainsi que les critères d’éligibilité correspondants, afin de mieux positionner nos projets.</w:t>
      </w:r>
    </w:p>
    <w:p>
      <w:pPr>
        <w:pStyle w:val="Normal"/>
        <w:bidi w:val="0"/>
        <w:jc w:val="both"/>
        <w:rPr/>
      </w:pPr>
      <w:r>
        <w:rPr/>
        <w:tab/>
      </w:r>
      <w:r>
        <w:rPr>
          <w:b/>
          <w:bCs/>
        </w:rPr>
        <w:t xml:space="preserve">• Le MINJEC souhaite être accompagné dans la formulation et la maturation de certains projets structurants. </w:t>
      </w:r>
      <w:r>
        <w:rPr/>
        <w:t>Plusieurs initiatives en matière d’insertion socio-économique, de cohésion sociale, d’innovation, de digitalisation et d’autonomisation des jeunes femmes nécessitent un accompagnement technique du MINEPAT afin d’accéder à des financements extérieurs.</w:t>
      </w:r>
    </w:p>
    <w:p>
      <w:pPr>
        <w:pStyle w:val="Normal"/>
        <w:bidi w:val="0"/>
        <w:jc w:val="both"/>
        <w:rPr/>
      </w:pPr>
      <w:r>
        <w:rPr/>
        <w:tab/>
      </w:r>
      <w:r>
        <w:rPr>
          <w:b/>
          <w:bCs/>
        </w:rPr>
        <w:t xml:space="preserve">• Le MINJEC sollicite la désignation d’un point focal au sein de la DGCOOP pour optimiser la coordination. </w:t>
      </w:r>
      <w:r>
        <w:rPr/>
        <w:t>Un interlocuteur unique faciliterait le suivi des projets, la transmission des dossiers, la clarification technique et l’accélération des validations.</w:t>
      </w:r>
    </w:p>
    <w:p>
      <w:pPr>
        <w:pStyle w:val="Normal"/>
        <w:bidi w:val="0"/>
        <w:jc w:val="both"/>
        <w:rPr/>
      </w:pPr>
      <w:r>
        <w:rPr/>
        <w:tab/>
      </w:r>
      <w:r>
        <w:rPr>
          <w:b/>
          <w:bCs/>
        </w:rPr>
        <w:t xml:space="preserve">• Le MINJEC demande l’appui du MINEPAT pour la reconduction de l’éligibilité du Cameroun au Peace </w:t>
      </w:r>
      <w:r>
        <w:rPr>
          <w:b/>
          <w:bCs/>
        </w:rPr>
        <w:t>B</w:t>
      </w:r>
      <w:r>
        <w:rPr>
          <w:b/>
          <w:bCs/>
        </w:rPr>
        <w:t xml:space="preserve">uilding Fund (PBF). </w:t>
      </w:r>
      <w:r>
        <w:rPr/>
        <w:t>Le PBF constitue l’un des rares financements non remboursables encore disponibles pour notre pays. Sa reconduction apparaît essentielle au regard des besoins persistants dans les zones affectées par les crises. Nous souhaitons explorer avec le MINEPAT les démarches techniques et diplomatiques susceptibles de renforcer la position du Cameroun auprès des instances onusiennes et de faciliter cette reconduction.</w:t>
      </w:r>
    </w:p>
    <w:p>
      <w:pPr>
        <w:pStyle w:val="Normal"/>
        <w:bidi w:val="0"/>
        <w:jc w:val="both"/>
        <w:rPr/>
      </w:pPr>
      <w:r>
        <w:rPr/>
        <w:tab/>
      </w:r>
      <w:r>
        <w:rPr>
          <w:b/>
          <w:bCs/>
        </w:rPr>
        <w:t xml:space="preserve">• Le MINJEC souhaite bénéficier du soutien du MINEPAT pour renforcer son positionnement dans les partenariats bilatéraux et multilatéraux récents. </w:t>
      </w:r>
      <w:r>
        <w:rPr/>
        <w:t>Les opportunités identifiées à travers les coopérations avec la Chine, l’Inde, la France, la Turquie ou encore l’Union européenne nécessitent une consolidation stratégique jointe, afin de maximiser les chances d’obtention de financements.</w:t>
      </w:r>
    </w:p>
    <w:p>
      <w:pPr>
        <w:pStyle w:val="Normal"/>
        <w:bidi w:val="0"/>
        <w:jc w:val="both"/>
        <w:rPr/>
      </w:pPr>
      <w:r>
        <w:rPr/>
        <w:tab/>
      </w:r>
      <w:r>
        <w:rPr>
          <w:b/>
          <w:bCs/>
        </w:rPr>
        <w:t xml:space="preserve">• Le MINJEC exprime le besoin d’un cadre de travail conjoint entre nos deux départements. </w:t>
      </w:r>
      <w:r>
        <w:rPr/>
        <w:t>Ce cadre permettrait de planifier les projets à soumettre, de renforcer la cohérence des actions, de suivre les financements disponibles et de structurer un dispositif durable de mobilisation des ressources extérieures en faveur de la jeunesse.</w:t>
      </w:r>
    </w:p>
    <w:p>
      <w:pPr>
        <w:pStyle w:val="Normal"/>
        <w:bidi w:val="0"/>
        <w:jc w:val="both"/>
        <w:rPr/>
      </w:pPr>
      <w:r>
        <w:rPr/>
      </w:r>
    </w:p>
    <w:p>
      <w:pPr>
        <w:pStyle w:val="Normal"/>
        <w:bidi w:val="0"/>
        <w:jc w:val="both"/>
        <w:rPr/>
      </w:pPr>
      <w:r>
        <w:rPr/>
        <w:tab/>
      </w:r>
      <w:r>
        <w:rPr>
          <w:b/>
          <w:bCs/>
        </w:rPr>
        <w:t>Monsieur le Directeur Général</w:t>
      </w:r>
      <w:r>
        <w:rPr/>
        <w:t>, ces doléances traduisent la volonté du MINJEC d’améliorer son efficacité dans la mobilisation des financements et de renforcer davantage sa contribution à la mise en œuvre du SND30, du PAN-JPS et des priorités gouvernementales en matière de jeunesse.</w:t>
      </w:r>
    </w:p>
    <w:p>
      <w:pPr>
        <w:pStyle w:val="Normal"/>
        <w:bidi w:val="0"/>
        <w:jc w:val="both"/>
        <w:rPr/>
      </w:pPr>
      <w:r>
        <w:rPr/>
        <w:tab/>
        <w:t>Nous restons disponibles pour approfondir chacun de ces points et travailler avec vos équipes à la définition d’un cadre opérationnel commun.</w:t>
      </w:r>
    </w:p>
    <w:p>
      <w:pPr>
        <w:pStyle w:val="Normal"/>
        <w:bidi w:val="0"/>
        <w:jc w:val="both"/>
        <w:rPr/>
      </w:pPr>
      <w:r>
        <w:rPr/>
      </w:r>
    </w:p>
    <w:p>
      <w:pPr>
        <w:pStyle w:val="Normal"/>
        <w:bidi w:val="0"/>
        <w:jc w:val="both"/>
        <w:rPr/>
      </w:pPr>
      <w:r>
        <w:rPr/>
        <w:tab/>
        <w:t>Je vous remercie.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Maiandra GD">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fr-FR"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LibreOffice/7.3.7.2$Linux_X86_64 LibreOffice_project/30$Build-2</Application>
  <AppVersion>15.0000</AppVersion>
  <Pages>2</Pages>
  <Words>556</Words>
  <Characters>3595</Characters>
  <CharactersWithSpaces>4127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2025-12-11T23:31:07Z</dcterms:created>
  <dc:creator/>
  <dc:description/>
  <dc:language>fr-FR</dc:language>
  <cp:lastModifiedBy/>
  <dcterms:modified xsi:type="dcterms:W3CDTF">2025-12-12T00:01:54Z</dcterms:modified>
  <cp:revision>2</cp:revision>
  <dc:subject/>
  <dc:title/>
</cp:coreProperties>
</file>