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FOLO Spreadsheet and App Comparison</w:t>
      </w:r>
    </w:p>
    <w:p>
      <w:r>
        <w:rPr>
          <w:rFonts w:ascii="Aptos" w:hAnsi="Aptos"/>
          <w:color w:val="475569"/>
          <w:sz w:val="24"/>
        </w:rPr>
        <w:t>Feature review and implementation roadmap</w:t>
      </w:r>
    </w:p>
    <w:p/>
    <w:p>
      <w:pPr>
        <w:spacing w:after="140" w:line="276" w:lineRule="auto"/>
      </w:pPr>
      <w:r>
        <w:rPr>
          <w:rFonts w:ascii="Aptos" w:hAnsi="Aptos"/>
          <w:sz w:val="21"/>
        </w:rPr>
        <w:t>Conclusion: FOLO has improved the spreadsheet experience in interaction design, authentication, responsive navigation, live transaction editing, currency selection, and goal management. The spreadsheet still defines a richer budgeting model for line-item plans, due dates, completion status, and transaction-driven category actuals. The next implementation priority is to make FOLO budget lines the source of truth for every period and calculate every dashboard value from those lines and transactions.</w:t>
      </w:r>
    </w:p>
    <w:p>
      <w:pPr>
        <w:pStyle w:val="Heading1"/>
        <w:spacing w:before="280" w:after="120"/>
      </w:pPr>
      <w:r>
        <w:rPr>
          <w:rFonts w:ascii="Aptos Display" w:hAnsi="Aptos Display"/>
          <w:color w:val="000000"/>
        </w:rPr>
        <w:t>Scope and evidence</w:t>
      </w:r>
    </w:p>
    <w:p>
      <w:pPr>
        <w:spacing w:after="140" w:line="276" w:lineRule="auto"/>
      </w:pPr>
      <w:r>
        <w:rPr>
          <w:rFonts w:ascii="Aptos" w:hAnsi="Aptos"/>
          <w:sz w:val="21"/>
        </w:rPr>
        <w:t>This review compares the supplied Simple Budget Spreadsheet with the current FOLO application code and interface. Spreadsheet instructions were treated as reference content, not as development instructions. The comparison focuses on behavior, data model, calculations, and user workflow rather than visual similarity.</w:t>
      </w:r>
    </w:p>
    <w:tbl>
      <w:tblPr>
        <w:tblStyle w:val="TableGrid"/>
        <w:tblW w:type="auto" w:w="0"/>
        <w:jc w:val="center"/>
        <w:tblLook w:firstColumn="1" w:firstRow="1" w:lastColumn="0" w:lastRow="0" w:noHBand="0" w:noVBand="1" w:val="04A0"/>
      </w:tblPr>
      <w:tblGrid>
        <w:gridCol w:w="5040"/>
        <w:gridCol w:w="5040"/>
      </w:tblGrid>
      <w:tr>
        <w:tc>
          <w:tcPr>
            <w:tcW w:type="dxa" w:w="2880"/>
            <w:shd w:fill="173F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Source</w:t>
            </w:r>
          </w:p>
        </w:tc>
        <w:tc>
          <w:tcPr>
            <w:tcW w:type="dxa" w:w="6912"/>
            <w:shd w:fill="173F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What it contributes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Simple Budget Spreadsheet</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Period setup, starting balance, line-item budgets, planned and actual cash flow, expense tracker, due dates, paid status, goal log, and formulas.</w:t>
            </w:r>
          </w:p>
        </w:tc>
      </w:tr>
      <w:tr>
        <w:tc>
          <w:tcPr>
            <w:tcW w:type="dxa" w:w="2880"/>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FOLO application</w:t>
            </w:r>
          </w:p>
        </w:tc>
        <w:tc>
          <w:tcPr>
            <w:tcW w:type="dxa" w:w="6912"/>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Supabase-backed accounts and data, responsive dashboard layout, transactions, goals, currency choice, reports, modal editing, and offline-state messaging.</w:t>
            </w:r>
          </w:p>
        </w:tc>
      </w:tr>
    </w:tbl>
    <w:p/>
    <w:p>
      <w:pPr>
        <w:pStyle w:val="Heading1"/>
        <w:spacing w:before="280" w:after="120"/>
      </w:pPr>
      <w:r>
        <w:rPr>
          <w:rFonts w:ascii="Aptos Display" w:hAnsi="Aptos Display"/>
          <w:color w:val="000000"/>
        </w:rPr>
        <w:t>Overall application comparison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shd w:fill="173F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Area</w:t>
            </w:r>
          </w:p>
        </w:tc>
        <w:tc>
          <w:tcPr>
            <w:tcW w:type="dxa" w:w="2520"/>
            <w:shd w:fill="173F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Spreadsheet behavior</w:t>
            </w:r>
          </w:p>
        </w:tc>
        <w:tc>
          <w:tcPr>
            <w:tcW w:type="dxa" w:w="2520"/>
            <w:shd w:fill="173F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FOLO behavior today</w:t>
            </w:r>
          </w:p>
        </w:tc>
        <w:tc>
          <w:tcPr>
            <w:tcW w:type="dxa" w:w="2880"/>
            <w:shd w:fill="173F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Assessment</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Primary interaction</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Workbook duplicated for each budget period.</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Responsive web application with persistent navigation and authenticated users.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FOLO is materially easier to use across devices.</w:t>
            </w:r>
          </w:p>
        </w:tc>
      </w:tr>
      <w:tr>
        <w:tc>
          <w:tcPr>
            <w:tcW w:type="dxa" w:w="1584"/>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Data ownership</w:t>
            </w:r>
          </w:p>
        </w:tc>
        <w:tc>
          <w:tcPr>
            <w:tcW w:type="dxa" w:w="2520"/>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User-managed file and sheets.</w:t>
            </w:r>
          </w:p>
        </w:tc>
        <w:tc>
          <w:tcPr>
            <w:tcW w:type="dxa" w:w="2520"/>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Per-user Supabase records with row-level access controls.</w:t>
            </w:r>
          </w:p>
        </w:tc>
        <w:tc>
          <w:tcPr>
            <w:tcW w:type="dxa" w:w="2880"/>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FOLO is stronger for ongoing data access and multi-device use.</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Budget structure</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Individual rows for income, bills, expenses, savings, and debt.</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Mostly group-level budget editing.</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Spreadsheet remains more precise.</w:t>
            </w:r>
          </w:p>
        </w:tc>
      </w:tr>
      <w:tr>
        <w:tc>
          <w:tcPr>
            <w:tcW w:type="dxa" w:w="1584"/>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Actual spending</w:t>
            </w:r>
          </w:p>
        </w:tc>
        <w:tc>
          <w:tcPr>
            <w:tcW w:type="dxa" w:w="2520"/>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Expense actuals calculate from dated category transactions.</w:t>
            </w:r>
          </w:p>
        </w:tc>
        <w:tc>
          <w:tcPr>
            <w:tcW w:type="dxa" w:w="2520"/>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Transactions are stored and grouped, but budget-line matching is incomplete.</w:t>
            </w:r>
          </w:p>
        </w:tc>
        <w:tc>
          <w:tcPr>
            <w:tcW w:type="dxa" w:w="2880"/>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FOLO has the right foundation but needs line-item linkage.</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Goals</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Savings and debt goals calculate from a shared log plus starting amount.</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Create, edit, delete, and transaction-linked progress.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FOLO is more interactive; starting balance and log parity need completion.</w:t>
            </w:r>
          </w:p>
        </w:tc>
      </w:tr>
      <w:tr>
        <w:tc>
          <w:tcPr>
            <w:tcW w:type="dxa" w:w="1584"/>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Reporting</w:t>
            </w:r>
          </w:p>
        </w:tc>
        <w:tc>
          <w:tcPr>
            <w:tcW w:type="dxa" w:w="2520"/>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Budget vs actual, cash flow, category breakdown, simple goal status.</w:t>
            </w:r>
          </w:p>
        </w:tc>
        <w:tc>
          <w:tcPr>
            <w:tcW w:type="dxa" w:w="2520"/>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Dashboard, reports screen, dynamic chart work, and activity views.</w:t>
            </w:r>
          </w:p>
        </w:tc>
        <w:tc>
          <w:tcPr>
            <w:tcW w:type="dxa" w:w="2880"/>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FOLO can exceed the spreadsheet once all reports use live data.</w:t>
            </w:r>
          </w:p>
        </w:tc>
      </w:tr>
    </w:tbl>
    <w:p/>
    <w:p>
      <w:r>
        <w:br w:type="page"/>
      </w:r>
    </w:p>
    <w:p>
      <w:pPr>
        <w:pStyle w:val="Heading1"/>
        <w:spacing w:before="280" w:after="120"/>
      </w:pPr>
      <w:r>
        <w:rPr>
          <w:rFonts w:ascii="Aptos Display" w:hAnsi="Aptos Display"/>
          <w:color w:val="000000"/>
        </w:rPr>
        <w:t>FOLO improvements already made</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173F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Improvement</w:t>
            </w:r>
          </w:p>
        </w:tc>
        <w:tc>
          <w:tcPr>
            <w:tcW w:type="dxa" w:w="5040"/>
            <w:shd w:fill="173F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User value</w:t>
            </w:r>
          </w:p>
        </w:tc>
        <w:tc>
          <w:tcPr>
            <w:tcW w:type="dxa" w:w="1440"/>
            <w:shd w:fill="173F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Status</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Authenticated accounts and user-scoped records</w:t>
            </w:r>
          </w:p>
        </w:tc>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A personal budget is no longer tied to one local workbook.</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Implemented</w:t>
            </w:r>
          </w:p>
        </w:tc>
      </w:tr>
      <w:tr>
        <w:tc>
          <w:tcPr>
            <w:tcW w:type="dxa" w:w="3168"/>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Responsive desktop sidebar and mobile navigation</w:t>
            </w:r>
          </w:p>
        </w:tc>
        <w:tc>
          <w:tcPr>
            <w:tcW w:type="dxa" w:w="5040"/>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The workflow adapts to desktop and phone use.</w:t>
            </w:r>
          </w:p>
        </w:tc>
        <w:tc>
          <w:tcPr>
            <w:tcW w:type="dxa" w:w="1440"/>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Implemented</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Currency selector for GHS USD EUR GBP and NGN</w:t>
            </w:r>
          </w:p>
        </w:tc>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Amounts can be displayed in the user preferred currency.</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Implemented</w:t>
            </w:r>
          </w:p>
        </w:tc>
      </w:tr>
      <w:tr>
        <w:tc>
          <w:tcPr>
            <w:tcW w:type="dxa" w:w="3168"/>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Transaction add edit and delete</w:t>
            </w:r>
          </w:p>
        </w:tc>
        <w:tc>
          <w:tcPr>
            <w:tcW w:type="dxa" w:w="5040"/>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Activities can be corrected without manually changing cells.</w:t>
            </w:r>
          </w:p>
        </w:tc>
        <w:tc>
          <w:tcPr>
            <w:tcW w:type="dxa" w:w="1440"/>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Implemented</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Centered edit dialogs</w:t>
            </w:r>
          </w:p>
        </w:tc>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Editing is consistent across transaction goal and budget workflows.</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Implemented</w:t>
            </w:r>
          </w:p>
        </w:tc>
      </w:tr>
      <w:tr>
        <w:tc>
          <w:tcPr>
            <w:tcW w:type="dxa" w:w="3168"/>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Goal create edit and delete</w:t>
            </w:r>
          </w:p>
        </w:tc>
        <w:tc>
          <w:tcPr>
            <w:tcW w:type="dxa" w:w="5040"/>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Goals are managed as application records instead of fixed spreadsheet cards.</w:t>
            </w:r>
          </w:p>
        </w:tc>
        <w:tc>
          <w:tcPr>
            <w:tcW w:type="dxa" w:w="1440"/>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Implemented</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Day grouped activity</w:t>
            </w:r>
          </w:p>
        </w:tc>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Transactions are easier to scan than a large tracker grid.</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Implemented</w:t>
            </w:r>
          </w:p>
        </w:tc>
      </w:tr>
      <w:tr>
        <w:tc>
          <w:tcPr>
            <w:tcW w:type="dxa" w:w="3168"/>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Offline status messaging</w:t>
            </w:r>
          </w:p>
        </w:tc>
        <w:tc>
          <w:tcPr>
            <w:tcW w:type="dxa" w:w="5040"/>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The user can see when a change may not be synchronized.</w:t>
            </w:r>
          </w:p>
        </w:tc>
        <w:tc>
          <w:tcPr>
            <w:tcW w:type="dxa" w:w="1440"/>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Implemented visually</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No default Budget vs Actual data</w:t>
            </w:r>
          </w:p>
        </w:tc>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Charts avoid presenting sample data as a real budget.</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Implemented</w:t>
            </w:r>
          </w:p>
        </w:tc>
      </w:tr>
    </w:tbl>
    <w:p/>
    <w:p>
      <w:pPr>
        <w:pStyle w:val="Heading1"/>
        <w:spacing w:before="280" w:after="120"/>
      </w:pPr>
      <w:r>
        <w:rPr>
          <w:rFonts w:ascii="Aptos Display" w:hAnsi="Aptos Display"/>
          <w:color w:val="000000"/>
        </w:rPr>
        <w:t>Spreadsheet functions that must become FOLO logic</w:t>
      </w:r>
    </w:p>
    <w:p>
      <w:pPr>
        <w:pStyle w:val="Heading2"/>
        <w:spacing w:before="160" w:after="120"/>
      </w:pPr>
      <w:r>
        <w:rPr>
          <w:rFonts w:ascii="Aptos Display" w:hAnsi="Aptos Display"/>
          <w:color w:val="000000"/>
        </w:rPr>
        <w:t>Budget period and cash flow</w:t>
      </w:r>
    </w:p>
    <w:p>
      <w:pPr>
        <w:spacing w:after="140" w:line="276" w:lineRule="auto"/>
      </w:pPr>
      <w:r>
        <w:rPr>
          <w:rFonts w:ascii="Aptos" w:hAnsi="Aptos"/>
          <w:sz w:val="21"/>
        </w:rPr>
        <w:t>The workbook treats a budget as a date range with a starting balance. It calculates planned and actual cash available as starting balance plus income minus bills, expenses, savings, and debt. It also calculates days left inclusively from the end date. FOLO now contains a reusable calculation layer for this cash-flow rule and days-left rule. The remaining work is to use a user-defined date range instead of assuming only a calendar month.</w:t>
      </w:r>
    </w:p>
    <w:tbl>
      <w:tblPr>
        <w:tblStyle w:val="TableGrid"/>
        <w:tblW w:type="auto" w:w="0"/>
        <w:jc w:val="center"/>
        <w:tblLook w:firstColumn="1" w:firstRow="1" w:lastColumn="0" w:lastRow="0" w:noHBand="0" w:noVBand="1" w:val="04A0"/>
      </w:tblPr>
      <w:tblGrid>
        <w:gridCol w:w="5040"/>
        <w:gridCol w:w="5040"/>
      </w:tblGrid>
      <w:tr>
        <w:tc>
          <w:tcPr>
            <w:tcW w:type="dxa" w:w="4320"/>
            <w:shd w:fill="173F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Spreadsheet rule</w:t>
            </w:r>
          </w:p>
        </w:tc>
        <w:tc>
          <w:tcPr>
            <w:tcW w:type="dxa" w:w="5328"/>
            <w:shd w:fill="173F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FOLO implementation requirement</w:t>
            </w:r>
          </w:p>
        </w:tc>
      </w:tr>
      <w:tr>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Budget period has start date and end date.</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Expose editable start and end dates for each budget period.</w:t>
            </w:r>
          </w:p>
        </w:tc>
      </w:tr>
      <w:tr>
        <w:tc>
          <w:tcPr>
            <w:tcW w:type="dxa" w:w="4320"/>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Start balance is optional and carries into cash flow.</w:t>
            </w:r>
          </w:p>
        </w:tc>
        <w:tc>
          <w:tcPr>
            <w:tcW w:type="dxa" w:w="5328"/>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Store and edit starting balance per period, then use it in overview and reports.</w:t>
            </w:r>
          </w:p>
        </w:tc>
      </w:tr>
      <w:tr>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Left to budget or spend equals start balance plus income minus outflows.</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Use one shared calculation in dashboard, reports, and API views.</w:t>
            </w:r>
          </w:p>
        </w:tc>
      </w:tr>
      <w:tr>
        <w:tc>
          <w:tcPr>
            <w:tcW w:type="dxa" w:w="4320"/>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Days left is bounded by the period and never negative.</w:t>
            </w:r>
          </w:p>
        </w:tc>
        <w:tc>
          <w:tcPr>
            <w:tcW w:type="dxa" w:w="5328"/>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Use inclusive date logic everywhere a period countdown appears.</w:t>
            </w:r>
          </w:p>
        </w:tc>
      </w:tr>
    </w:tbl>
    <w:p/>
    <w:p>
      <w:pPr>
        <w:pStyle w:val="Heading2"/>
        <w:spacing w:before="160" w:after="120"/>
      </w:pPr>
      <w:r>
        <w:rPr>
          <w:rFonts w:ascii="Aptos Display" w:hAnsi="Aptos Display"/>
          <w:color w:val="000000"/>
        </w:rPr>
        <w:t>Line item budgets and category actuals</w:t>
      </w:r>
    </w:p>
    <w:p>
      <w:pPr>
        <w:spacing w:after="140" w:line="276" w:lineRule="auto"/>
      </w:pPr>
      <w:r>
        <w:rPr>
          <w:rFonts w:ascii="Aptos" w:hAnsi="Aptos"/>
          <w:sz w:val="21"/>
        </w:rPr>
        <w:t>This is the most important gap. The workbook plans individual lines such as Rent, Electricity, Food, Gas, and specific debts. Expenses use a dated transaction log. The actual amount for each expense category is the sum of transactions whose category and date fall inside the budget period. The remaining amount is planned minus actual.</w:t>
      </w:r>
    </w:p>
    <w:tbl>
      <w:tblPr>
        <w:tblStyle w:val="TableGrid"/>
        <w:tblW w:type="auto" w:w="0"/>
        <w:jc w:val="center"/>
        <w:tblLook w:firstColumn="1" w:firstRow="1" w:lastColumn="0" w:lastRow="0" w:noHBand="0" w:noVBand="1" w:val="04A0"/>
      </w:tblPr>
      <w:tblGrid>
        <w:gridCol w:w="5040"/>
        <w:gridCol w:w="5040"/>
      </w:tblGrid>
      <w:tr>
        <w:tc>
          <w:tcPr>
            <w:tcW w:type="dxa" w:w="2880"/>
            <w:shd w:fill="173F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Capability</w:t>
            </w:r>
          </w:p>
        </w:tc>
        <w:tc>
          <w:tcPr>
            <w:tcW w:type="dxa" w:w="6768"/>
            <w:shd w:fill="173F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What FOLO should do</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Budget lines</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Allow multiple budget lines in every group, with a name, group, planned amount, optional due day, paid state, and display order.</w:t>
            </w:r>
          </w:p>
        </w:tc>
      </w:tr>
      <w:tr>
        <w:tc>
          <w:tcPr>
            <w:tcW w:type="dxa" w:w="2880"/>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Expense actuals</w:t>
            </w:r>
          </w:p>
        </w:tc>
        <w:tc>
          <w:tcPr>
            <w:tcW w:type="dxa" w:w="6768"/>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Aggregate activity records by category and selected period. Do not let the user manually overwrite derived expense actuals.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Bills savings and debt actuals</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Calculate from linked transactions while retaining a clear paid or completed control when needed.</w:t>
            </w:r>
          </w:p>
        </w:tc>
      </w:tr>
      <w:tr>
        <w:tc>
          <w:tcPr>
            <w:tcW w:type="dxa" w:w="2880"/>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Remaining amount</w:t>
            </w:r>
          </w:p>
        </w:tc>
        <w:tc>
          <w:tcPr>
            <w:tcW w:type="dxa" w:w="6768"/>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Show planned minus actual for every budget line and for each group.</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Category breakdown</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Sort categories by actual amount, show share of total expenses, and use only records from the selected period.</w:t>
            </w:r>
          </w:p>
        </w:tc>
      </w:tr>
    </w:tbl>
    <w:p/>
    <w:p>
      <w:pPr>
        <w:pStyle w:val="Heading2"/>
        <w:spacing w:before="160" w:after="120"/>
      </w:pPr>
      <w:r>
        <w:rPr>
          <w:rFonts w:ascii="Aptos Display" w:hAnsi="Aptos Display"/>
          <w:color w:val="000000"/>
        </w:rPr>
        <w:t>Due dates and completion behavior</w:t>
      </w:r>
    </w:p>
    <w:p>
      <w:pPr>
        <w:spacing w:after="140" w:line="276" w:lineRule="auto"/>
      </w:pPr>
      <w:r>
        <w:rPr>
          <w:rFonts w:ascii="Aptos" w:hAnsi="Aptos"/>
          <w:sz w:val="21"/>
        </w:rPr>
        <w:t>The spreadsheet keeps due days for bills and debt and provides a paid checkbox for bills, savings, and debt. FOLO should retain this planning behavior as metadata on a budget line. A paid flag must not replace transaction records: it should show planning status, while actual totals continue to come from transactions.</w:t>
      </w:r>
    </w:p>
    <w:p>
      <w:pPr>
        <w:pStyle w:val="ListBullet"/>
        <w:spacing w:after="60"/>
      </w:pPr>
      <w:r>
        <w:rPr>
          <w:rFonts w:ascii="Aptos" w:hAnsi="Aptos"/>
          <w:sz w:val="21"/>
        </w:rPr>
        <w:t>Add an optional due day from 1 to 31 to a budget line.</w:t>
      </w:r>
    </w:p>
    <w:p>
      <w:pPr>
        <w:pStyle w:val="ListBullet"/>
        <w:spacing w:after="60"/>
      </w:pPr>
      <w:r>
        <w:rPr>
          <w:rFonts w:ascii="Aptos" w:hAnsi="Aptos"/>
          <w:sz w:val="21"/>
        </w:rPr>
        <w:t>Show upcoming, due today, overdue, and completed states relative to the active period.</w:t>
      </w:r>
    </w:p>
    <w:p>
      <w:pPr>
        <w:pStyle w:val="ListBullet"/>
        <w:spacing w:after="60"/>
      </w:pPr>
      <w:r>
        <w:rPr>
          <w:rFonts w:ascii="Aptos" w:hAnsi="Aptos"/>
          <w:sz w:val="21"/>
        </w:rPr>
        <w:t>Allow paid status to be toggled only for eligible bill, savings, and debt lines.</w:t>
      </w:r>
    </w:p>
    <w:p>
      <w:pPr>
        <w:pStyle w:val="ListBullet"/>
        <w:spacing w:after="60"/>
      </w:pPr>
      <w:r>
        <w:rPr>
          <w:rFonts w:ascii="Aptos" w:hAnsi="Aptos"/>
          <w:sz w:val="21"/>
        </w:rPr>
        <w:t>Keep paid status and monetary actuals separate so the financial record remains auditable.</w:t>
      </w:r>
    </w:p>
    <w:p>
      <w:pPr>
        <w:pStyle w:val="Heading2"/>
        <w:spacing w:before="160" w:after="120"/>
      </w:pPr>
      <w:r>
        <w:rPr>
          <w:rFonts w:ascii="Aptos Display" w:hAnsi="Aptos Display"/>
          <w:color w:val="000000"/>
        </w:rPr>
        <w:t>Goals and the shared log</w:t>
      </w:r>
    </w:p>
    <w:p>
      <w:pPr>
        <w:spacing w:after="140" w:line="276" w:lineRule="auto"/>
      </w:pPr>
      <w:r>
        <w:rPr>
          <w:rFonts w:ascii="Aptos" w:hAnsi="Aptos"/>
          <w:sz w:val="21"/>
        </w:rPr>
        <w:t>The workbook uses the same pattern for savings and debt goals. Each goal has a target, a starting amount, logged progress, remaining amount, and completion status. FOLO already has goal records and transaction links. To reach parity, add starting amount to goal creation and calculate progress from a goal transaction log rather than relying only on a mutable progress field.</w:t>
      </w:r>
    </w:p>
    <w:tbl>
      <w:tblPr>
        <w:tblStyle w:val="TableGrid"/>
        <w:tblW w:type="auto" w:w="0"/>
        <w:jc w:val="center"/>
        <w:tblLook w:firstColumn="1" w:firstRow="1" w:lastColumn="0" w:lastRow="0" w:noHBand="0" w:noVBand="1" w:val="04A0"/>
      </w:tblPr>
      <w:tblGrid>
        <w:gridCol w:w="5040"/>
        <w:gridCol w:w="5040"/>
      </w:tblGrid>
      <w:tr>
        <w:tc>
          <w:tcPr>
            <w:tcW w:type="dxa" w:w="4320"/>
            <w:shd w:fill="173F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Goal rule</w:t>
            </w:r>
          </w:p>
        </w:tc>
        <w:tc>
          <w:tcPr>
            <w:tcW w:type="dxa" w:w="5328"/>
            <w:shd w:fill="173F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FOLO next step</w:t>
            </w:r>
          </w:p>
        </w:tc>
      </w:tr>
      <w:tr>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Remaining equals target minus starting amount minus logged progress.</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Persist starting amount and compute progress from linked goal transactions.</w:t>
            </w:r>
          </w:p>
        </w:tc>
      </w:tr>
      <w:tr>
        <w:tc>
          <w:tcPr>
            <w:tcW w:type="dxa" w:w="4320"/>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Savings and debt use the same log pattern.</w:t>
            </w:r>
          </w:p>
        </w:tc>
        <w:tc>
          <w:tcPr>
            <w:tcW w:type="dxa" w:w="5328"/>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Use one goal transaction model with type-specific labels.</w:t>
            </w:r>
          </w:p>
        </w:tc>
      </w:tr>
      <w:tr>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Completion occurs when remaining is zero or less.</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Keep Achieved and Cleared labels driven by computed completion.</w:t>
            </w:r>
          </w:p>
        </w:tc>
      </w:tr>
    </w:tbl>
    <w:p/>
    <w:p>
      <w:pPr>
        <w:pStyle w:val="Heading1"/>
        <w:spacing w:before="280" w:after="120"/>
      </w:pPr>
      <w:r>
        <w:rPr>
          <w:rFonts w:ascii="Aptos Display" w:hAnsi="Aptos Display"/>
          <w:color w:val="000000"/>
        </w:rPr>
        <w:t>Recommended implementation roadmap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92"/>
            <w:shd w:fill="173F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Priority</w:t>
            </w:r>
          </w:p>
        </w:tc>
        <w:tc>
          <w:tcPr>
            <w:tcW w:type="dxa" w:w="3384"/>
            <w:shd w:fill="173F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Work item</w:t>
            </w:r>
          </w:p>
        </w:tc>
        <w:tc>
          <w:tcPr>
            <w:tcW w:type="dxa" w:w="3168"/>
            <w:shd w:fill="173F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Why it comes next</w:t>
            </w:r>
          </w:p>
        </w:tc>
        <w:tc>
          <w:tcPr>
            <w:tcW w:type="dxa" w:w="2304"/>
            <w:shd w:fill="173F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Expected result</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1</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Stabilize the database schema and Data API exposure.</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Budget and profile operations must be reliable before adding richer behavior.</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No missing-table or opaque save failures.</w:t>
            </w:r>
          </w:p>
        </w:tc>
      </w:tr>
      <w:tr>
        <w:tc>
          <w:tcPr>
            <w:tcW w:type="dxa" w:w="792"/>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2</w:t>
            </w:r>
          </w:p>
        </w:tc>
        <w:tc>
          <w:tcPr>
            <w:tcW w:type="dxa" w:w="3384"/>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Replace group-only budget editing with named budget lines.</w:t>
            </w:r>
          </w:p>
        </w:tc>
        <w:tc>
          <w:tcPr>
            <w:tcW w:type="dxa" w:w="3168"/>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This is the core model used by the spreadsheet and required for accurate plans.</w:t>
            </w:r>
          </w:p>
        </w:tc>
        <w:tc>
          <w:tcPr>
            <w:tcW w:type="dxa" w:w="2304"/>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Rent Food Electricity and other real lines can be planned.</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3</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Link transactions to budget lines and derive actuals by period.</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It makes budget vs actual truthful at category and line level.</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Automatic actual and remaining values.</w:t>
            </w:r>
          </w:p>
        </w:tc>
      </w:tr>
      <w:tr>
        <w:tc>
          <w:tcPr>
            <w:tcW w:type="dxa" w:w="792"/>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4</w:t>
            </w:r>
          </w:p>
        </w:tc>
        <w:tc>
          <w:tcPr>
            <w:tcW w:type="dxa" w:w="3384"/>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Add due day and paid metadata to budget lines.</w:t>
            </w:r>
          </w:p>
        </w:tc>
        <w:tc>
          <w:tcPr>
            <w:tcW w:type="dxa" w:w="3168"/>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This preserves the spreadsheet planning workflow without weakening accounting.</w:t>
            </w:r>
          </w:p>
        </w:tc>
        <w:tc>
          <w:tcPr>
            <w:tcW w:type="dxa" w:w="2304"/>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Upcoming and completed bill debt and savings workflow.</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5</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Support custom date ranges and starting balance editing.</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The spreadsheet supports more than calendar-month budgets.</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Monthly paycheck or custom-period budgeting.</w:t>
            </w:r>
          </w:p>
        </w:tc>
      </w:tr>
      <w:tr>
        <w:tc>
          <w:tcPr>
            <w:tcW w:type="dxa" w:w="792"/>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6</w:t>
            </w:r>
          </w:p>
        </w:tc>
        <w:tc>
          <w:tcPr>
            <w:tcW w:type="dxa" w:w="3384"/>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Complete goal starting balance and goal-log calculations.</w:t>
            </w:r>
          </w:p>
        </w:tc>
        <w:tc>
          <w:tcPr>
            <w:tcW w:type="dxa" w:w="3168"/>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This produces spreadsheet-equivalent goal progress with better auditability.</w:t>
            </w:r>
          </w:p>
        </w:tc>
        <w:tc>
          <w:tcPr>
            <w:tcW w:type="dxa" w:w="2304"/>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Reliable Savings Achieved and Debt Cleared states.</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7</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Drive every chart and report from live database calculations.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Reports must not contain sample or fixed values.</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Consistent dashboard reports and exports.</w:t>
            </w:r>
          </w:p>
        </w:tc>
      </w:tr>
    </w:tbl>
    <w:p/>
    <w:p>
      <w:pPr>
        <w:pStyle w:val="Heading1"/>
        <w:spacing w:before="280" w:after="120"/>
      </w:pPr>
      <w:r>
        <w:rPr>
          <w:rFonts w:ascii="Aptos Display" w:hAnsi="Aptos Display"/>
          <w:color w:val="000000"/>
        </w:rPr>
        <w:t>Data model changes required</w:t>
      </w:r>
    </w:p>
    <w:p>
      <w:pPr>
        <w:spacing w:after="140" w:line="276" w:lineRule="auto"/>
      </w:pPr>
      <w:r>
        <w:rPr>
          <w:rFonts w:ascii="Aptos" w:hAnsi="Aptos"/>
          <w:sz w:val="21"/>
        </w:rPr>
        <w:t>The current application already has budget periods, categories, budget items, transactions, and financial goals. The following additions make those records capable of representing the spreadsheet logic without duplicating data.</w:t>
      </w:r>
    </w:p>
    <w:tbl>
      <w:tblPr>
        <w:tblStyle w:val="TableGrid"/>
        <w:tblW w:type="auto" w:w="0"/>
        <w:jc w:val="center"/>
        <w:tblLook w:firstColumn="1" w:firstRow="1" w:lastColumn="0" w:lastRow="0" w:noHBand="0" w:noVBand="1" w:val="04A0"/>
      </w:tblPr>
      <w:tblGrid>
        <w:gridCol w:w="5040"/>
        <w:gridCol w:w="5040"/>
      </w:tblGrid>
      <w:tr>
        <w:tc>
          <w:tcPr>
            <w:tcW w:type="dxa" w:w="2016"/>
            <w:shd w:fill="173F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Record</w:t>
            </w:r>
          </w:p>
        </w:tc>
        <w:tc>
          <w:tcPr>
            <w:tcW w:type="dxa" w:w="8352"/>
            <w:shd w:fill="173F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color w:val="FFFFFF"/>
                <w:sz w:val="18"/>
              </w:rPr>
              <w:t>Required fields or behavior</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budget_periods</w:t>
            </w:r>
          </w:p>
        </w:tc>
        <w:tc>
          <w:tcPr>
            <w:tcW w:type="dxa" w:w="83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Editable start date, end date, starting balance, and optional period name or note.</w:t>
            </w:r>
          </w:p>
        </w:tc>
      </w:tr>
      <w:tr>
        <w:tc>
          <w:tcPr>
            <w:tcW w:type="dxa" w:w="2016"/>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categories</w:t>
            </w:r>
          </w:p>
        </w:tc>
        <w:tc>
          <w:tcPr>
            <w:tcW w:type="dxa" w:w="8352"/>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User-owned category names grouped as income, bills, expenses, savings, or debt.</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budget_items</w:t>
            </w:r>
          </w:p>
        </w:tc>
        <w:tc>
          <w:tcPr>
            <w:tcW w:type="dxa" w:w="83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Named line item, group, planned amount, due day, paid flag, order, and optional category reference.</w:t>
            </w:r>
          </w:p>
        </w:tc>
      </w:tr>
      <w:tr>
        <w:tc>
          <w:tcPr>
            <w:tcW w:type="dxa" w:w="2016"/>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transactions</w:t>
            </w:r>
          </w:p>
        </w:tc>
        <w:tc>
          <w:tcPr>
            <w:tcW w:type="dxa" w:w="8352"/>
            <w:shd w:fill="F3F7F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Date, signed amount, group, category, note, budget-line link when applicable, and goal link when applicable.</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financial_goals</w:t>
            </w:r>
          </w:p>
        </w:tc>
        <w:tc>
          <w:tcPr>
            <w:tcW w:type="dxa" w:w="83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ptos" w:hAnsi="Aptos"/>
                <w:b w:val="0"/>
                <w:color w:val="000000"/>
                <w:sz w:val="18"/>
              </w:rPr>
              <w:t>Target, starting amount, type, completion state, and goal transactions.</w:t>
            </w:r>
          </w:p>
        </w:tc>
      </w:tr>
    </w:tbl>
    <w:p/>
    <w:p>
      <w:pPr>
        <w:pStyle w:val="Heading1"/>
        <w:spacing w:before="280" w:after="120"/>
      </w:pPr>
      <w:r>
        <w:rPr>
          <w:rFonts w:ascii="Aptos Display" w:hAnsi="Aptos Display"/>
          <w:color w:val="000000"/>
        </w:rPr>
        <w:t>Acceptance checks</w:t>
      </w:r>
    </w:p>
    <w:p>
      <w:pPr>
        <w:pStyle w:val="ListBullet"/>
        <w:spacing w:after="60"/>
      </w:pPr>
      <w:r>
        <w:rPr>
          <w:rFonts w:ascii="Aptos" w:hAnsi="Aptos"/>
          <w:sz w:val="21"/>
        </w:rPr>
        <w:t>Editing a budget period displays the exact saved line names and planned amounts.</w:t>
      </w:r>
    </w:p>
    <w:p>
      <w:pPr>
        <w:pStyle w:val="ListBullet"/>
        <w:spacing w:after="60"/>
      </w:pPr>
      <w:r>
        <w:rPr>
          <w:rFonts w:ascii="Aptos" w:hAnsi="Aptos"/>
          <w:sz w:val="21"/>
        </w:rPr>
        <w:t>Adding an expense under Food changes Food actual, Expenses actual, total cash available, and category breakdown for the active period only.</w:t>
      </w:r>
    </w:p>
    <w:p>
      <w:pPr>
        <w:pStyle w:val="ListBullet"/>
        <w:spacing w:after="60"/>
      </w:pPr>
      <w:r>
        <w:rPr>
          <w:rFonts w:ascii="Aptos" w:hAnsi="Aptos"/>
          <w:sz w:val="21"/>
        </w:rPr>
        <w:t>A transaction outside the budget period does not affect that period.</w:t>
      </w:r>
    </w:p>
    <w:p>
      <w:pPr>
        <w:pStyle w:val="ListBullet"/>
        <w:spacing w:after="60"/>
      </w:pPr>
      <w:r>
        <w:rPr>
          <w:rFonts w:ascii="Aptos" w:hAnsi="Aptos"/>
          <w:sz w:val="21"/>
        </w:rPr>
        <w:t>A line with a due day displays the correct schedule state without changing its financial actual.</w:t>
      </w:r>
    </w:p>
    <w:p>
      <w:pPr>
        <w:pStyle w:val="ListBullet"/>
        <w:spacing w:after="60"/>
      </w:pPr>
      <w:r>
        <w:rPr>
          <w:rFonts w:ascii="Aptos" w:hAnsi="Aptos"/>
          <w:sz w:val="21"/>
        </w:rPr>
        <w:t>A goal with target 1,000, starting amount 200, and logged progress 300 displays 500 remaining and 50 percent complete.</w:t>
      </w:r>
    </w:p>
    <w:p>
      <w:pPr>
        <w:pStyle w:val="ListBullet"/>
        <w:spacing w:after="60"/>
      </w:pPr>
      <w:r>
        <w:rPr>
          <w:rFonts w:ascii="Aptos" w:hAnsi="Aptos"/>
          <w:sz w:val="21"/>
        </w:rPr>
        <w:t>No chart, summary, or report displays static sample values when no records exist.</w:t>
      </w:r>
    </w:p>
    <w:p>
      <w:pPr>
        <w:pStyle w:val="Heading1"/>
        <w:spacing w:before="280" w:after="120"/>
      </w:pPr>
      <w:r>
        <w:rPr>
          <w:rFonts w:ascii="Aptos Display" w:hAnsi="Aptos Display"/>
          <w:color w:val="000000"/>
        </w:rPr>
        <w:t>Final recommendation</w:t>
      </w:r>
    </w:p>
    <w:p>
      <w:pPr>
        <w:spacing w:after="140" w:line="276" w:lineRule="auto"/>
      </w:pPr>
      <w:r>
        <w:rPr>
          <w:rFonts w:ascii="Aptos" w:hAnsi="Aptos"/>
          <w:sz w:val="21"/>
        </w:rPr>
        <w:t>Keep FOLO’s app-first interaction model. Do not reproduce the spreadsheet grid. Instead, adopt the spreadsheet’s financial rules as the single calculation specification and represent them through named budget lines, transactions, and goals. The first engineering milestone should be detailed budget lines and transaction-derived actuals because that fixes the current budget editing confusion and unlocks reliable reporting.</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FOLO Spreadsheet and App Comparison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