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2880"/>
            <w:tcW w:w="2880" w:type="dxa"/>
          </w:tcPr>
          <w:p>
            <w:pPr>
              <w:jc w:val="left"/>
              <w:suppressAutoHyphens/>
            </w:pPr>
            <w:r>
              <w:rPr>
                <w:sz w:val="20"/>
              </w:rPr>
              <w:t>Blueberry ‑ 7g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