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2880"/>
            <w:tcW w:w="2880" w:type="dxa"/>
          </w:tcPr>
          <w:p>
            <w:pPr>
              <w:jc w:val="left"/>
            </w:pPr>
            <w:r>
              <w:rPr>
                <w:sz w:val="20"/>
              </w:rPr>
              <w:t>Blueberry - 7 g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