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  <w:rFonts w:ascii="Arial" w:hAnsi="Arial" w:eastAsia="Arial" w:cs="Arial"/>
                <w:b w:val="1"/>
                <w:sz w:val="20"/>
              </w:rPr>
              <w:t>Test BrandHYBRID</w:t>
              <w:br/>
            </w:r>
            <w:r>
              <w:rPr>
                <w:rFonts w:ascii="Arial" w:hAnsi="Arial"/>
                <w:b/>
                <w:color w:val="FFFFFF"/>
                <w:sz w:val="20"/>
                <w:rFonts w:ascii="Arial" w:hAnsi="Arial" w:eastAsia="Arial" w:cs="Arial"/>
                <w:b w:val="1"/>
                <w:sz w:val="20"/>
                <w:rFonts w:ascii="Arial" w:hAnsi="Arial" w:eastAsia="Arial" w:cs="Arial"/>
                <w:b w:val="1"/>
                <w:sz w:val="20"/>
              </w:rPr>
              <w:t>50mg THC 50mg CBD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