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岗位职责与薪酬方案补充说明</w:t>
      </w:r>
    </w:p>
    <w:p>
      <w:r>
        <w:t>供薪酬审批参考。</w:t>
      </w:r>
    </w:p>
    <w:p>
      <w:pPr>
        <w:pStyle w:val="Heading2"/>
      </w:pPr>
      <w:r>
        <w:t>一、诉求</w:t>
      </w:r>
    </w:p>
    <w:p>
      <w:r>
        <w:t>固定月薪由 23K 调整为 29K 左右，15 薪不变；税前年包由 34.5 万元调整为约 43.5 万元。</w:t>
      </w:r>
    </w:p>
    <w:p>
      <w:r>
        <w:t>整体预期是薪酬与实际职责、工作投入相称：扣除五险一金、个税和必要的工具费之后，正常月份的可支配收入保持在 20K 左右。29K 按公司不统一采购模型与开发工具的现状测算；工具费、驻场、复评和替代结构的安排见第五节。</w:t>
      </w:r>
    </w:p>
    <w:p>
      <w:pPr>
        <w:pStyle w:val="Heading2"/>
      </w:pPr>
      <w:r>
        <w:t>二、23K 的定价范围</w:t>
      </w:r>
    </w:p>
    <w:p>
      <w:r>
        <w:t>23K 依据的是传统产品经理的职级和我此前的收入。传统产品经理负责需求分析、产品方案设计和项目协同。这个岗位以产品工作为基础，但在企业 AI 应用方向，需求分析和方案设计要与模型能力评估、Agent 工作流设计、技术方案验证、原型构建结合，并延伸到客户现场的技术实施和端到端交付。</w:t>
      </w:r>
    </w:p>
    <w:p>
      <w:r>
        <w:t>这些职责随业务开展自然延伸，不全是晋升之后才增加的责任，入职后的第一个项目就会遇到。它们属于岗位本身，起薪应当按这个范围核定。</w:t>
      </w:r>
    </w:p>
    <w:p>
      <w:r>
        <w:t>现行的核薪口径按传统产品经理建立，比较固定，也没有项目激励等安排可以对应多出来的工作。岗位性质和能力边界的变化，因此需要在基线里体现。</w:t>
      </w:r>
    </w:p>
    <w:p>
      <w:r>
        <w:t>我此前的收入来自另一个行业、另一个地区和另一种交付方式，能说明原岗位的价格，不能作为这个岗位的上限。</w:t>
      </w:r>
    </w:p>
    <w:p>
      <w:pPr>
        <w:pStyle w:val="Heading2"/>
      </w:pPr>
      <w:r>
        <w:t>三、履职成本</w:t>
      </w:r>
    </w:p>
    <w:p>
      <w:r>
        <w:t>日常验证与开发需要长期使用多家模型厂商的高级订阅、开发工具和 API，下称工具费。按现在的用法，工具费每月 400–500 美元，随项目阶段和工作负载浮动。取 450 美元测算：模型订阅约 300 美元，开发工具约 60 美元，API 用量约 90 美元，按汇率 7.1 折合人民币约 3.2K。</w:t>
      </w:r>
    </w:p>
    <w:p>
      <w:r>
        <w:t>公司目前没有统一的模型采购、路由服务或报销办法，工具费由个人持续承担。传统产品经理没有这项支出。</w:t>
      </w:r>
    </w:p>
    <w:p>
      <w:pPr>
        <w:pStyle w:val="Heading2"/>
      </w:pPr>
      <w:r>
        <w:t>四、测算</w:t>
      </w:r>
    </w:p>
    <w:p>
      <w:pPr>
        <w:keepNext/>
      </w:pPr>
      <w:r>
        <w:t>单位：元/月，K 为千元。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11"/>
        <w:gridCol w:w="2911"/>
        <w:gridCol w:w="2911"/>
      </w:tblGrid>
      <w:tr>
        <w:tc>
          <w:tcPr>
            <w:tcW w:type="dxa" w:w="2381"/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</w:rPr>
              <w:t>项目</w:t>
            </w:r>
          </w:p>
        </w:tc>
        <w:tc>
          <w:tcPr>
            <w:tcW w:type="dxa" w:w="1928"/>
          </w:tcPr>
          <w:p>
            <w:pPr>
              <w:keepNext/>
              <w:spacing w:after="40" w:line="288" w:lineRule="auto"/>
              <w:jc w:val="right"/>
            </w:pPr>
            <w:r>
              <w:rPr>
                <w:b/>
              </w:rPr>
              <w:t>核定方案</w:t>
            </w:r>
          </w:p>
        </w:tc>
        <w:tc>
          <w:tcPr>
            <w:tcW w:type="dxa" w:w="1928"/>
          </w:tcPr>
          <w:p>
            <w:pPr>
              <w:keepNext/>
              <w:spacing w:after="40" w:line="288" w:lineRule="auto"/>
              <w:jc w:val="right"/>
            </w:pPr>
            <w:r>
              <w:rPr>
                <w:b/>
              </w:rPr>
              <w:t>期望基线</w:t>
            </w:r>
          </w:p>
        </w:tc>
      </w:tr>
      <w:tr>
        <w:tc>
          <w:tcPr>
            <w:tcW w:type="dxa" w:w="2381"/>
          </w:tcPr>
          <w:p>
            <w:pPr>
              <w:keepNext/>
              <w:spacing w:after="40" w:line="288" w:lineRule="auto"/>
              <w:jc w:val="left"/>
            </w:pPr>
            <w:r>
              <w:rPr>
                <w:b w:val="0"/>
              </w:rPr>
              <w:t>税前月薪</w:t>
            </w:r>
          </w:p>
        </w:tc>
        <w:tc>
          <w:tcPr>
            <w:tcW w:type="dxa" w:w="1928"/>
          </w:tcPr>
          <w:p>
            <w:pPr>
              <w:keepNext/>
              <w:spacing w:after="40" w:line="288" w:lineRule="auto"/>
              <w:jc w:val="right"/>
            </w:pPr>
            <w:r>
              <w:rPr>
                <w:b w:val="0"/>
              </w:rPr>
              <w:t>23.0K</w:t>
            </w:r>
          </w:p>
        </w:tc>
        <w:tc>
          <w:tcPr>
            <w:tcW w:type="dxa" w:w="1928"/>
          </w:tcPr>
          <w:p>
            <w:pPr>
              <w:keepNext/>
              <w:spacing w:after="40" w:line="288" w:lineRule="auto"/>
              <w:jc w:val="right"/>
            </w:pPr>
            <w:r>
              <w:rPr>
                <w:b w:val="0"/>
              </w:rPr>
              <w:t>29.0K</w:t>
            </w:r>
          </w:p>
        </w:tc>
      </w:tr>
      <w:tr>
        <w:tc>
          <w:tcPr>
            <w:tcW w:type="dxa" w:w="2381"/>
          </w:tcPr>
          <w:p>
            <w:pPr>
              <w:keepNext/>
              <w:spacing w:after="40" w:line="288" w:lineRule="auto"/>
              <w:jc w:val="left"/>
            </w:pPr>
            <w:r>
              <w:rPr>
                <w:b w:val="0"/>
              </w:rPr>
              <w:t>五险一金</w:t>
            </w:r>
          </w:p>
        </w:tc>
        <w:tc>
          <w:tcPr>
            <w:tcW w:type="dxa" w:w="1928"/>
          </w:tcPr>
          <w:p>
            <w:pPr>
              <w:keepNext/>
              <w:spacing w:after="40" w:line="288" w:lineRule="auto"/>
              <w:jc w:val="right"/>
            </w:pPr>
            <w:r>
              <w:rPr>
                <w:b w:val="0"/>
              </w:rPr>
              <w:t>−2.8K</w:t>
            </w:r>
          </w:p>
        </w:tc>
        <w:tc>
          <w:tcPr>
            <w:tcW w:type="dxa" w:w="1928"/>
          </w:tcPr>
          <w:p>
            <w:pPr>
              <w:keepNext/>
              <w:spacing w:after="40" w:line="288" w:lineRule="auto"/>
              <w:jc w:val="right"/>
            </w:pPr>
            <w:r>
              <w:rPr>
                <w:b w:val="0"/>
              </w:rPr>
              <w:t>−3.5K</w:t>
            </w:r>
          </w:p>
        </w:tc>
      </w:tr>
      <w:tr>
        <w:tc>
          <w:tcPr>
            <w:tcW w:type="dxa" w:w="2381"/>
          </w:tcPr>
          <w:p>
            <w:pPr>
              <w:keepNext/>
              <w:spacing w:after="40" w:line="288" w:lineRule="auto"/>
              <w:jc w:val="left"/>
            </w:pPr>
            <w:r>
              <w:rPr>
                <w:b w:val="0"/>
              </w:rPr>
              <w:t>个税</w:t>
            </w:r>
          </w:p>
        </w:tc>
        <w:tc>
          <w:tcPr>
            <w:tcW w:type="dxa" w:w="1928"/>
          </w:tcPr>
          <w:p>
            <w:pPr>
              <w:keepNext/>
              <w:spacing w:after="40" w:line="288" w:lineRule="auto"/>
              <w:jc w:val="right"/>
            </w:pPr>
            <w:r>
              <w:rPr>
                <w:b w:val="0"/>
              </w:rPr>
              <w:t>−1.2K</w:t>
            </w:r>
          </w:p>
        </w:tc>
        <w:tc>
          <w:tcPr>
            <w:tcW w:type="dxa" w:w="1928"/>
          </w:tcPr>
          <w:p>
            <w:pPr>
              <w:keepNext/>
              <w:spacing w:after="40" w:line="288" w:lineRule="auto"/>
              <w:jc w:val="right"/>
            </w:pPr>
            <w:r>
              <w:rPr>
                <w:b w:val="0"/>
              </w:rPr>
              <w:t>−2.3K</w:t>
            </w:r>
          </w:p>
        </w:tc>
      </w:tr>
      <w:tr>
        <w:tc>
          <w:tcPr>
            <w:tcW w:type="dxa" w:w="2381"/>
          </w:tcPr>
          <w:p>
            <w:pPr>
              <w:keepNext/>
              <w:spacing w:after="40" w:line="288" w:lineRule="auto"/>
              <w:jc w:val="left"/>
            </w:pPr>
            <w:r>
              <w:rPr>
                <w:b w:val="0"/>
              </w:rPr>
              <w:t>税后收入</w:t>
            </w:r>
          </w:p>
        </w:tc>
        <w:tc>
          <w:tcPr>
            <w:tcW w:type="dxa" w:w="1928"/>
          </w:tcPr>
          <w:p>
            <w:pPr>
              <w:keepNext/>
              <w:spacing w:after="40" w:line="288" w:lineRule="auto"/>
              <w:jc w:val="right"/>
            </w:pPr>
            <w:r>
              <w:rPr>
                <w:b w:val="0"/>
              </w:rPr>
              <w:t>19.0K</w:t>
            </w:r>
          </w:p>
        </w:tc>
        <w:tc>
          <w:tcPr>
            <w:tcW w:type="dxa" w:w="1928"/>
          </w:tcPr>
          <w:p>
            <w:pPr>
              <w:keepNext/>
              <w:spacing w:after="40" w:line="288" w:lineRule="auto"/>
              <w:jc w:val="right"/>
            </w:pPr>
            <w:r>
              <w:rPr>
                <w:b w:val="0"/>
              </w:rPr>
              <w:t>23.2K</w:t>
            </w:r>
          </w:p>
        </w:tc>
      </w:tr>
      <w:tr>
        <w:tc>
          <w:tcPr>
            <w:tcW w:type="dxa" w:w="2381"/>
          </w:tcPr>
          <w:p>
            <w:pPr>
              <w:keepNext/>
              <w:spacing w:after="40" w:line="288" w:lineRule="auto"/>
              <w:jc w:val="left"/>
            </w:pPr>
            <w:r>
              <w:rPr>
                <w:b w:val="0"/>
              </w:rPr>
              <w:t>工具费</w:t>
            </w:r>
          </w:p>
        </w:tc>
        <w:tc>
          <w:tcPr>
            <w:tcW w:type="dxa" w:w="1928"/>
          </w:tcPr>
          <w:p>
            <w:pPr>
              <w:keepNext/>
              <w:spacing w:after="40" w:line="288" w:lineRule="auto"/>
              <w:jc w:val="right"/>
            </w:pPr>
            <w:r>
              <w:rPr>
                <w:b w:val="0"/>
              </w:rPr>
              <w:t>−3.2K</w:t>
            </w:r>
          </w:p>
        </w:tc>
        <w:tc>
          <w:tcPr>
            <w:tcW w:type="dxa" w:w="1928"/>
          </w:tcPr>
          <w:p>
            <w:pPr>
              <w:keepNext/>
              <w:spacing w:after="40" w:line="288" w:lineRule="auto"/>
              <w:jc w:val="right"/>
            </w:pPr>
            <w:r>
              <w:rPr>
                <w:b w:val="0"/>
              </w:rPr>
              <w:t>−3.2K</w:t>
            </w:r>
          </w:p>
        </w:tc>
      </w:tr>
      <w:tr>
        <w:tc>
          <w:tcPr>
            <w:tcW w:type="dxa" w:w="2381"/>
          </w:tcPr>
          <w:p>
            <w:pPr>
              <w:keepNext w:val="0"/>
              <w:spacing w:after="40" w:line="288" w:lineRule="auto"/>
              <w:jc w:val="left"/>
            </w:pPr>
            <w:r>
              <w:rPr>
                <w:b w:val="0"/>
              </w:rPr>
              <w:t>可支配收入</w:t>
            </w:r>
          </w:p>
        </w:tc>
        <w:tc>
          <w:tcPr>
            <w:tcW w:type="dxa" w:w="1928"/>
          </w:tcPr>
          <w:p>
            <w:pPr>
              <w:keepNext w:val="0"/>
              <w:spacing w:after="40" w:line="288" w:lineRule="auto"/>
              <w:jc w:val="right"/>
            </w:pPr>
            <w:r>
              <w:rPr>
                <w:b w:val="0"/>
              </w:rPr>
              <w:t>15.8K</w:t>
            </w:r>
          </w:p>
        </w:tc>
        <w:tc>
          <w:tcPr>
            <w:tcW w:type="dxa" w:w="1928"/>
          </w:tcPr>
          <w:p>
            <w:pPr>
              <w:keepNext w:val="0"/>
              <w:spacing w:after="40" w:line="288" w:lineRule="auto"/>
              <w:jc w:val="right"/>
            </w:pPr>
            <w:r>
              <w:rPr>
                <w:b w:val="0"/>
              </w:rPr>
              <w:t>20.0K</w:t>
            </w:r>
          </w:p>
        </w:tc>
      </w:tr>
    </w:tbl>
    <w:p/>
    <w:p>
      <w:r>
        <w:t>可支配收入 20K 左右的预期，是按纯产品经理提出的水平。按 23K 核定，税后 19.0K，付完工具费剩 15.8K，比预期少 4.2K。税前月薪到 29K，付完同一笔工具费，可支配收入才回到 20K。</w:t>
      </w:r>
    </w:p>
    <w:p>
      <w:r>
        <w:t>口径：五险一金个人缴纳部分按税前月薪的 12% 计；个税按全年累计预扣后的月均数计，专项附加扣除每月 2,000 元；15 薪中多出的 3 个月不计入月度测算。</w:t>
      </w:r>
    </w:p>
    <w:p>
      <w:pPr>
        <w:pStyle w:val="Heading2"/>
      </w:pPr>
      <w:r>
        <w:t>五、相关安排</w:t>
      </w:r>
    </w:p>
    <w:p>
      <w:r>
        <w:rPr>
          <w:b/>
        </w:rPr>
        <w:t>工具费：</w:t>
      </w:r>
      <w:r>
        <w:t>公司统一采购、提供路由服务或按实报销之后，工具费不再由个人承担，基线另行商定。</w:t>
      </w:r>
    </w:p>
    <w:p>
      <w:r>
        <w:rPr>
          <w:b/>
        </w:rPr>
        <w:t>驻场：</w:t>
      </w:r>
      <w:r>
        <w:t>项目需要跨地区驻场和现场响应时，差旅、住宿和补贴由公司按项目另行安排，不计入月薪。</w:t>
      </w:r>
    </w:p>
    <w:p>
      <w:r>
        <w:rPr>
          <w:b/>
        </w:rPr>
        <w:t>复评：</w:t>
      </w:r>
      <w:r>
        <w:t>业务需要时，我愿意承担更完整的产品、技术和交付职责。进一步承担 FDE（驻客户现场的实施与交付角色）方向的工程实施、复杂技术实施或独立项目交付之后，同步设置专项激励，并按约定的阶段复评薪酬。</w:t>
      </w:r>
    </w:p>
    <w:p>
      <w:r>
        <w:rPr>
          <w:b/>
        </w:rPr>
        <w:t>替代结构：</w:t>
      </w:r>
      <w:r>
        <w:t>固定月薪受职级或核薪规则限制时，可以改为兑现条件明确的岗位津贴、专项绩效或其他合规的薪酬结构。</w:t>
      </w:r>
    </w:p>
    <w:sectPr w:rsidR="00FC693F" w:rsidRPr="0006063C" w:rsidSect="00034616"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