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21EF" w:rsidRDefault="00E44E79" w:rsidP="00855FF8">
      <w:pPr>
        <w:spacing w:before="96"/>
        <w:ind w:firstLine="720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6521EF" w:rsidRDefault="006521EF">
      <w:pPr>
        <w:spacing w:before="96"/>
        <w:jc w:val="center"/>
      </w:pPr>
    </w:p>
    <w:p w:rsidR="006521EF" w:rsidRDefault="00E44E79">
      <w:pPr>
        <w:spacing w:before="96"/>
        <w:jc w:val="center"/>
      </w:pPr>
      <w:r>
        <w:rPr>
          <w:sz w:val="24"/>
          <w:szCs w:val="24"/>
        </w:rPr>
        <w:t>ФЕДЕРАЛЬНОЕ ГОСУДАРСТВЕННОЕ БЮДЖЕТНОЕ</w:t>
      </w:r>
    </w:p>
    <w:p w:rsidR="006521EF" w:rsidRDefault="00E44E79">
      <w:pPr>
        <w:spacing w:before="96"/>
        <w:jc w:val="center"/>
      </w:pPr>
      <w:r>
        <w:rPr>
          <w:sz w:val="24"/>
          <w:szCs w:val="24"/>
        </w:rPr>
        <w:t>ОБРАЗОВАТЕЛЬНОЕ УЧРЕЖДЕНИЕ</w:t>
      </w:r>
    </w:p>
    <w:p w:rsidR="006521EF" w:rsidRDefault="00E44E79">
      <w:pPr>
        <w:spacing w:before="96"/>
        <w:jc w:val="center"/>
      </w:pPr>
      <w:r>
        <w:rPr>
          <w:sz w:val="24"/>
          <w:szCs w:val="24"/>
        </w:rPr>
        <w:t>ВЫСШЕГО ОБРАЗОВАНИЯ</w:t>
      </w:r>
    </w:p>
    <w:p w:rsidR="006521EF" w:rsidRDefault="00E44E79">
      <w:pPr>
        <w:spacing w:before="96"/>
        <w:jc w:val="center"/>
      </w:pPr>
      <w:r>
        <w:rPr>
          <w:sz w:val="24"/>
          <w:szCs w:val="24"/>
        </w:rPr>
        <w:t>«НОВОСИБИРСКИЙ ГОСУДАРСТВЕННЫЙ ТЕХНИЧЕСКИЙ УНИВЕРСИТЕТ»</w:t>
      </w:r>
    </w:p>
    <w:p w:rsidR="006521EF" w:rsidRDefault="00E44E79">
      <w:pPr>
        <w:spacing w:before="96"/>
        <w:jc w:val="center"/>
      </w:pPr>
      <w:r>
        <w:rPr>
          <w:sz w:val="24"/>
          <w:szCs w:val="24"/>
        </w:rPr>
        <w:t>_________________________________________________________________</w:t>
      </w:r>
    </w:p>
    <w:p w:rsidR="006521EF" w:rsidRDefault="006521EF">
      <w:pPr>
        <w:spacing w:before="96"/>
        <w:jc w:val="center"/>
      </w:pPr>
    </w:p>
    <w:p w:rsidR="006521EF" w:rsidRDefault="00E44E79">
      <w:pPr>
        <w:spacing w:before="96"/>
        <w:jc w:val="center"/>
      </w:pPr>
      <w:r>
        <w:rPr>
          <w:sz w:val="24"/>
          <w:szCs w:val="24"/>
        </w:rPr>
        <w:t>Кафедра защиты информации</w:t>
      </w:r>
    </w:p>
    <w:p w:rsidR="006521EF" w:rsidRDefault="006521EF">
      <w:pPr>
        <w:spacing w:before="96"/>
        <w:jc w:val="center"/>
      </w:pPr>
    </w:p>
    <w:p w:rsidR="006521EF" w:rsidRDefault="00E44E79">
      <w:pPr>
        <w:spacing w:after="200" w:line="276" w:lineRule="auto"/>
        <w:jc w:val="center"/>
      </w:pPr>
      <w:r>
        <w:rPr>
          <w:noProof/>
        </w:rPr>
        <w:drawing>
          <wp:inline distT="0" distB="0" distL="0" distR="0">
            <wp:extent cx="2708275" cy="928370"/>
            <wp:effectExtent l="0" t="0" r="0" b="0"/>
            <wp:docPr id="9001" name="Логотип НГТУ" descr="Логотип Н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ngt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Default="006521EF">
      <w:pPr>
        <w:spacing w:after="200" w:line="276" w:lineRule="auto"/>
        <w:jc w:val="center"/>
      </w:pPr>
    </w:p>
    <w:p w:rsidR="006521EF" w:rsidRDefault="00E44E79">
      <w:pPr>
        <w:jc w:val="center"/>
      </w:pPr>
      <w:r>
        <w:rPr>
          <w:b/>
          <w:bCs/>
          <w:sz w:val="32"/>
          <w:szCs w:val="32"/>
        </w:rPr>
        <w:t>ЛАБОРАТОРНАЯ РАБОТА №3</w:t>
      </w:r>
    </w:p>
    <w:p w:rsidR="006521EF" w:rsidRDefault="00E44E79">
      <w:pPr>
        <w:jc w:val="center"/>
      </w:pPr>
      <w:r>
        <w:rPr>
          <w:b/>
          <w:bCs/>
          <w:sz w:val="24"/>
          <w:szCs w:val="24"/>
        </w:rPr>
        <w:t>по дисциплине: «</w:t>
      </w:r>
      <w:r>
        <w:rPr>
          <w:b/>
          <w:bCs/>
          <w:i/>
          <w:iCs/>
        </w:rPr>
        <w:t>Программирование</w:t>
      </w:r>
      <w:r>
        <w:rPr>
          <w:b/>
          <w:bCs/>
        </w:rPr>
        <w:t xml:space="preserve">» </w:t>
      </w:r>
    </w:p>
    <w:p w:rsidR="006521EF" w:rsidRDefault="00E44E79">
      <w:pPr>
        <w:jc w:val="center"/>
      </w:pPr>
      <w:r>
        <w:rPr>
          <w:b/>
          <w:bCs/>
        </w:rPr>
        <w:t>на тему:</w:t>
      </w:r>
      <w:r>
        <w:rPr>
          <w:b/>
          <w:bCs/>
          <w:i/>
          <w:iCs/>
        </w:rPr>
        <w:t xml:space="preserve"> «Объектно-ориентированное программирование»</w:t>
      </w:r>
    </w:p>
    <w:p w:rsidR="006521EF" w:rsidRDefault="006521EF">
      <w:pPr>
        <w:spacing w:after="200"/>
      </w:pPr>
    </w:p>
    <w:p w:rsidR="006521EF" w:rsidRDefault="006521EF">
      <w:pPr>
        <w:spacing w:after="200"/>
      </w:pPr>
    </w:p>
    <w:tbl>
      <w:tblPr>
        <w:tblW w:w="9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745"/>
      </w:tblGrid>
      <w:tr w:rsidR="006521EF">
        <w:tc>
          <w:tcPr>
            <w:tcW w:w="5245" w:type="dxa"/>
          </w:tcPr>
          <w:p w:rsidR="006521EF" w:rsidRDefault="00E44E79">
            <w:pPr>
              <w:spacing w:after="200"/>
            </w:pPr>
            <w:r>
              <w:rPr>
                <w:sz w:val="24"/>
                <w:szCs w:val="24"/>
              </w:rPr>
              <w:t>Выполнил:</w:t>
            </w:r>
          </w:p>
          <w:p w:rsidR="006521EF" w:rsidRDefault="00E44E79">
            <w:pPr>
              <w:spacing w:after="200"/>
            </w:pPr>
            <w:r>
              <w:rPr>
                <w:sz w:val="24"/>
                <w:szCs w:val="24"/>
              </w:rPr>
              <w:t>Студент гр. «</w:t>
            </w:r>
            <w:r>
              <w:rPr>
                <w:i/>
                <w:iCs/>
                <w:sz w:val="24"/>
                <w:szCs w:val="24"/>
              </w:rPr>
              <w:t>АБ-520</w:t>
            </w:r>
            <w:r>
              <w:rPr>
                <w:sz w:val="24"/>
                <w:szCs w:val="24"/>
              </w:rPr>
              <w:t>», «</w:t>
            </w:r>
            <w:r>
              <w:rPr>
                <w:i/>
                <w:iCs/>
                <w:sz w:val="24"/>
                <w:szCs w:val="24"/>
              </w:rPr>
              <w:t>АВТФ</w:t>
            </w:r>
            <w:r>
              <w:rPr>
                <w:sz w:val="24"/>
                <w:szCs w:val="24"/>
              </w:rPr>
              <w:t xml:space="preserve">», </w:t>
            </w:r>
          </w:p>
          <w:p w:rsidR="006521EF" w:rsidRDefault="00E44E79">
            <w:pPr>
              <w:spacing w:after="200"/>
            </w:pPr>
            <w:r>
              <w:rPr>
                <w:i/>
                <w:iCs/>
                <w:sz w:val="24"/>
                <w:szCs w:val="24"/>
              </w:rPr>
              <w:t>Юлов Алексей Евгеньевич</w:t>
            </w:r>
          </w:p>
          <w:p w:rsidR="006521EF" w:rsidRDefault="00E44E79">
            <w:pPr>
              <w:spacing w:after="200"/>
            </w:pPr>
            <w:r>
              <w:rPr>
                <w:sz w:val="24"/>
                <w:szCs w:val="24"/>
              </w:rPr>
              <w:t>«___» ______ 2026 г.</w:t>
            </w:r>
          </w:p>
          <w:p w:rsidR="006521EF" w:rsidRDefault="00E44E79">
            <w:pPr>
              <w:spacing w:after="200"/>
            </w:pPr>
            <w:r>
              <w:rPr>
                <w:sz w:val="24"/>
                <w:szCs w:val="24"/>
              </w:rPr>
              <w:t>______________________</w:t>
            </w:r>
          </w:p>
          <w:p w:rsidR="006521EF" w:rsidRDefault="00E44E79">
            <w:pPr>
              <w:spacing w:after="200"/>
            </w:pPr>
            <w:r>
              <w:rPr>
                <w:sz w:val="24"/>
                <w:szCs w:val="24"/>
              </w:rPr>
              <w:t>(подпись)</w:t>
            </w:r>
          </w:p>
        </w:tc>
        <w:tc>
          <w:tcPr>
            <w:tcW w:w="4745" w:type="dxa"/>
          </w:tcPr>
          <w:p w:rsidR="006521EF" w:rsidRDefault="00E44E79">
            <w:pPr>
              <w:spacing w:after="200"/>
            </w:pPr>
            <w:r>
              <w:rPr>
                <w:sz w:val="24"/>
                <w:szCs w:val="24"/>
              </w:rPr>
              <w:t>Проверил:</w:t>
            </w:r>
          </w:p>
          <w:p w:rsidR="006521EF" w:rsidRDefault="00E44E79">
            <w:pPr>
              <w:spacing w:after="200"/>
            </w:pPr>
            <w:r>
              <w:rPr>
                <w:i/>
                <w:iCs/>
                <w:sz w:val="24"/>
                <w:szCs w:val="24"/>
              </w:rPr>
              <w:t>Старший преподаватель ЗИ</w:t>
            </w:r>
          </w:p>
          <w:p w:rsidR="006521EF" w:rsidRDefault="00E44E79">
            <w:pPr>
              <w:spacing w:after="200"/>
            </w:pPr>
            <w:r>
              <w:rPr>
                <w:i/>
                <w:iCs/>
                <w:sz w:val="24"/>
                <w:szCs w:val="24"/>
              </w:rPr>
              <w:t>Исаев Глеб Андреевич</w:t>
            </w:r>
          </w:p>
          <w:p w:rsidR="006521EF" w:rsidRDefault="00E44E79">
            <w:pPr>
              <w:spacing w:after="200"/>
            </w:pPr>
            <w:r>
              <w:rPr>
                <w:sz w:val="24"/>
                <w:szCs w:val="24"/>
              </w:rPr>
              <w:t>«___» ______ 2026 г.</w:t>
            </w:r>
          </w:p>
          <w:p w:rsidR="006521EF" w:rsidRDefault="00E44E79">
            <w:pPr>
              <w:spacing w:after="200"/>
            </w:pPr>
            <w:r>
              <w:rPr>
                <w:sz w:val="24"/>
                <w:szCs w:val="24"/>
              </w:rPr>
              <w:t>______________________</w:t>
            </w:r>
          </w:p>
          <w:p w:rsidR="006521EF" w:rsidRDefault="00E44E79">
            <w:pPr>
              <w:spacing w:after="200"/>
            </w:pPr>
            <w:r>
              <w:rPr>
                <w:sz w:val="24"/>
                <w:szCs w:val="24"/>
              </w:rPr>
              <w:t>(подпись)</w:t>
            </w:r>
          </w:p>
        </w:tc>
      </w:tr>
    </w:tbl>
    <w:p w:rsidR="006521EF" w:rsidRDefault="006521EF"/>
    <w:p w:rsidR="006521EF" w:rsidRDefault="006521EF"/>
    <w:p w:rsidR="006521EF" w:rsidRDefault="006521EF"/>
    <w:p w:rsidR="006521EF" w:rsidRDefault="006521EF"/>
    <w:p w:rsidR="006521EF" w:rsidRDefault="00E44E79">
      <w:pPr>
        <w:jc w:val="center"/>
      </w:pPr>
      <w:r>
        <w:rPr>
          <w:sz w:val="24"/>
          <w:szCs w:val="24"/>
        </w:rPr>
        <w:t>Новосибирск 2026</w:t>
      </w:r>
    </w:p>
    <w:sdt>
      <w:sdtPr>
        <w:alias w:val="Содержание"/>
        <w:id w:val="-1598948161"/>
      </w:sdtPr>
      <w:sdtContent>
        <w:p w:rsidR="006521EF" w:rsidRDefault="00E44E79">
          <w:pPr>
            <w:pStyle w:val="11"/>
            <w:tabs>
              <w:tab w:val="right" w:leader="dot" w:pos="9355"/>
            </w:tabs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1" w:history="1">
            <w:r w:rsidR="006521EF">
              <w:t>Введение</w:t>
            </w:r>
            <w:r w:rsidR="006521EF">
              <w:tab/>
            </w:r>
            <w:r w:rsidR="006521EF">
              <w:fldChar w:fldCharType="begin"/>
            </w:r>
            <w:r w:rsidR="006521EF">
              <w:instrText>PAGEREF _Toc1 \h</w:instrText>
            </w:r>
            <w:r w:rsidR="006521EF">
              <w:fldChar w:fldCharType="separate"/>
            </w:r>
            <w:r w:rsidR="006521EF">
              <w:fldChar w:fldCharType="end"/>
            </w:r>
          </w:hyperlink>
        </w:p>
        <w:p w:rsidR="006521EF" w:rsidRDefault="006521EF">
          <w:pPr>
            <w:pStyle w:val="11"/>
            <w:tabs>
              <w:tab w:val="right" w:leader="dot" w:pos="9355"/>
            </w:tabs>
          </w:pPr>
          <w:hyperlink w:anchor="_Toc2" w:history="1">
            <w:r>
              <w:t>Ход выполнения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fldChar w:fldCharType="end"/>
            </w:r>
          </w:hyperlink>
        </w:p>
        <w:p w:rsidR="006521EF" w:rsidRDefault="006521EF">
          <w:pPr>
            <w:pStyle w:val="20"/>
            <w:tabs>
              <w:tab w:val="right" w:leader="dot" w:pos="9355"/>
            </w:tabs>
          </w:pPr>
          <w:hyperlink w:anchor="_Toc3" w:history="1">
            <w:r>
              <w:t>Задание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fldChar w:fldCharType="end"/>
            </w:r>
          </w:hyperlink>
        </w:p>
        <w:p w:rsidR="006521EF" w:rsidRDefault="006521EF">
          <w:pPr>
            <w:pStyle w:val="20"/>
            <w:tabs>
              <w:tab w:val="right" w:leader="dot" w:pos="9355"/>
            </w:tabs>
          </w:pPr>
          <w:hyperlink w:anchor="_Toc10" w:history="1">
            <w:r>
              <w:t>Теоретическая часть</w:t>
            </w:r>
            <w:r>
              <w:tab/>
            </w:r>
            <w:r>
              <w:fldChar w:fldCharType="begin"/>
            </w:r>
            <w:r>
              <w:instrText>PAGEREF _Toc10 \h</w:instrText>
            </w:r>
            <w:r>
              <w:fldChar w:fldCharType="separate"/>
            </w:r>
            <w:r>
              <w:fldChar w:fldCharType="end"/>
            </w:r>
          </w:hyperlink>
        </w:p>
        <w:p w:rsidR="006521EF" w:rsidRDefault="006521EF">
          <w:pPr>
            <w:pStyle w:val="20"/>
            <w:tabs>
              <w:tab w:val="right" w:leader="dot" w:pos="9355"/>
            </w:tabs>
          </w:pPr>
          <w:hyperlink w:anchor="_Toc30" w:history="1">
            <w:r>
              <w:t>Практическая часть</w:t>
            </w:r>
            <w:r>
              <w:tab/>
            </w:r>
            <w:r>
              <w:fldChar w:fldCharType="begin"/>
            </w:r>
            <w:r>
              <w:instrText>PAGEREF _Toc30 \h</w:instrText>
            </w:r>
            <w:r>
              <w:fldChar w:fldCharType="separate"/>
            </w:r>
            <w:r>
              <w:fldChar w:fldCharType="end"/>
            </w:r>
          </w:hyperlink>
        </w:p>
        <w:p w:rsidR="006521EF" w:rsidRDefault="006521EF">
          <w:pPr>
            <w:pStyle w:val="11"/>
            <w:tabs>
              <w:tab w:val="right" w:leader="dot" w:pos="9355"/>
            </w:tabs>
          </w:pPr>
          <w:hyperlink w:anchor="_Toc20" w:history="1">
            <w:r>
              <w:t>Вывод</w:t>
            </w:r>
            <w:r>
              <w:tab/>
            </w:r>
            <w:r>
              <w:fldChar w:fldCharType="begin"/>
            </w:r>
            <w:r>
              <w:instrText>PAGEREF _Toc20 \h</w:instrText>
            </w:r>
            <w:r>
              <w:fldChar w:fldCharType="separate"/>
            </w:r>
            <w:r>
              <w:fldChar w:fldCharType="end"/>
            </w:r>
          </w:hyperlink>
        </w:p>
        <w:p w:rsidR="006521EF" w:rsidRDefault="006521EF">
          <w:pPr>
            <w:pStyle w:val="11"/>
            <w:tabs>
              <w:tab w:val="right" w:leader="dot" w:pos="9355"/>
            </w:tabs>
          </w:pPr>
          <w:hyperlink w:anchor="_Toc21" w:history="1">
            <w:r>
              <w:t>Приложение А</w:t>
            </w:r>
            <w:r>
              <w:tab/>
            </w:r>
            <w:r>
              <w:fldChar w:fldCharType="begin"/>
            </w:r>
            <w:r>
              <w:instrText>PAGEREF _Toc21 \h</w:instrText>
            </w:r>
            <w:r>
              <w:fldChar w:fldCharType="separate"/>
            </w:r>
            <w:r>
              <w:fldChar w:fldCharType="end"/>
            </w:r>
          </w:hyperlink>
        </w:p>
        <w:p w:rsidR="006521EF" w:rsidRDefault="006521EF">
          <w:pPr>
            <w:pStyle w:val="11"/>
            <w:tabs>
              <w:tab w:val="right" w:leader="dot" w:pos="9355"/>
            </w:tabs>
          </w:pPr>
          <w:hyperlink w:anchor="_Toc22" w:history="1">
            <w: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>PAGEREF _Toc22 \h</w:instrText>
            </w:r>
            <w:r>
              <w:fldChar w:fldCharType="separate"/>
            </w:r>
            <w:r>
              <w:fldChar w:fldCharType="end"/>
            </w:r>
          </w:hyperlink>
        </w:p>
        <w:p w:rsidR="006521EF" w:rsidRDefault="00E44E79">
          <w:r>
            <w:fldChar w:fldCharType="end"/>
          </w:r>
        </w:p>
      </w:sdtContent>
    </w:sdt>
    <w:p w:rsidR="006521EF" w:rsidRDefault="00E44E79">
      <w:pPr>
        <w:pStyle w:val="1"/>
        <w:pageBreakBefore/>
        <w:spacing w:after="240"/>
      </w:pPr>
      <w:bookmarkStart w:id="0" w:name="_Toc1"/>
      <w:r>
        <w:lastRenderedPageBreak/>
        <w:t>Введение</w:t>
      </w:r>
      <w:bookmarkEnd w:id="0"/>
    </w:p>
    <w:p w:rsidR="006521EF" w:rsidRDefault="00E44E79">
      <w:pPr>
        <w:spacing w:line="360" w:lineRule="auto"/>
        <w:ind w:firstLine="709"/>
        <w:jc w:val="both"/>
      </w:pPr>
      <w:r>
        <w:t>Цель работы — изучение основных принципов объектно-ориентированного программирования (ООП) и основ юнит-тестирования. В работе структуры данных, разработанные в лабораторных работах 1 и 2 (массив, односвязный и двусвязный списки, очередь, стек, хеш-таблица, дерево), переписываются в виде классов на языках C++ и Go. Для каждой реализации написаны модульные тесты с покрытием не ниже 85 %, benchmark-замеры, HTML-отчёты о покрытии, выполнена статическая проверка линтерами и реализована сериализация и десериализация в бинарном и текстовом форматах.</w:t>
      </w:r>
    </w:p>
    <w:p w:rsidR="006521EF" w:rsidRDefault="00E44E79">
      <w:pPr>
        <w:spacing w:line="360" w:lineRule="auto"/>
        <w:ind w:firstLine="709"/>
        <w:jc w:val="both"/>
      </w:pPr>
      <w:r>
        <w:t>Вариант 26 — чётный, поэтому в теоретической части анализируются мировые практики оценки качества программного обеспечения (в первую очередь стандарт ISO/IEC 25010), а также рассматриваются основные виды тестирования. Дерево по варианту ЛР1 и ЛР2 — Complete Binary Tree (полное двоичное дерево).</w:t>
      </w:r>
    </w:p>
    <w:p w:rsidR="006521EF" w:rsidRDefault="00E44E79">
      <w:pPr>
        <w:pStyle w:val="1"/>
        <w:pageBreakBefore/>
        <w:spacing w:after="240"/>
      </w:pPr>
      <w:bookmarkStart w:id="1" w:name="_Toc2"/>
      <w:r>
        <w:lastRenderedPageBreak/>
        <w:t>Ход выполнения</w:t>
      </w:r>
      <w:bookmarkEnd w:id="1"/>
    </w:p>
    <w:p w:rsidR="006521EF" w:rsidRDefault="00E44E79">
      <w:pPr>
        <w:pStyle w:val="2"/>
        <w:keepNext/>
        <w:spacing w:before="360" w:after="120"/>
      </w:pPr>
      <w:bookmarkStart w:id="2" w:name="_Toc3"/>
      <w:r>
        <w:t>Задание</w:t>
      </w:r>
      <w:bookmarkEnd w:id="2"/>
    </w:p>
    <w:p w:rsidR="006521EF" w:rsidRDefault="00E44E79">
      <w:pPr>
        <w:spacing w:line="360" w:lineRule="auto"/>
        <w:ind w:firstLine="709"/>
        <w:jc w:val="both"/>
      </w:pPr>
      <w:r>
        <w:rPr>
          <w:b/>
          <w:bCs/>
        </w:rPr>
        <w:t xml:space="preserve">Задание 1. </w:t>
      </w:r>
      <w:r>
        <w:t>Реализовать классы с базовым набором операций (private, public) на основе лабораторных работ 1 и 2 на языке программирования C++ и одном из множества языков X ∈ {Rust, Go}: массив; список (односвязный, двусвязный); очередь; стек; хеш-таблицы; деревья (вариант согласно ЛР1). Использование линтеров обязательно. Проект должен быть многофайловым.</w:t>
      </w:r>
    </w:p>
    <w:p w:rsidR="006521EF" w:rsidRPr="000A444B" w:rsidRDefault="00E44E79">
      <w:pPr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 xml:space="preserve">Задание 2. </w:t>
      </w:r>
      <w:r>
        <w:t>Реализовать покрытие тестами (не менее 85 %) в проекте. Использование benchmark обязательно. Для C++ — Boost Test Library, Google Test, CxxTest, Catch2, QTest и др.; создать HTML-отчёты о покрытии, которые предоставляют визуальный анализ того, как много кода было протестировано. Для</w:t>
      </w:r>
      <w:r w:rsidRPr="000A444B">
        <w:rPr>
          <w:lang w:val="en-US"/>
        </w:rPr>
        <w:t xml:space="preserve"> Go — testing, testify; </w:t>
      </w:r>
      <w:r>
        <w:t>создать</w:t>
      </w:r>
      <w:r w:rsidRPr="000A444B">
        <w:rPr>
          <w:lang w:val="en-US"/>
        </w:rPr>
        <w:t xml:space="preserve"> HTML-</w:t>
      </w:r>
      <w:r>
        <w:t>отчёт</w:t>
      </w:r>
      <w:r w:rsidRPr="000A444B">
        <w:rPr>
          <w:lang w:val="en-US"/>
        </w:rPr>
        <w:t xml:space="preserve"> </w:t>
      </w:r>
      <w:r>
        <w:t>о</w:t>
      </w:r>
      <w:r w:rsidRPr="000A444B">
        <w:rPr>
          <w:lang w:val="en-US"/>
        </w:rPr>
        <w:t xml:space="preserve"> </w:t>
      </w:r>
      <w:r>
        <w:t>покрытии</w:t>
      </w:r>
      <w:r w:rsidRPr="000A444B">
        <w:rPr>
          <w:lang w:val="en-US"/>
        </w:rPr>
        <w:t xml:space="preserve">. </w:t>
      </w:r>
      <w:r>
        <w:t>Для</w:t>
      </w:r>
      <w:r w:rsidRPr="000A444B">
        <w:rPr>
          <w:lang w:val="en-US"/>
        </w:rPr>
        <w:t xml:space="preserve"> Rust — Unit-Test Rust.</w:t>
      </w:r>
    </w:p>
    <w:p w:rsidR="006521EF" w:rsidRDefault="00E44E79">
      <w:pPr>
        <w:spacing w:line="360" w:lineRule="auto"/>
        <w:ind w:firstLine="709"/>
        <w:jc w:val="both"/>
      </w:pPr>
      <w:r>
        <w:rPr>
          <w:b/>
          <w:bCs/>
        </w:rPr>
        <w:t xml:space="preserve">Задание 3. </w:t>
      </w:r>
      <w:r>
        <w:t>Выполнить сериализацию и десериализацию данных бинарного и текстового форматов для проектов 1 и 2 соответственно.</w:t>
      </w:r>
    </w:p>
    <w:p w:rsidR="006521EF" w:rsidRDefault="00E44E79">
      <w:pPr>
        <w:spacing w:line="360" w:lineRule="auto"/>
        <w:ind w:firstLine="709"/>
        <w:jc w:val="both"/>
      </w:pPr>
      <w:r>
        <w:rPr>
          <w:b/>
          <w:bCs/>
        </w:rPr>
        <w:t xml:space="preserve">Задание 4. </w:t>
      </w:r>
      <w:r>
        <w:t>В отчёте представить UML-диаграммы классов.</w:t>
      </w:r>
    </w:p>
    <w:p w:rsidR="006521EF" w:rsidRDefault="00E44E79">
      <w:pPr>
        <w:spacing w:line="360" w:lineRule="auto"/>
        <w:ind w:firstLine="709"/>
        <w:jc w:val="both"/>
      </w:pPr>
      <w:r>
        <w:rPr>
          <w:b/>
          <w:bCs/>
        </w:rPr>
        <w:t xml:space="preserve">Задание 5. </w:t>
      </w:r>
      <w:r>
        <w:t>Теоретическая часть (не более 15 страниц). Для чётного варианта — проанализировать мировые практики оценки качества ПО (например, ISO 25010). Для всех вариантов — основные виды тестирования.</w:t>
      </w:r>
    </w:p>
    <w:p w:rsidR="006521EF" w:rsidRDefault="00E44E79">
      <w:pPr>
        <w:pStyle w:val="2"/>
        <w:pageBreakBefore/>
        <w:spacing w:after="120"/>
      </w:pPr>
      <w:bookmarkStart w:id="3" w:name="_Toc10"/>
      <w:r>
        <w:lastRenderedPageBreak/>
        <w:t>Теоретическая часть</w:t>
      </w:r>
      <w:bookmarkEnd w:id="3"/>
    </w:p>
    <w:p w:rsidR="006521EF" w:rsidRDefault="00E44E79">
      <w:pPr>
        <w:pStyle w:val="3"/>
        <w:spacing w:before="240" w:after="120"/>
      </w:pPr>
      <w:bookmarkStart w:id="4" w:name="_Toc11"/>
      <w:r>
        <w:rPr>
          <w:b/>
          <w:bCs/>
          <w:sz w:val="28"/>
          <w:szCs w:val="28"/>
        </w:rPr>
        <w:t>1. Мировые практики оценки качества программного обеспечения</w:t>
      </w:r>
      <w:bookmarkEnd w:id="4"/>
    </w:p>
    <w:p w:rsidR="006521EF" w:rsidRDefault="00E44E79">
      <w:pPr>
        <w:spacing w:line="360" w:lineRule="auto"/>
        <w:ind w:firstLine="709"/>
        <w:jc w:val="both"/>
      </w:pPr>
      <w:r>
        <w:t>Качество программного обеспечения — степень соответствия продукта заявленным и подразумеваемым потребностям пользователей. Оценка качества нужна, чтобы объективно сравнивать продукты, выявлять риски до выпуска и управлять стоимостью сопровождения. В мировой практике сложились три группы подходов: модели качества продукта, модели качества процесса и методики тестирования и сертификации.</w:t>
      </w:r>
    </w:p>
    <w:p w:rsidR="006521EF" w:rsidRDefault="00E44E79">
      <w:pPr>
        <w:pStyle w:val="3"/>
        <w:spacing w:before="240" w:after="120"/>
      </w:pPr>
      <w:bookmarkStart w:id="5" w:name="_Toc12"/>
      <w:r>
        <w:rPr>
          <w:b/>
          <w:bCs/>
          <w:sz w:val="28"/>
          <w:szCs w:val="28"/>
        </w:rPr>
        <w:t>1.1. Исторические модели качества</w:t>
      </w:r>
      <w:bookmarkEnd w:id="5"/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Модель Маккола (1977) группирует факторы качества по трём направлениям: эксплуатация продукта (корректность, надёжность, эффективность, целостность, удобство использования), модификация (сопровождаемость, тестируемость, гибкость) и переносимость (переносимость, повторное использование, совместимость).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Модель Боэма (1978) строит иерархию: полезность для пользователя делится на переносимость, применимость и сопровождаемость, которые раскрываются через базовые характеристики (тестируемость, понятность, модифицируемость и др.).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ISO/IEC 9126 (1991, обновлён в 2001–2004) — первый международный стандарт модели качества, определил шесть характеристик: функциональность, надёжность, практичность, эффективность, сопровождаемость и переносимость. Он заменён серией SQuaRE.</w:t>
      </w:r>
    </w:p>
    <w:p w:rsidR="006521EF" w:rsidRDefault="00E44E79">
      <w:pPr>
        <w:pStyle w:val="3"/>
        <w:spacing w:before="240" w:after="120"/>
      </w:pPr>
      <w:bookmarkStart w:id="6" w:name="_Toc13"/>
      <w:r>
        <w:rPr>
          <w:b/>
          <w:bCs/>
          <w:sz w:val="28"/>
          <w:szCs w:val="28"/>
        </w:rPr>
        <w:t>1.2. Серия ISO/IEC 25000 (SQuaRE) и стандарт ISO/IEC 25010</w:t>
      </w:r>
      <w:bookmarkEnd w:id="6"/>
    </w:p>
    <w:p w:rsidR="006521EF" w:rsidRDefault="00E44E79">
      <w:pPr>
        <w:spacing w:line="360" w:lineRule="auto"/>
        <w:ind w:firstLine="709"/>
        <w:jc w:val="both"/>
      </w:pPr>
      <w:r>
        <w:t>Серия SQuaRE (Systems and software Quality Requirements and Evaluation) объединяет стандарты по требованиям к качеству, его измерению и оценке: ISO/IEC 25000 — руководство по серии, 25010 — модели качества, 25012 — модель качества данных, 25020 и 25022–25024 — измерение качества, 25030 — требования к качеству, 25040 — процесс оценки.</w:t>
      </w:r>
    </w:p>
    <w:p w:rsidR="006521EF" w:rsidRDefault="00E44E79">
      <w:pPr>
        <w:spacing w:line="360" w:lineRule="auto"/>
        <w:ind w:firstLine="709"/>
        <w:jc w:val="both"/>
      </w:pPr>
      <w:r>
        <w:lastRenderedPageBreak/>
        <w:t>Стандарт ISO/IEC 25010:2011 определяет две модели. Модель качества продукта включает восемь характеристик, каждая из которых раскрывается через подхарактеристики:</w:t>
      </w:r>
    </w:p>
    <w:p w:rsidR="006521EF" w:rsidRDefault="00E44E79">
      <w:pPr>
        <w:keepNext/>
        <w:spacing w:before="200" w:after="80"/>
      </w:pPr>
      <w:r>
        <w:rPr>
          <w:sz w:val="24"/>
          <w:szCs w:val="24"/>
        </w:rPr>
        <w:t>Таблица 2 – Модель качества продукта ISO/IEC 25010:2011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6521EF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b/>
                <w:bCs/>
                <w:sz w:val="22"/>
                <w:szCs w:val="22"/>
              </w:rPr>
              <w:t>Характеристика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b/>
                <w:bCs/>
                <w:sz w:val="22"/>
                <w:szCs w:val="22"/>
              </w:rPr>
              <w:t>Подхарактеристики и смысл</w:t>
            </w:r>
          </w:p>
        </w:tc>
      </w:tr>
      <w:tr w:rsidR="006521EF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Функциональная пригодность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полнота функций, корректность, уместность — выполняет ли продукт нужные функции и правильно ли</w:t>
            </w:r>
          </w:p>
        </w:tc>
      </w:tr>
      <w:tr w:rsidR="006521EF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Производительность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временные характеристики, использование ресурсов, ёмкость — скорость и затраты ресурсов при заданных условиях</w:t>
            </w:r>
          </w:p>
        </w:tc>
      </w:tr>
      <w:tr w:rsidR="006521EF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Совместимость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сосуществование, интероперабельность — работа рядом с другими системами и обмен данными с ними</w:t>
            </w:r>
          </w:p>
        </w:tc>
      </w:tr>
      <w:tr w:rsidR="006521EF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Удобство использования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узнаваемость пригодности, обучаемость, управляемость, защита от ошибок пользователя, эстетика интерфейса, доступность</w:t>
            </w:r>
          </w:p>
        </w:tc>
      </w:tr>
      <w:tr w:rsidR="006521EF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Надёжность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зрелость, готовность, отказоустойчивость, восстанавливаемость</w:t>
            </w:r>
          </w:p>
        </w:tc>
      </w:tr>
      <w:tr w:rsidR="006521EF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Защищённость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конфиденциальность, целостность, неподдельность (невозможность отказаться от авторства), отслеживаемость, аутентичность</w:t>
            </w:r>
          </w:p>
        </w:tc>
      </w:tr>
      <w:tr w:rsidR="006521EF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Сопровождаемость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модульность, повторная используемость, анализируемость, модифицируемость, тестируемость</w:t>
            </w:r>
          </w:p>
        </w:tc>
      </w:tr>
      <w:tr w:rsidR="006521EF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Переносимость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адаптируемость, устанавливаемость, заменяемость</w:t>
            </w:r>
          </w:p>
        </w:tc>
      </w:tr>
    </w:tbl>
    <w:p w:rsidR="006521EF" w:rsidRDefault="006521EF"/>
    <w:p w:rsidR="006521EF" w:rsidRDefault="00E44E79">
      <w:pPr>
        <w:spacing w:line="360" w:lineRule="auto"/>
        <w:ind w:firstLine="709"/>
        <w:jc w:val="both"/>
      </w:pPr>
      <w:r>
        <w:t>Вторая модель — качество при использовании (quality in use) — описывает результат применения продукта в конкретном контексте и состоит из пяти характеристик: результативность, эффективность, удовлетворённость, свобода от риска и покрытие контекста.</w:t>
      </w:r>
    </w:p>
    <w:p w:rsidR="006521EF" w:rsidRDefault="00E44E79">
      <w:pPr>
        <w:spacing w:line="360" w:lineRule="auto"/>
        <w:ind w:firstLine="709"/>
        <w:jc w:val="both"/>
      </w:pPr>
      <w:r>
        <w:t>В редакции ISO/IEC 25010:2023 модель продукта уточнена: добавлена характеристика безопасность (Safety), «удобство использования» переименовано во «взаимодействие» (Interaction capability), «переносимость» — в «гибкость» (Flexibility), введены новые подхарактеристики (например, масштабируемость и устойчивость к сбоям), а число характеристик выросло до девяти.</w:t>
      </w:r>
    </w:p>
    <w:p w:rsidR="006521EF" w:rsidRDefault="00E44E79">
      <w:pPr>
        <w:spacing w:line="360" w:lineRule="auto"/>
        <w:ind w:firstLine="709"/>
        <w:jc w:val="both"/>
      </w:pPr>
      <w:r>
        <w:t xml:space="preserve">Связь с данной лабораторной работой. Сопровождаемость по ISO 25010 раскрывается через модульность (каждая структура — отдельный класс в своих файлах), повторную используемость (общий IContainer и композиция Stack/Queue поверх списка), анализируемость (линтеры, единый стиль), модифицируемость (новая структура реализует только пять методов и сразу </w:t>
      </w:r>
      <w:r>
        <w:lastRenderedPageBreak/>
        <w:t>получает сериализацию) и тестируемость (исключения вместо вывода в консоль, интерфейс, позволяющий тестировать все классы одним набором). Надёжность обеспечивается проверкой границ, исключениями, атомарной загрузкой данных и RAII. Переносимость — наличием двух реализаций и общим файловым форматом.</w:t>
      </w:r>
    </w:p>
    <w:p w:rsidR="006521EF" w:rsidRDefault="00E44E79">
      <w:pPr>
        <w:pStyle w:val="3"/>
        <w:spacing w:before="240" w:after="120"/>
      </w:pPr>
      <w:bookmarkStart w:id="7" w:name="_Toc14"/>
      <w:r>
        <w:rPr>
          <w:b/>
          <w:bCs/>
          <w:sz w:val="28"/>
          <w:szCs w:val="28"/>
        </w:rPr>
        <w:t>1.3. Оценка качества процесса и сертификация</w:t>
      </w:r>
      <w:bookmarkEnd w:id="7"/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ISO/IEC 12207 — жизненный цикл программных средств, определяет процессы разработки, верификации, валидации и сопровождения.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ISO 9001 — система менеджмента качества организации; ISO/IEC/IEEE 90003 — руководство по её применению к разработке ПО.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CMMI (Capability Maturity Model Integration) — модель зрелости процессов с пятью уровнями: начальный, управляемый, определённый, количественно управляемый, оптимизируемый.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ISO/IEC 15504 (SPICE), заменён серией ISO/IEC 33000 — оценка способности процессов.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ISO/IEC/IEEE 29119 — международный стандарт тестирования ПО (концепции, процессы, документация, техники тестирования); ISTQB — международная схема сертификации тестировщиков и единый глоссарий терминов.</w:t>
      </w:r>
    </w:p>
    <w:p w:rsidR="006521EF" w:rsidRDefault="00E44E79">
      <w:pPr>
        <w:pStyle w:val="3"/>
        <w:spacing w:before="240" w:after="120"/>
      </w:pPr>
      <w:bookmarkStart w:id="8" w:name="_Toc15"/>
      <w:r>
        <w:rPr>
          <w:b/>
          <w:bCs/>
          <w:sz w:val="28"/>
          <w:szCs w:val="28"/>
        </w:rPr>
        <w:t>1.4. Метрики качества</w:t>
      </w:r>
      <w:bookmarkEnd w:id="8"/>
    </w:p>
    <w:p w:rsidR="006521EF" w:rsidRDefault="00E44E79">
      <w:pPr>
        <w:spacing w:line="360" w:lineRule="auto"/>
        <w:ind w:firstLine="709"/>
        <w:jc w:val="both"/>
      </w:pPr>
      <w:r>
        <w:t>Для количественной оценки применяются метрики: покрытие кода тестами (строк, ветвей, функций), цикломатическая сложность Маккейба, размер и связность модулей, плотность дефектов (число дефектов на тысячу строк кода), среднее время между отказами (MTBF) и восстановления (MTTR), показатели производительности. В работе использованы покрытие (98,8 %), число замечаний линтера (0) и время выполнения операций (benchmark).</w:t>
      </w:r>
    </w:p>
    <w:p w:rsidR="006521EF" w:rsidRDefault="00E44E79">
      <w:pPr>
        <w:pStyle w:val="3"/>
        <w:spacing w:before="240" w:after="120"/>
      </w:pPr>
      <w:bookmarkStart w:id="9" w:name="_Toc16"/>
      <w:r>
        <w:rPr>
          <w:b/>
          <w:bCs/>
          <w:sz w:val="28"/>
          <w:szCs w:val="28"/>
        </w:rPr>
        <w:t>2. Основные виды тестирования</w:t>
      </w:r>
      <w:bookmarkEnd w:id="9"/>
    </w:p>
    <w:p w:rsidR="006521EF" w:rsidRDefault="00E44E79">
      <w:pPr>
        <w:spacing w:line="360" w:lineRule="auto"/>
        <w:ind w:firstLine="709"/>
        <w:jc w:val="both"/>
      </w:pPr>
      <w:r>
        <w:lastRenderedPageBreak/>
        <w:t>Тестирование — процесс выполнения программы с целью обнаружения ошибок (Майерс). Основные цели — выявить дефекты, оценить соответствие требованиям и снизить риск при выпуске. Виды тестирования классифицируют по нескольким признакам.</w:t>
      </w:r>
    </w:p>
    <w:p w:rsidR="006521EF" w:rsidRDefault="00E44E79">
      <w:pPr>
        <w:keepNext/>
        <w:spacing w:before="200" w:after="80"/>
      </w:pPr>
      <w:r>
        <w:rPr>
          <w:sz w:val="24"/>
          <w:szCs w:val="24"/>
        </w:rPr>
        <w:t>Таблица 3 – Классификация видов тестирования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6521EF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b/>
                <w:bCs/>
                <w:sz w:val="22"/>
                <w:szCs w:val="22"/>
              </w:rPr>
              <w:t>Признак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b/>
                <w:bCs/>
                <w:sz w:val="22"/>
                <w:szCs w:val="22"/>
              </w:rPr>
              <w:t>Виды</w:t>
            </w:r>
          </w:p>
        </w:tc>
      </w:tr>
      <w:tr w:rsidR="006521EF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Уровень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модульное (юнит), интеграционное, системное, приёмочное</w:t>
            </w:r>
          </w:p>
        </w:tc>
      </w:tr>
      <w:tr w:rsidR="006521EF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Знание о коде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чёрный ящик (по спецификации), белый ящик (по структуре кода), серый ящик</w:t>
            </w:r>
          </w:p>
        </w:tc>
      </w:tr>
      <w:tr w:rsidR="006521EF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Цель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функциональное, нефункциональное (производительности, нагрузочное, стрессовое, безопасности, удобства использования, совместимости), регрессионное, дымовое (smoke), санитарное</w:t>
            </w:r>
          </w:p>
        </w:tc>
      </w:tr>
      <w:tr w:rsidR="006521EF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Степень автоматизации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ручное, автоматизированное</w:t>
            </w:r>
          </w:p>
        </w:tc>
      </w:tr>
      <w:tr w:rsidR="006521EF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Запуск кода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статическое (ревью, линтеры, анализ), динамическое</w:t>
            </w:r>
          </w:p>
        </w:tc>
      </w:tr>
      <w:tr w:rsidR="006521EF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Позитивность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позитивное (корректные данные), негативное (ошибочные данные и условия)</w:t>
            </w:r>
          </w:p>
        </w:tc>
      </w:tr>
    </w:tbl>
    <w:p w:rsidR="006521EF" w:rsidRDefault="006521EF"/>
    <w:p w:rsidR="006521EF" w:rsidRDefault="00E44E79">
      <w:pPr>
        <w:pStyle w:val="3"/>
        <w:spacing w:before="240" w:after="120"/>
      </w:pPr>
      <w:bookmarkStart w:id="10" w:name="_Toc17"/>
      <w:r>
        <w:rPr>
          <w:b/>
          <w:bCs/>
          <w:sz w:val="28"/>
          <w:szCs w:val="28"/>
        </w:rPr>
        <w:t>2.1. Уровни тестирования</w:t>
      </w:r>
      <w:bookmarkEnd w:id="10"/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Модульное (unit) — проверка отдельных функций и классов в изоляции; именно этот уровень реализован в работе (Google Test, пакет testing в Go).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Интеграционное — проверка взаимодействия модулей; в работе его аналог — тесты Stack и Queue поверх SinglyLinkedList и совместимости файлов между C++ и Go.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Системное — проверка системы целиком на соответствие требованиям.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Приёмочное — проверка заказчиком или пользователем перед принятием продукта.</w:t>
      </w:r>
    </w:p>
    <w:p w:rsidR="006521EF" w:rsidRDefault="00E44E79">
      <w:pPr>
        <w:pStyle w:val="3"/>
        <w:spacing w:before="240" w:after="120"/>
      </w:pPr>
      <w:bookmarkStart w:id="11" w:name="_Toc18"/>
      <w:r>
        <w:rPr>
          <w:b/>
          <w:bCs/>
          <w:sz w:val="28"/>
          <w:szCs w:val="28"/>
        </w:rPr>
        <w:t>2.2. Принципы тестирования (ISTQB)</w:t>
      </w:r>
      <w:bookmarkEnd w:id="11"/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Тестирование показывает наличие дефектов, но не доказывает их отсутствия.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Исчерпывающее тестирование невозможно — применяют классы эквивалентности и анализ граничных значений.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Раннее тестирование снижает стоимость исправления дефектов.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Кластеризация дефектов: большая часть ошибок сосредоточена в небольшом числе модулей.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Парадокс пестицида: повторение одних и тех же тестов перестаёт находить новые ошибки.</w:t>
      </w:r>
    </w:p>
    <w:p w:rsidR="006521EF" w:rsidRDefault="00E44E79">
      <w:pPr>
        <w:pStyle w:val="a4"/>
        <w:numPr>
          <w:ilvl w:val="0"/>
          <w:numId w:val="2"/>
        </w:numPr>
        <w:spacing w:line="360" w:lineRule="auto"/>
        <w:jc w:val="both"/>
      </w:pPr>
      <w:r>
        <w:t>Тестирование зависит от контекста; заблуждение об отсутствии ошибок — работающий, но не нужный пользователю продукт всё равно некачественен.</w:t>
      </w:r>
    </w:p>
    <w:p w:rsidR="006521EF" w:rsidRDefault="00E44E79">
      <w:pPr>
        <w:pStyle w:val="3"/>
        <w:spacing w:before="240" w:after="120"/>
      </w:pPr>
      <w:bookmarkStart w:id="12" w:name="_Toc19"/>
      <w:r>
        <w:rPr>
          <w:b/>
          <w:bCs/>
          <w:sz w:val="28"/>
          <w:szCs w:val="28"/>
        </w:rPr>
        <w:t>2.3. Юнит-тестирование на практике</w:t>
      </w:r>
      <w:bookmarkEnd w:id="12"/>
    </w:p>
    <w:p w:rsidR="006521EF" w:rsidRDefault="00E44E79">
      <w:pPr>
        <w:spacing w:line="360" w:lineRule="auto"/>
        <w:ind w:firstLine="709"/>
        <w:jc w:val="both"/>
      </w:pPr>
      <w:r>
        <w:t>Юнит-тест состоит из подготовки данных (arrange), вызова проверяемой операции (act) и проверки результата (assert). В C++ распространены Google Test (макросы TEST, TYPED_TEST, EXPECT_*, ASSERT_*), Boost.Test, Catch2; в Go — пакет testing (функции TestXxx и BenchmarkXxx) и библиотека testify; в Rust — встроенный #[test]. Для оценки полноты тестов применяют покрытие кода: gcov и lcov в C++ (HTML создаёт утилита genhtml), go test -coverprofile и go tool cover -html в Go. Высокое покрытие не гарантирует корректность, но низкое однозначно указывает на непроверенные участки.</w:t>
      </w:r>
    </w:p>
    <w:p w:rsidR="006521EF" w:rsidRDefault="00E44E79">
      <w:pPr>
        <w:spacing w:line="360" w:lineRule="auto"/>
        <w:ind w:firstLine="709"/>
        <w:jc w:val="both"/>
      </w:pPr>
      <w:r>
        <w:t>Разработку через тестирование (TDD, Кент Бек) ведут циклом «красный — зелёный — рефакторинг»: сначала пишут падающий тест, затем минимальный код, чтобы он прошёл, затем улучшают структуру кода. Общепринятая рекомендация — чтобы тестированием в основном занимались не авторы кода: разработчик неосознанно проверяет то, что считает верным, и склонен обходить собственные слепые зоны, поэтому независимый тестировщик находит больше дефектов; однако юнит-тесты, как правило, пишут сами программисты, поскольку они лучше знают устройство модулей.</w:t>
      </w:r>
    </w:p>
    <w:p w:rsidR="006521EF" w:rsidRDefault="00E44E79">
      <w:pPr>
        <w:pStyle w:val="2"/>
        <w:pageBreakBefore/>
        <w:spacing w:after="120"/>
      </w:pPr>
      <w:bookmarkStart w:id="13" w:name="_Toc30"/>
      <w:r>
        <w:lastRenderedPageBreak/>
        <w:t>Практическая часть</w:t>
      </w:r>
      <w:bookmarkEnd w:id="13"/>
    </w:p>
    <w:p w:rsidR="006521EF" w:rsidRDefault="00E44E79">
      <w:pPr>
        <w:spacing w:line="360" w:lineRule="auto"/>
        <w:ind w:firstLine="709"/>
        <w:jc w:val="both"/>
      </w:pPr>
      <w:r>
        <w:t>Лабораторная работа выполнена на языках C++17 и Go (из множества {Rust, Go} выбран Go, как и в ЛР1). Проект многофайловый: в C++ объявление каждого класса вынесено в заголовочный файл (каталог include/), а реализация — в файл исходного кода (каталог src/); в Go структуры находятся в пакете ds, по одному файлу на структуру. Исходный код программ, тестов и конфигурации сборки приложен ссылкой на git-репозиторий в приложении А. Оригиналы готовых HTML-файлов с отчётами о покрытии также находятся в репозитории.</w:t>
      </w:r>
    </w:p>
    <w:p w:rsidR="006521EF" w:rsidRDefault="00E44E79">
      <w:pPr>
        <w:spacing w:line="360" w:lineRule="auto"/>
        <w:ind w:firstLine="709"/>
        <w:jc w:val="both"/>
      </w:pPr>
      <w:r>
        <w:t>Реализованы классы: массив, односвязный и двусвязный списки, стек, очередь, хеш-таблица (метод цепочек, хеш-функция DJB2) и дерево Complete Binary Tree (вариант из ЛР1). Все классы C++ находятся в пространстве имён lr3 и наследуются от абстрактного класса IContainer, который реализует интерфейс ISerializable. Конкретный класс определяет пять методов (typeName, size, toVector, clear, append), а сериализация в оба формата реализована один раз в базовом классе (шаблонный метод). Stack, Queue и HashTable построены композицией на основе SinglyLinkedList. Ошибки сообщаются исключениями, для классов с владеющими указателями реализовано правило пяти. В Go вместо наследования используется интерфейс Container, а сериализация оформлена функциями пакета ds; ошибки возвращаются значением типа error.</w:t>
      </w:r>
    </w:p>
    <w:p w:rsidR="006521EF" w:rsidRDefault="00E44E79">
      <w:pPr>
        <w:spacing w:line="360" w:lineRule="auto"/>
        <w:ind w:firstLine="709"/>
        <w:jc w:val="both"/>
      </w:pPr>
      <w:r>
        <w:t xml:space="preserve">Запуск сборки, тестирования и проверки проекта осуществляется с помощью Makefile и в C++, и в Go. В каталоге cpp команда make собирает проект (CMake), make test запускает тесты Google Test, make bench — benchmark, make run — демонстрацию сериализации, make lint — линтер clang-tidy, make coverage собирает HTML-отчёт о покрытии с помощью gcov и lcov, а make clean очищает проект от предыдущей сборки. В каталоге go команда make test запускает тесты пакета testing, make cover создаёт HTML-отчёт о покрытии (go tool cover), make bench запускает benchmark, make lint выполняет </w:t>
      </w:r>
      <w:r>
        <w:lastRenderedPageBreak/>
        <w:t>gofmt и go vet, make run — демонстрацию сериализации, make clean очищает проект.</w:t>
      </w:r>
    </w:p>
    <w:p w:rsidR="006521EF" w:rsidRDefault="00E44E79">
      <w:pPr>
        <w:spacing w:line="360" w:lineRule="auto"/>
        <w:ind w:firstLine="709"/>
        <w:jc w:val="both"/>
      </w:pPr>
      <w:r>
        <w:t>Сериализация и десериализация. Реализованы оба формата — бинарный и текстовый, общие для C++ и Go, поэтому файл, записанный одной программой, читается другой.</w:t>
      </w:r>
    </w:p>
    <w:p w:rsidR="006521EF" w:rsidRDefault="00E44E79">
      <w:r>
        <w:rPr>
          <w:rFonts w:ascii="Courier New" w:eastAsia="Courier New" w:hAnsi="Courier New" w:cs="Courier New"/>
          <w:sz w:val="20"/>
          <w:szCs w:val="20"/>
        </w:rPr>
        <w:t>Бинарный:  "LR3B" | u8 длина имени типа | имя типа | u32 количество | количество x (u32 длина | байты), little-endian</w:t>
      </w:r>
    </w:p>
    <w:p w:rsidR="006521EF" w:rsidRDefault="00E44E79">
      <w:r>
        <w:rPr>
          <w:rFonts w:ascii="Courier New" w:eastAsia="Courier New" w:hAnsi="Courier New" w:cs="Courier New"/>
          <w:sz w:val="20"/>
          <w:szCs w:val="20"/>
        </w:rPr>
        <w:t>Текстовый: первая строка "LR3T &lt;имя типа&gt; &lt;количество&gt;", далее по одной строке на элемент;</w:t>
      </w:r>
    </w:p>
    <w:p w:rsidR="006521EF" w:rsidRDefault="00E44E79">
      <w:r>
        <w:rPr>
          <w:rFonts w:ascii="Courier New" w:eastAsia="Courier New" w:hAnsi="Courier New" w:cs="Courier New"/>
          <w:sz w:val="20"/>
          <w:szCs w:val="20"/>
        </w:rPr>
        <w:t xml:space="preserve">           символы \, перевод строки и CR экранируются (\\, \n, \r)</w:t>
      </w:r>
    </w:p>
    <w:p w:rsidR="006521EF" w:rsidRDefault="00E44E79">
      <w:pPr>
        <w:spacing w:line="360" w:lineRule="auto"/>
        <w:ind w:firstLine="709"/>
        <w:jc w:val="both"/>
      </w:pPr>
      <w:r>
        <w:t>Проверяются сигнатура и имя типа (стек нельзя загрузить в очередь); длина элемента ограничена 64 МБ; при обрыве данных или неверном экранировании выбрасывается исключение, а содержимое контейнера остаётся прежним. Порядок элементов сохраняется: стек записывается от дна к вершине, дерево — по уровням.</w:t>
      </w:r>
    </w:p>
    <w:p w:rsidR="000A444B" w:rsidRPr="000A444B" w:rsidRDefault="00E44E79" w:rsidP="000A444B">
      <w:pPr>
        <w:spacing w:line="360" w:lineRule="auto"/>
        <w:ind w:firstLine="709"/>
        <w:jc w:val="both"/>
      </w:pPr>
      <w:r>
        <w:t>Проведём тестирование программы (Рисунок 1, Рисунок 2). Показаны круговые преобразования для всех структур, текстовый файл стека и шестнадцатеричный дамп бинарного файла: сигнатура LR3B, длина имени 05, имя Stack, количество 5, затем пять элементов в формате «длина — байты».</w:t>
      </w:r>
      <w:r w:rsidR="000A444B" w:rsidRPr="000A444B">
        <w:rPr>
          <w:noProof/>
        </w:rPr>
        <w:t xml:space="preserve"> </w:t>
      </w:r>
      <w:r w:rsidR="000A444B">
        <w:rPr>
          <w:noProof/>
          <w:lang w:val="en-US"/>
        </w:rPr>
        <w:drawing>
          <wp:inline distT="0" distB="0" distL="0" distR="0">
            <wp:extent cx="5940425" cy="4114165"/>
            <wp:effectExtent l="0" t="0" r="3175" b="635"/>
            <wp:docPr id="1621556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56540" name="Рисунок 16215565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Pr="00855FF8" w:rsidRDefault="00E44E79">
      <w:pPr>
        <w:spacing w:after="200"/>
        <w:jc w:val="center"/>
      </w:pPr>
      <w:r>
        <w:lastRenderedPageBreak/>
        <w:t>Рисунок 1 – Сериализация и десериализация (C++)</w:t>
      </w:r>
    </w:p>
    <w:p w:rsidR="000A444B" w:rsidRPr="00855FF8" w:rsidRDefault="000A444B">
      <w:pPr>
        <w:spacing w:after="200"/>
        <w:jc w:val="center"/>
      </w:pPr>
    </w:p>
    <w:p w:rsidR="000A444B" w:rsidRDefault="000A444B">
      <w:pPr>
        <w:spacing w:after="20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700145"/>
            <wp:effectExtent l="0" t="0" r="3175" b="0"/>
            <wp:docPr id="20918326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2643" name="Рисунок 2091832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Default="00E44E79">
      <w:pPr>
        <w:spacing w:after="200"/>
        <w:jc w:val="center"/>
      </w:pPr>
      <w:r>
        <w:t>Рисунок 2 – Сериализация и десериализация (Go)</w:t>
      </w:r>
    </w:p>
    <w:p w:rsidR="006521EF" w:rsidRDefault="006521EF">
      <w:pPr>
        <w:spacing w:line="360" w:lineRule="auto"/>
      </w:pPr>
    </w:p>
    <w:p w:rsidR="006521EF" w:rsidRDefault="00E44E79">
      <w:pPr>
        <w:spacing w:line="360" w:lineRule="auto"/>
        <w:ind w:firstLine="709"/>
        <w:jc w:val="both"/>
      </w:pPr>
      <w:r>
        <w:t>Тестирование прошло успешно, данные восстановлены корректно.</w:t>
      </w:r>
    </w:p>
    <w:p w:rsidR="006521EF" w:rsidRDefault="00E44E79">
      <w:pPr>
        <w:spacing w:line="360" w:lineRule="auto"/>
        <w:ind w:firstLine="709"/>
        <w:jc w:val="both"/>
      </w:pPr>
      <w:r>
        <w:t>Для C++ выбран Google Test. Тесты разделены на два файла: test_containers.cpp проверяет каждый класс (обычные сценарии, границы, исключения, копирование и перемещение, расширение хеш-таблицы, обходы дерева), test_serialization.cpp содержит типизированные тесты (TYPED_TEST), которые одинаковый набор проверок выполняют для всех семи классов, и отдельные тесты на ошибочные данные. Покрытие измеряется gcov и lcov (флаг --coverage), HTML-отчёт создаёт genhtml (cpp/coverage-html/index.html).</w:t>
      </w:r>
    </w:p>
    <w:p w:rsidR="006521EF" w:rsidRDefault="00E44E79">
      <w:pPr>
        <w:spacing w:line="360" w:lineRule="auto"/>
        <w:ind w:firstLine="709"/>
        <w:jc w:val="both"/>
      </w:pPr>
      <w:r>
        <w:t>Для Go использован пакет testing стандартной библиотеки; HTML-отчёт создаёт go tool cover -html (go/coverage.html). Тест TestReadFilesWrittenByCpp читает файлы, записанные C++-программой, и подтверждает совместимость форматов.</w:t>
      </w:r>
    </w:p>
    <w:p w:rsidR="006521EF" w:rsidRPr="00855FF8" w:rsidRDefault="00E44E79">
      <w:pPr>
        <w:spacing w:line="360" w:lineRule="auto"/>
        <w:ind w:firstLine="709"/>
        <w:jc w:val="both"/>
      </w:pPr>
      <w:r>
        <w:lastRenderedPageBreak/>
        <w:t>Проведём тестирование программы (Рисунки 3–7). Все 63 теста на C++ и все тесты на Go пройдены; покрытие строк C++ составило 98,8 %, покрытие операторов Go — 98,8 %, что выше требуемых 85 %.</w:t>
      </w:r>
    </w:p>
    <w:p w:rsidR="000A444B" w:rsidRDefault="000A444B">
      <w:pPr>
        <w:spacing w:after="20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031780" cy="7746715"/>
            <wp:effectExtent l="0" t="0" r="0" b="635"/>
            <wp:docPr id="21392360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3607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352" cy="787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Default="00E44E79">
      <w:pPr>
        <w:spacing w:after="200"/>
        <w:jc w:val="center"/>
      </w:pPr>
      <w:r>
        <w:t>Рисунок 3 – Результат запуска юнит-тестов (C++, Google Test)</w:t>
      </w:r>
    </w:p>
    <w:p w:rsidR="00624E03" w:rsidRPr="00855FF8" w:rsidRDefault="00624E03">
      <w:pPr>
        <w:spacing w:after="200"/>
        <w:jc w:val="center"/>
      </w:pPr>
    </w:p>
    <w:p w:rsidR="000A444B" w:rsidRDefault="00624E03">
      <w:pPr>
        <w:spacing w:after="20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2445385"/>
            <wp:effectExtent l="0" t="0" r="3175" b="5715"/>
            <wp:docPr id="9588153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15389" name="Рисунок 9588153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Default="00E44E79">
      <w:pPr>
        <w:spacing w:after="200"/>
        <w:jc w:val="center"/>
      </w:pPr>
      <w:r>
        <w:t>Рисунок 4 – Покрытие кода тестами по файлам (C++, lcov)</w:t>
      </w:r>
    </w:p>
    <w:p w:rsidR="00C8364F" w:rsidRDefault="00C8364F">
      <w:pPr>
        <w:spacing w:line="360" w:lineRule="auto"/>
      </w:pPr>
    </w:p>
    <w:p w:rsidR="00624E03" w:rsidRDefault="00624E03">
      <w:pPr>
        <w:spacing w:after="20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564255" cy="4849749"/>
            <wp:effectExtent l="0" t="0" r="3175" b="0"/>
            <wp:docPr id="8295565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56533" name="Рисунок 829556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484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Pr="00855FF8" w:rsidRDefault="00E44E79">
      <w:pPr>
        <w:spacing w:after="200"/>
        <w:jc w:val="center"/>
      </w:pPr>
      <w:r>
        <w:t>Рисунок 5 – Результат запуска юнит-тестов (Go)</w:t>
      </w:r>
    </w:p>
    <w:p w:rsidR="00624E03" w:rsidRDefault="00624E03" w:rsidP="00855FF8">
      <w:pPr>
        <w:spacing w:after="200"/>
        <w:rPr>
          <w:lang w:val="en-US"/>
        </w:rPr>
      </w:pPr>
    </w:p>
    <w:p w:rsidR="00855FF8" w:rsidRDefault="00855FF8">
      <w:pPr>
        <w:spacing w:after="20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6858000"/>
            <wp:effectExtent l="0" t="0" r="3175" b="0"/>
            <wp:docPr id="2142591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91824" name="Рисунок 21425918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Default="00E44E79">
      <w:pPr>
        <w:spacing w:after="200"/>
        <w:jc w:val="center"/>
        <w:rPr>
          <w:lang w:val="en-US"/>
        </w:rPr>
      </w:pPr>
      <w:r>
        <w:t>Рисунок 6 – Покрытие кода тестами, файл array.go (Go, go tool cover)</w:t>
      </w:r>
    </w:p>
    <w:p w:rsidR="00855FF8" w:rsidRDefault="00855FF8">
      <w:pPr>
        <w:spacing w:after="200"/>
        <w:jc w:val="center"/>
        <w:rPr>
          <w:lang w:val="en-US"/>
        </w:rPr>
      </w:pPr>
    </w:p>
    <w:p w:rsidR="00855FF8" w:rsidRPr="00855FF8" w:rsidRDefault="00855FF8">
      <w:pPr>
        <w:spacing w:after="20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009900" cy="2324100"/>
            <wp:effectExtent l="0" t="0" r="0" b="0"/>
            <wp:docPr id="9409450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45064" name="Рисунок 9409450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Pr="00855FF8" w:rsidRDefault="00855FF8" w:rsidP="00855FF8">
      <w:pPr>
        <w:spacing w:line="360" w:lineRule="auto"/>
        <w:jc w:val="center"/>
      </w:pPr>
      <w:r>
        <w:t>Рисунок 7 – Покрытие кода тестами по файлам (Go, go tool cover)</w:t>
      </w:r>
    </w:p>
    <w:p w:rsidR="00855FF8" w:rsidRPr="00855FF8" w:rsidRDefault="00855FF8">
      <w:pPr>
        <w:spacing w:line="360" w:lineRule="auto"/>
      </w:pPr>
    </w:p>
    <w:p w:rsidR="006521EF" w:rsidRDefault="00E44E79">
      <w:pPr>
        <w:spacing w:line="360" w:lineRule="auto"/>
        <w:ind w:firstLine="709"/>
        <w:jc w:val="both"/>
      </w:pPr>
      <w:r>
        <w:t>Тестирование прошло успешно.</w:t>
      </w:r>
    </w:p>
    <w:p w:rsidR="006521EF" w:rsidRDefault="00E44E79">
      <w:pPr>
        <w:spacing w:line="360" w:lineRule="auto"/>
        <w:ind w:firstLine="709"/>
        <w:jc w:val="both"/>
      </w:pPr>
      <w:r>
        <w:t>В C++ написана отдельная программа bench, которая замеряет время выполнения операций при росте количества элементов n (std::chrono::steady_clock). В Go применены встроенные benchmark-функции (go test -bench -benchmem), которые выводят время одной операции и число аллокаций.</w:t>
      </w:r>
    </w:p>
    <w:p w:rsidR="006521EF" w:rsidRPr="00855FF8" w:rsidRDefault="00E44E79">
      <w:pPr>
        <w:spacing w:line="360" w:lineRule="auto"/>
        <w:ind w:firstLine="709"/>
        <w:jc w:val="both"/>
      </w:pPr>
      <w:r>
        <w:t>Проведём измерения (Рисунок 8, Рисунок 9). Время операций добавления в массив, списки, стек и очередь растёт пропорционально n (то есть одна операция — O(1)), для хеш-таблицы также близко к линейному росту (O(1) в среднем), а вставка в дерево растёт быстрее: при увеличении n в 16 раз время выросло примерно в 230 раз, что соответствует O(n) на одну вставку и O(n²) на n вставок.</w:t>
      </w:r>
    </w:p>
    <w:p w:rsidR="00624E03" w:rsidRDefault="00624E03">
      <w:pPr>
        <w:spacing w:after="20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4164965"/>
            <wp:effectExtent l="0" t="0" r="3175" b="635"/>
            <wp:docPr id="7776206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20656" name="Рисунок 7776206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Default="00E44E79">
      <w:pPr>
        <w:spacing w:after="200"/>
        <w:jc w:val="center"/>
      </w:pPr>
      <w:r>
        <w:t>Рисунок 8 – Результаты benchmark (C++)</w:t>
      </w:r>
    </w:p>
    <w:p w:rsidR="006521EF" w:rsidRDefault="006521EF">
      <w:pPr>
        <w:spacing w:line="360" w:lineRule="auto"/>
        <w:rPr>
          <w:lang w:val="en-US"/>
        </w:rPr>
      </w:pPr>
    </w:p>
    <w:p w:rsidR="00624E03" w:rsidRDefault="0088252A">
      <w:pPr>
        <w:spacing w:after="20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891665"/>
            <wp:effectExtent l="0" t="0" r="3175" b="635"/>
            <wp:docPr id="34678259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82590" name="Рисунок 3467825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Default="00E44E79">
      <w:pPr>
        <w:spacing w:after="200"/>
        <w:jc w:val="center"/>
      </w:pPr>
      <w:r>
        <w:t>Рисунок 9 – Результаты benchmark (Go)</w:t>
      </w:r>
    </w:p>
    <w:p w:rsidR="006521EF" w:rsidRDefault="006521EF">
      <w:pPr>
        <w:spacing w:line="360" w:lineRule="auto"/>
      </w:pPr>
    </w:p>
    <w:p w:rsidR="006521EF" w:rsidRDefault="00E44E79">
      <w:pPr>
        <w:spacing w:line="360" w:lineRule="auto"/>
        <w:ind w:firstLine="709"/>
        <w:jc w:val="both"/>
      </w:pPr>
      <w:r>
        <w:t>Теоретическая сложность операций приведена в таблице 1.</w:t>
      </w:r>
    </w:p>
    <w:p w:rsidR="006521EF" w:rsidRDefault="00E44E79">
      <w:pPr>
        <w:keepNext/>
        <w:spacing w:before="200" w:after="80"/>
      </w:pPr>
      <w:r>
        <w:rPr>
          <w:sz w:val="24"/>
          <w:szCs w:val="24"/>
        </w:rPr>
        <w:t>Таблица 1 – Сложность операций (BigO)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300"/>
        <w:gridCol w:w="2500"/>
        <w:gridCol w:w="2360"/>
      </w:tblGrid>
      <w:tr w:rsidR="006521EF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b/>
                <w:bCs/>
                <w:sz w:val="22"/>
                <w:szCs w:val="22"/>
              </w:rPr>
              <w:t>Структура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b/>
                <w:bCs/>
                <w:sz w:val="22"/>
                <w:szCs w:val="22"/>
              </w:rPr>
              <w:t>Добавление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b/>
                <w:bCs/>
                <w:sz w:val="22"/>
                <w:szCs w:val="22"/>
              </w:rPr>
              <w:t>Удаление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b/>
                <w:bCs/>
                <w:sz w:val="22"/>
                <w:szCs w:val="22"/>
              </w:rPr>
              <w:t>Доступ / поиск</w:t>
            </w:r>
          </w:p>
        </w:tc>
      </w:tr>
      <w:tr w:rsidR="006521E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Массив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в конец O(1) амортиз.; по индексу O(n)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O(n)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по индексу O(1); поиск O(n)</w:t>
            </w:r>
          </w:p>
        </w:tc>
      </w:tr>
      <w:tr w:rsidR="006521E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lastRenderedPageBreak/>
              <w:t>Односвязный список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голова/хвост O(1); до/после значения O(n)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голова O(1); хвост O(n); по значению O(n)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O(n)</w:t>
            </w:r>
          </w:p>
        </w:tc>
      </w:tr>
      <w:tr w:rsidR="006521E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Двусвязный список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голова/хвост O(1); до/после значения O(n)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голова/хвост O(1); по значению O(n)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O(n)</w:t>
            </w:r>
          </w:p>
        </w:tc>
      </w:tr>
      <w:tr w:rsidR="006521E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Стек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push O(1)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pop O(1)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top O(1)</w:t>
            </w:r>
          </w:p>
        </w:tc>
      </w:tr>
      <w:tr w:rsidR="006521E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Очередь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push O(1)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pop O(1)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front O(1)</w:t>
            </w:r>
          </w:p>
        </w:tc>
      </w:tr>
      <w:tr w:rsidR="006521E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Хеш-таблица (цепочки)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O(1) в среднем, O(n) в худшем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O(1) в среднем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поиск O(1) в среднем</w:t>
            </w:r>
          </w:p>
        </w:tc>
      </w:tr>
      <w:tr w:rsidR="006521E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Complete Binary Tree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O(n) (поиск позиции обходом в ширину)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не предусмотрено (вместо него isComplete — O(n))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6521EF" w:rsidRDefault="00E44E79">
            <w:r>
              <w:rPr>
                <w:sz w:val="22"/>
                <w:szCs w:val="22"/>
              </w:rPr>
              <w:t>поиск O(n)</w:t>
            </w:r>
          </w:p>
        </w:tc>
      </w:tr>
    </w:tbl>
    <w:p w:rsidR="006521EF" w:rsidRDefault="00E44E79">
      <w:pPr>
        <w:spacing w:line="360" w:lineRule="auto"/>
        <w:ind w:firstLine="709"/>
        <w:jc w:val="both"/>
      </w:pPr>
      <w:r>
        <w:t>Для C++ код собирается с флагами -Wall -Wextra -Wpedantic -Werror (любое предупреждение считается ошибкой) и проверяется статическим анализатором clang-tidy (проверки clang-analyzer-*, bugprone-*, performance-*, modernize-use-override, modernize-use-nullptr). В ходе проверки были исправлены: вызов виртуальной функции в деструкторе, лишняя копия в операторе присваивания, возможная утечка памяти в методе insert дерева; ложные срабатывания анализатора помечены комментарием NOLINT с пояснением. Для Go применены gofmt (форматирование) и go vet (статический анализ).</w:t>
      </w:r>
    </w:p>
    <w:p w:rsidR="006521EF" w:rsidRDefault="00E44E79">
      <w:pPr>
        <w:spacing w:line="360" w:lineRule="auto"/>
        <w:ind w:firstLine="709"/>
        <w:jc w:val="both"/>
        <w:rPr>
          <w:lang w:val="en-US"/>
        </w:rPr>
      </w:pPr>
      <w:r>
        <w:t>Проведём проверку (Рисунок 10).</w:t>
      </w:r>
    </w:p>
    <w:p w:rsidR="0088252A" w:rsidRDefault="0088252A">
      <w:pPr>
        <w:spacing w:after="20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681480"/>
            <wp:effectExtent l="0" t="0" r="3175" b="0"/>
            <wp:docPr id="1684428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2842" name="Рисунок 1684428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EF" w:rsidRDefault="00E44E79">
      <w:pPr>
        <w:spacing w:after="200"/>
        <w:jc w:val="center"/>
      </w:pPr>
      <w:r>
        <w:t>Рисунок 10 – Результат работы линтеров</w:t>
      </w:r>
    </w:p>
    <w:p w:rsidR="006521EF" w:rsidRDefault="006521EF">
      <w:pPr>
        <w:spacing w:line="360" w:lineRule="auto"/>
      </w:pPr>
    </w:p>
    <w:p w:rsidR="006521EF" w:rsidRDefault="00E44E79">
      <w:pPr>
        <w:spacing w:line="360" w:lineRule="auto"/>
        <w:ind w:firstLine="709"/>
        <w:jc w:val="both"/>
      </w:pPr>
      <w:r>
        <w:t>Замечаний нет, проверка пройдена.</w:t>
      </w:r>
    </w:p>
    <w:p w:rsidR="006521EF" w:rsidRDefault="00E44E79">
      <w:pPr>
        <w:spacing w:line="360" w:lineRule="auto"/>
        <w:ind w:firstLine="709"/>
        <w:jc w:val="both"/>
        <w:sectPr w:rsidR="006521EF">
          <w:footerReference w:type="default" r:id="rId18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 xml:space="preserve">Диаграмма классов C++-реализации приведена на рисунке 11 (на отдельной странице). Все структуры наследуются от абстрактного класса </w:t>
      </w:r>
      <w:r>
        <w:lastRenderedPageBreak/>
        <w:t>IContainer, который реализует интерфейс ISerializable; Stack, Queue и HashTable содержат объекты SinglyLinkedList (композиция). В Go вместо наследования используется интерфейс Container, который неявно реализуют все типы; отношения композиции те же.</w:t>
      </w:r>
    </w:p>
    <w:p w:rsidR="00C8364F" w:rsidRDefault="00E44E79">
      <w:pPr>
        <w:keepNext/>
        <w:spacing w:before="160" w:after="120"/>
        <w:jc w:val="center"/>
      </w:pPr>
      <w:r>
        <w:rPr>
          <w:noProof/>
        </w:rPr>
        <w:lastRenderedPageBreak/>
        <w:drawing>
          <wp:inline distT="0" distB="0" distL="0" distR="0">
            <wp:extent cx="7878000" cy="5580000"/>
            <wp:effectExtent l="0" t="0" r="0" b="0"/>
            <wp:docPr id="10" name="uml.png" descr="Диаграмма классов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8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64F" w:rsidRDefault="00E44E79">
      <w:pPr>
        <w:spacing w:after="200"/>
        <w:jc w:val="center"/>
        <w:sectPr w:rsidR="00C8364F">
          <w:footerReference w:type="default" r:id="rId20"/>
          <w:pgSz w:w="16838" w:h="11906" w:orient="landscape"/>
          <w:pgMar w:top="1134" w:right="850" w:bottom="1134" w:left="1134" w:header="708" w:footer="708" w:gutter="0"/>
          <w:cols w:space="720"/>
          <w:docGrid w:linePitch="360"/>
        </w:sectPr>
      </w:pPr>
      <w:r>
        <w:t>Рисунок 11 – Диаграмма классов</w:t>
      </w:r>
    </w:p>
    <w:p w:rsidR="006521EF" w:rsidRDefault="00E44E79">
      <w:pPr>
        <w:pStyle w:val="1"/>
        <w:pageBreakBefore/>
        <w:spacing w:after="240"/>
      </w:pPr>
      <w:bookmarkStart w:id="14" w:name="_Toc20"/>
      <w:r>
        <w:lastRenderedPageBreak/>
        <w:t>Вывод</w:t>
      </w:r>
      <w:bookmarkEnd w:id="14"/>
    </w:p>
    <w:p w:rsidR="006521EF" w:rsidRDefault="00E44E79">
      <w:pPr>
        <w:spacing w:line="360" w:lineRule="auto"/>
        <w:ind w:firstLine="709"/>
        <w:jc w:val="both"/>
      </w:pPr>
      <w:r>
        <w:t>В ходе лабораторной работы структуры данных из ЛР1 и ЛР2 реализованы в виде классов на C++ и Go: массив, односвязный и двусвязный списки, очередь, стек, хеш-таблица и полное двоичное дерево. Использованы инкапсуляция, наследование от абстрактного класса, полиморфизм, композиция и RAII. Для всех структур реализована сериализация и десериализация в бинарном и текстовом форматах, совместимых между языками. Написаны юнит-тесты (63 теста на C++, покрытие 98,8 %; покрытие Go 98,8 %), benchmark, получены HTML-отчёты о покрытии, выполнена проверка линтерами без замечаний. В теоретической части рассмотрены мировые практики оценки качества ПО, в первую очередь ISO/IEC 25010, и основные виды тестирования.</w:t>
      </w:r>
    </w:p>
    <w:p w:rsidR="006521EF" w:rsidRDefault="00E44E79">
      <w:pPr>
        <w:pStyle w:val="1"/>
        <w:pageBreakBefore/>
        <w:spacing w:after="240"/>
      </w:pPr>
      <w:bookmarkStart w:id="15" w:name="_Toc21"/>
      <w:r>
        <w:lastRenderedPageBreak/>
        <w:t>Приложение А</w:t>
      </w:r>
      <w:bookmarkEnd w:id="15"/>
    </w:p>
    <w:p w:rsidR="006521EF" w:rsidRDefault="00E44E79">
      <w:pPr>
        <w:spacing w:line="360" w:lineRule="auto"/>
        <w:ind w:firstLine="709"/>
        <w:jc w:val="both"/>
      </w:pPr>
      <w:r>
        <w:t>Ссылка на Git-репозиторий: https://github.com/lesaulov7777-lab/Laba_3</w:t>
      </w:r>
    </w:p>
    <w:p w:rsidR="006521EF" w:rsidRDefault="00E44E79">
      <w:pPr>
        <w:pStyle w:val="1"/>
        <w:pageBreakBefore/>
        <w:spacing w:after="240"/>
      </w:pPr>
      <w:bookmarkStart w:id="16" w:name="_Toc22"/>
      <w:r>
        <w:lastRenderedPageBreak/>
        <w:t>Список использованных источников</w:t>
      </w:r>
      <w:bookmarkEnd w:id="16"/>
    </w:p>
    <w:p w:rsidR="006521EF" w:rsidRPr="000A444B" w:rsidRDefault="00E44E79">
      <w:pPr>
        <w:spacing w:line="360" w:lineRule="auto"/>
        <w:jc w:val="both"/>
        <w:rPr>
          <w:lang w:val="en-US"/>
        </w:rPr>
      </w:pPr>
      <w:r>
        <w:t xml:space="preserve">1. ISO/IEC 25010:2011. </w:t>
      </w:r>
      <w:r w:rsidRPr="000A444B">
        <w:rPr>
          <w:lang w:val="en-US"/>
        </w:rPr>
        <w:t>Systems and software engineering — Systems and software Quality Requirements and Evaluation (SQuaRE) — System and software quality models.</w:t>
      </w:r>
    </w:p>
    <w:p w:rsidR="006521EF" w:rsidRPr="000A444B" w:rsidRDefault="00E44E79">
      <w:pPr>
        <w:spacing w:line="360" w:lineRule="auto"/>
        <w:jc w:val="both"/>
        <w:rPr>
          <w:lang w:val="en-US"/>
        </w:rPr>
      </w:pPr>
      <w:r w:rsidRPr="000A444B">
        <w:rPr>
          <w:lang w:val="en-US"/>
        </w:rPr>
        <w:t>2. ISO/IEC 25010:2023. Systems and software engineering — SQuaRE — Product quality model.</w:t>
      </w:r>
    </w:p>
    <w:p w:rsidR="006521EF" w:rsidRPr="000A444B" w:rsidRDefault="00E44E79">
      <w:pPr>
        <w:spacing w:line="360" w:lineRule="auto"/>
        <w:jc w:val="both"/>
        <w:rPr>
          <w:lang w:val="en-US"/>
        </w:rPr>
      </w:pPr>
      <w:r w:rsidRPr="000A444B">
        <w:rPr>
          <w:lang w:val="en-US"/>
        </w:rPr>
        <w:t>3. ISO/IEC/IEEE 29119. Software and systems engineering — Software testing.</w:t>
      </w:r>
    </w:p>
    <w:p w:rsidR="006521EF" w:rsidRPr="000A444B" w:rsidRDefault="00E44E79">
      <w:pPr>
        <w:spacing w:line="360" w:lineRule="auto"/>
        <w:jc w:val="both"/>
        <w:rPr>
          <w:lang w:val="en-US"/>
        </w:rPr>
      </w:pPr>
      <w:r w:rsidRPr="000A444B">
        <w:rPr>
          <w:lang w:val="en-US"/>
        </w:rPr>
        <w:t>4. ISO/IEC 12207. Systems and software engineering — Software life cycle processes.</w:t>
      </w:r>
    </w:p>
    <w:p w:rsidR="006521EF" w:rsidRPr="000A444B" w:rsidRDefault="00E44E79">
      <w:pPr>
        <w:spacing w:line="360" w:lineRule="auto"/>
        <w:jc w:val="both"/>
        <w:rPr>
          <w:lang w:val="en-US"/>
        </w:rPr>
      </w:pPr>
      <w:r w:rsidRPr="000A444B">
        <w:rPr>
          <w:lang w:val="en-US"/>
        </w:rPr>
        <w:t>5. ISO/IEC 9126. Software engineering — Product quality.</w:t>
      </w:r>
    </w:p>
    <w:p w:rsidR="006521EF" w:rsidRDefault="00E44E79">
      <w:pPr>
        <w:spacing w:line="360" w:lineRule="auto"/>
        <w:jc w:val="both"/>
      </w:pPr>
      <w:r>
        <w:t>6. Майерс, Г. Искусство тестирования программ / Г. Майерс [и др.]. — М.: Диалектика, 2020. — 272 с.</w:t>
      </w:r>
    </w:p>
    <w:p w:rsidR="006521EF" w:rsidRDefault="00E44E79">
      <w:pPr>
        <w:spacing w:line="360" w:lineRule="auto"/>
        <w:jc w:val="both"/>
      </w:pPr>
      <w:r>
        <w:t>7. Бек, К. Экстремальное программирование: разработка через тестирование. — СПб.: Питер, 2023. — 224 с.</w:t>
      </w:r>
    </w:p>
    <w:p w:rsidR="006521EF" w:rsidRDefault="00E44E79">
      <w:pPr>
        <w:spacing w:line="360" w:lineRule="auto"/>
        <w:jc w:val="both"/>
      </w:pPr>
      <w:r>
        <w:t>8. Назина, О. Что такое тестирование. Курс молодого бойца. — БХВ, 2022. — 592 с. https://habr.com/ru/articles/597859/</w:t>
      </w:r>
    </w:p>
    <w:p w:rsidR="006521EF" w:rsidRPr="000A444B" w:rsidRDefault="00E44E79">
      <w:pPr>
        <w:spacing w:line="360" w:lineRule="auto"/>
        <w:jc w:val="both"/>
        <w:rPr>
          <w:lang w:val="en-US"/>
        </w:rPr>
      </w:pPr>
      <w:r w:rsidRPr="000A444B">
        <w:rPr>
          <w:lang w:val="en-US"/>
        </w:rPr>
        <w:t>9. ISTQB Certified Tester Foundation Level Syllabus. International Software Testing Qualifications Board.</w:t>
      </w:r>
    </w:p>
    <w:p w:rsidR="006521EF" w:rsidRPr="000A444B" w:rsidRDefault="00E44E79">
      <w:pPr>
        <w:spacing w:line="360" w:lineRule="auto"/>
        <w:jc w:val="both"/>
        <w:rPr>
          <w:lang w:val="en-US"/>
        </w:rPr>
      </w:pPr>
      <w:r w:rsidRPr="000A444B">
        <w:rPr>
          <w:lang w:val="en-US"/>
        </w:rPr>
        <w:t>10. Google Test documentation. https://google.github.io/googletest/</w:t>
      </w:r>
    </w:p>
    <w:p w:rsidR="006521EF" w:rsidRPr="000A444B" w:rsidRDefault="00E44E79">
      <w:pPr>
        <w:spacing w:line="360" w:lineRule="auto"/>
        <w:jc w:val="both"/>
        <w:rPr>
          <w:lang w:val="en-US"/>
        </w:rPr>
      </w:pPr>
      <w:r w:rsidRPr="000A444B">
        <w:rPr>
          <w:lang w:val="en-US"/>
        </w:rPr>
        <w:t>11. The Go Programming Language. Package testing. https://pkg.go.dev/testing</w:t>
      </w:r>
    </w:p>
    <w:p w:rsidR="006521EF" w:rsidRDefault="00E44E79">
      <w:pPr>
        <w:spacing w:line="360" w:lineRule="auto"/>
        <w:jc w:val="both"/>
      </w:pPr>
      <w:r>
        <w:t>12. Страуструп, Б. Язык программирования C++. — М.: Бином, 2011.</w:t>
      </w:r>
    </w:p>
    <w:sectPr w:rsidR="006521EF">
      <w:footerReference w:type="default" r:id="rId2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3E4F" w:rsidRDefault="00463E4F">
      <w:r>
        <w:separator/>
      </w:r>
    </w:p>
  </w:endnote>
  <w:endnote w:type="continuationSeparator" w:id="0">
    <w:p w:rsidR="00463E4F" w:rsidRDefault="00463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1EF" w:rsidRDefault="00E44E7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A444B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1EF" w:rsidRDefault="00E44E7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A444B">
      <w:rPr>
        <w:noProof/>
        <w:sz w:val="24"/>
        <w:szCs w:val="24"/>
      </w:rPr>
      <w:t>17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1EF" w:rsidRDefault="00E44E7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A444B">
      <w:rPr>
        <w:noProof/>
        <w:sz w:val="24"/>
        <w:szCs w:val="24"/>
      </w:rPr>
      <w:t>19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3E4F" w:rsidRDefault="00463E4F">
      <w:r>
        <w:separator/>
      </w:r>
    </w:p>
  </w:footnote>
  <w:footnote w:type="continuationSeparator" w:id="0">
    <w:p w:rsidR="00463E4F" w:rsidRDefault="00463E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32B1"/>
    <w:multiLevelType w:val="hybridMultilevel"/>
    <w:tmpl w:val="86805B78"/>
    <w:lvl w:ilvl="0" w:tplc="72524ACA" w:tentative="1">
      <w:start w:val="1"/>
      <w:numFmt w:val="bullet"/>
      <w:lvlText w:val="●"/>
      <w:lvlJc w:val="left"/>
      <w:pPr>
        <w:ind w:left="720" w:hanging="360"/>
      </w:pPr>
    </w:lvl>
    <w:lvl w:ilvl="1" w:tplc="B688FF84" w:tentative="1">
      <w:start w:val="1"/>
      <w:numFmt w:val="bullet"/>
      <w:lvlText w:val="○"/>
      <w:lvlJc w:val="left"/>
      <w:pPr>
        <w:ind w:left="1440" w:hanging="360"/>
      </w:pPr>
    </w:lvl>
    <w:lvl w:ilvl="2" w:tplc="F1DC0CD6" w:tentative="1">
      <w:start w:val="1"/>
      <w:numFmt w:val="bullet"/>
      <w:lvlText w:val="■"/>
      <w:lvlJc w:val="left"/>
      <w:pPr>
        <w:ind w:left="2160" w:hanging="360"/>
      </w:pPr>
    </w:lvl>
    <w:lvl w:ilvl="3" w:tplc="CE46EC28" w:tentative="1">
      <w:start w:val="1"/>
      <w:numFmt w:val="bullet"/>
      <w:lvlText w:val="●"/>
      <w:lvlJc w:val="left"/>
      <w:pPr>
        <w:ind w:left="2880" w:hanging="360"/>
      </w:pPr>
    </w:lvl>
    <w:lvl w:ilvl="4" w:tplc="5192C4C0" w:tentative="1">
      <w:start w:val="1"/>
      <w:numFmt w:val="bullet"/>
      <w:lvlText w:val="○"/>
      <w:lvlJc w:val="left"/>
      <w:pPr>
        <w:ind w:left="3600" w:hanging="360"/>
      </w:pPr>
    </w:lvl>
    <w:lvl w:ilvl="5" w:tplc="A3AC824E" w:tentative="1">
      <w:start w:val="1"/>
      <w:numFmt w:val="bullet"/>
      <w:lvlText w:val="■"/>
      <w:lvlJc w:val="left"/>
      <w:pPr>
        <w:ind w:left="4320" w:hanging="360"/>
      </w:pPr>
    </w:lvl>
    <w:lvl w:ilvl="6" w:tplc="4D6CBC14" w:tentative="1">
      <w:start w:val="1"/>
      <w:numFmt w:val="bullet"/>
      <w:lvlText w:val="●"/>
      <w:lvlJc w:val="left"/>
      <w:pPr>
        <w:ind w:left="5040" w:hanging="360"/>
      </w:pPr>
    </w:lvl>
    <w:lvl w:ilvl="7" w:tplc="FBF44CFE" w:tentative="1">
      <w:start w:val="1"/>
      <w:numFmt w:val="bullet"/>
      <w:lvlText w:val="●"/>
      <w:lvlJc w:val="left"/>
      <w:pPr>
        <w:ind w:left="5760" w:hanging="360"/>
      </w:pPr>
    </w:lvl>
    <w:lvl w:ilvl="8" w:tplc="3D183D6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8F250E"/>
    <w:multiLevelType w:val="hybridMultilevel"/>
    <w:tmpl w:val="A6A0FBA8"/>
    <w:lvl w:ilvl="0" w:tplc="1C44A7F2">
      <w:start w:val="1"/>
      <w:numFmt w:val="bullet"/>
      <w:lvlText w:val="–"/>
      <w:lvlJc w:val="left"/>
      <w:pPr>
        <w:ind w:left="1069" w:hanging="360"/>
      </w:pPr>
    </w:lvl>
    <w:lvl w:ilvl="1" w:tplc="9D0654D6">
      <w:numFmt w:val="decimal"/>
      <w:lvlText w:val=""/>
      <w:lvlJc w:val="left"/>
    </w:lvl>
    <w:lvl w:ilvl="2" w:tplc="EAD485D8">
      <w:numFmt w:val="decimal"/>
      <w:lvlText w:val=""/>
      <w:lvlJc w:val="left"/>
    </w:lvl>
    <w:lvl w:ilvl="3" w:tplc="27E836C8">
      <w:numFmt w:val="decimal"/>
      <w:lvlText w:val=""/>
      <w:lvlJc w:val="left"/>
    </w:lvl>
    <w:lvl w:ilvl="4" w:tplc="1CF09DC2">
      <w:numFmt w:val="decimal"/>
      <w:lvlText w:val=""/>
      <w:lvlJc w:val="left"/>
    </w:lvl>
    <w:lvl w:ilvl="5" w:tplc="AC4C8E76">
      <w:numFmt w:val="decimal"/>
      <w:lvlText w:val=""/>
      <w:lvlJc w:val="left"/>
    </w:lvl>
    <w:lvl w:ilvl="6" w:tplc="E5825DA6">
      <w:numFmt w:val="decimal"/>
      <w:lvlText w:val=""/>
      <w:lvlJc w:val="left"/>
    </w:lvl>
    <w:lvl w:ilvl="7" w:tplc="27900ACA">
      <w:numFmt w:val="decimal"/>
      <w:lvlText w:val=""/>
      <w:lvlJc w:val="left"/>
    </w:lvl>
    <w:lvl w:ilvl="8" w:tplc="24542E26">
      <w:numFmt w:val="decimal"/>
      <w:lvlText w:val=""/>
      <w:lvlJc w:val="left"/>
    </w:lvl>
  </w:abstractNum>
  <w:num w:numId="1" w16cid:durableId="1811556540">
    <w:abstractNumId w:val="0"/>
    <w:lvlOverride w:ilvl="0">
      <w:startOverride w:val="1"/>
    </w:lvlOverride>
  </w:num>
  <w:num w:numId="2" w16cid:durableId="147940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1EF"/>
    <w:rsid w:val="000A444B"/>
    <w:rsid w:val="000C434F"/>
    <w:rsid w:val="003E4046"/>
    <w:rsid w:val="00416F70"/>
    <w:rsid w:val="00463E4F"/>
    <w:rsid w:val="005426B8"/>
    <w:rsid w:val="00624E03"/>
    <w:rsid w:val="006521EF"/>
    <w:rsid w:val="00855FF8"/>
    <w:rsid w:val="0088252A"/>
    <w:rsid w:val="00C8364F"/>
    <w:rsid w:val="00E4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E65A6"/>
  <w15:docId w15:val="{2C863CC9-426A-FC40-A461-A60F2DEC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8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56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84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112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4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68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96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224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23</Pages>
  <Words>3041</Words>
  <Characters>17335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ЛР3. Объектно-ориентированное программирование</vt:lpstr>
    </vt:vector>
  </TitlesOfParts>
  <Company/>
  <LinksUpToDate>false</LinksUpToDate>
  <CharactersWithSpaces>20336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ЛР3. Объектно-ориентированное программирование</dc:title>
  <dc:creator>Юлов А.Е.</dc:creator>
  <cp:lastModifiedBy>Алексей Юлов</cp:lastModifiedBy>
  <cp:revision>4</cp:revision>
  <dcterms:created xsi:type="dcterms:W3CDTF">2026-10-25T19:42:00Z</dcterms:created>
  <dcterms:modified xsi:type="dcterms:W3CDTF">2026-10-29T13:53:00Z</dcterms:modified>
</cp:coreProperties>
</file>