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95230" w14:textId="77777777" w:rsidR="000964FC" w:rsidRPr="000964FC" w:rsidRDefault="000964FC" w:rsidP="000964FC">
      <w:pPr>
        <w:spacing w:after="0" w:line="276" w:lineRule="auto"/>
        <w:rPr>
          <w:b/>
          <w:bCs/>
        </w:rPr>
      </w:pPr>
      <w:r w:rsidRPr="000964FC">
        <w:rPr>
          <w:b/>
          <w:bCs/>
        </w:rPr>
        <w:t>Project Update – BMIN 5070</w:t>
      </w:r>
    </w:p>
    <w:p w14:paraId="0E72DEF2" w14:textId="77777777" w:rsidR="000964FC" w:rsidRPr="000964FC" w:rsidRDefault="000964FC" w:rsidP="000964FC">
      <w:pPr>
        <w:spacing w:after="0" w:line="276" w:lineRule="auto"/>
      </w:pPr>
      <w:r w:rsidRPr="000964FC">
        <w:rPr>
          <w:b/>
          <w:bCs/>
        </w:rPr>
        <w:t>Student:</w:t>
      </w:r>
      <w:r w:rsidRPr="000964FC">
        <w:t xml:space="preserve"> Nicolas Lescano, MD</w:t>
      </w:r>
      <w:r w:rsidRPr="000964FC">
        <w:br/>
      </w:r>
      <w:r w:rsidRPr="000964FC">
        <w:rPr>
          <w:b/>
          <w:bCs/>
        </w:rPr>
        <w:t>Title:</w:t>
      </w:r>
      <w:r w:rsidRPr="000964FC">
        <w:t xml:space="preserve"> Measuring the Invisible Work of Epic In-Basket Messaging in Outpatient Psychiatry</w:t>
      </w:r>
    </w:p>
    <w:p w14:paraId="10E71E5E" w14:textId="77777777" w:rsidR="000964FC" w:rsidRDefault="000964FC" w:rsidP="000964FC">
      <w:pPr>
        <w:spacing w:after="0" w:line="276" w:lineRule="auto"/>
      </w:pPr>
    </w:p>
    <w:p w14:paraId="09E7C885" w14:textId="6F4A4FDF" w:rsidR="000964FC" w:rsidRPr="000964FC" w:rsidRDefault="000964FC" w:rsidP="000964FC">
      <w:pPr>
        <w:spacing w:after="0" w:line="276" w:lineRule="auto"/>
      </w:pPr>
      <w:r w:rsidRPr="000964FC">
        <w:rPr>
          <w:b/>
          <w:bCs/>
        </w:rPr>
        <w:t>Progress to Date</w:t>
      </w:r>
    </w:p>
    <w:p w14:paraId="1C044825" w14:textId="77777777" w:rsidR="000964FC" w:rsidRDefault="000964FC" w:rsidP="000964FC">
      <w:pPr>
        <w:spacing w:after="0" w:line="276" w:lineRule="auto"/>
      </w:pPr>
      <w:r w:rsidRPr="000964FC">
        <w:t>Since the initial prospectus, I have worked with the institutional analytics team to formalize my data request. Departmental leadership approval has been obtained, and the request is now pending fulfillment. The team asked for a specific provider list to ensure accuracy, which I have submitted. Once data preparation begins, I will be able to review provider type groupings (Physician, Psychiatrist, Nurse Practitioner, Resident/Fellow) for sub-analysis.</w:t>
      </w:r>
    </w:p>
    <w:p w14:paraId="373294B6" w14:textId="77777777" w:rsidR="000964FC" w:rsidRPr="000964FC" w:rsidRDefault="000964FC" w:rsidP="000964FC">
      <w:pPr>
        <w:spacing w:after="0" w:line="276" w:lineRule="auto"/>
      </w:pPr>
    </w:p>
    <w:p w14:paraId="6B508543" w14:textId="77777777" w:rsidR="000964FC" w:rsidRPr="000964FC" w:rsidRDefault="000964FC" w:rsidP="000964FC">
      <w:pPr>
        <w:spacing w:after="0" w:line="276" w:lineRule="auto"/>
      </w:pPr>
      <w:r w:rsidRPr="000964FC">
        <w:t>The requested dataset (aggregated, de-identified, July 2024 – June 2025) includes:</w:t>
      </w:r>
    </w:p>
    <w:p w14:paraId="0B1542AB" w14:textId="77777777" w:rsidR="000964FC" w:rsidRPr="000964FC" w:rsidRDefault="000964FC" w:rsidP="000964FC">
      <w:pPr>
        <w:numPr>
          <w:ilvl w:val="0"/>
          <w:numId w:val="6"/>
        </w:numPr>
        <w:spacing w:after="0" w:line="276" w:lineRule="auto"/>
      </w:pPr>
      <w:r w:rsidRPr="000964FC">
        <w:t>Monthly counts of in-basket messages by type (patient calls, advice requests, results, refills/authorizations, Rx responses, cosignatures, CC’d charts, unviewed results, refill errors).</w:t>
      </w:r>
    </w:p>
    <w:p w14:paraId="49AB602E" w14:textId="77777777" w:rsidR="000964FC" w:rsidRPr="000964FC" w:rsidRDefault="000964FC" w:rsidP="000964FC">
      <w:pPr>
        <w:numPr>
          <w:ilvl w:val="0"/>
          <w:numId w:val="6"/>
        </w:numPr>
        <w:spacing w:after="0" w:line="276" w:lineRule="auto"/>
      </w:pPr>
      <w:r w:rsidRPr="000964FC">
        <w:t>Aggregated time spent on messages (total and/or mean per message type).</w:t>
      </w:r>
    </w:p>
    <w:p w14:paraId="4E95982E" w14:textId="77777777" w:rsidR="000964FC" w:rsidRPr="000964FC" w:rsidRDefault="000964FC" w:rsidP="000964FC">
      <w:pPr>
        <w:numPr>
          <w:ilvl w:val="0"/>
          <w:numId w:val="6"/>
        </w:numPr>
        <w:spacing w:after="0" w:line="276" w:lineRule="auto"/>
      </w:pPr>
      <w:r w:rsidRPr="000964FC">
        <w:t>Provider panel size (active patients per provider per month).</w:t>
      </w:r>
    </w:p>
    <w:p w14:paraId="5BFC03E3" w14:textId="77777777" w:rsidR="000964FC" w:rsidRPr="000964FC" w:rsidRDefault="000964FC" w:rsidP="000964FC">
      <w:pPr>
        <w:numPr>
          <w:ilvl w:val="0"/>
          <w:numId w:val="6"/>
        </w:numPr>
        <w:spacing w:after="0" w:line="276" w:lineRule="auto"/>
      </w:pPr>
      <w:r w:rsidRPr="000964FC">
        <w:t>Timing of message handling (weekday vs. weekend, business hours vs. after-hours).</w:t>
      </w:r>
    </w:p>
    <w:p w14:paraId="6E2DF9DF" w14:textId="77777777" w:rsidR="000964FC" w:rsidRDefault="000964FC" w:rsidP="000964FC">
      <w:pPr>
        <w:numPr>
          <w:ilvl w:val="0"/>
          <w:numId w:val="6"/>
        </w:numPr>
        <w:spacing w:after="0" w:line="276" w:lineRule="auto"/>
      </w:pPr>
      <w:r w:rsidRPr="000964FC">
        <w:t>Turnaround time to closure when available.</w:t>
      </w:r>
    </w:p>
    <w:p w14:paraId="051A198B" w14:textId="77777777" w:rsidR="000964FC" w:rsidRPr="000964FC" w:rsidRDefault="000964FC" w:rsidP="000964FC">
      <w:pPr>
        <w:spacing w:after="0" w:line="276" w:lineRule="auto"/>
      </w:pPr>
    </w:p>
    <w:p w14:paraId="74D7DB1E" w14:textId="77777777" w:rsidR="000964FC" w:rsidRPr="000964FC" w:rsidRDefault="000964FC" w:rsidP="000964FC">
      <w:pPr>
        <w:spacing w:after="0" w:line="276" w:lineRule="auto"/>
      </w:pPr>
      <w:r w:rsidRPr="000964FC">
        <w:t>No patient-level data is included. Providers will be coded anonymously, allowing workload comparisons without risk of identification.</w:t>
      </w:r>
    </w:p>
    <w:p w14:paraId="17FDF886" w14:textId="5552AF1A" w:rsidR="000964FC" w:rsidRPr="000964FC" w:rsidRDefault="000964FC" w:rsidP="000964FC">
      <w:pPr>
        <w:spacing w:after="0" w:line="276" w:lineRule="auto"/>
      </w:pPr>
    </w:p>
    <w:p w14:paraId="0533F271" w14:textId="77777777" w:rsidR="000964FC" w:rsidRPr="000964FC" w:rsidRDefault="000964FC" w:rsidP="000964FC">
      <w:pPr>
        <w:spacing w:after="0" w:line="276" w:lineRule="auto"/>
        <w:rPr>
          <w:b/>
          <w:bCs/>
        </w:rPr>
      </w:pPr>
      <w:r w:rsidRPr="000964FC">
        <w:rPr>
          <w:b/>
          <w:bCs/>
        </w:rPr>
        <w:t>Literature Review Update</w:t>
      </w:r>
    </w:p>
    <w:p w14:paraId="34E890A6" w14:textId="77777777" w:rsidR="000964FC" w:rsidRPr="000964FC" w:rsidRDefault="000964FC" w:rsidP="000964FC">
      <w:pPr>
        <w:spacing w:after="0" w:line="276" w:lineRule="auto"/>
      </w:pPr>
      <w:r w:rsidRPr="000964FC">
        <w:t>A growing body of research highlights how in-basket workload drives hidden cognitive demands and contributes to burnout:</w:t>
      </w:r>
    </w:p>
    <w:p w14:paraId="5902019A" w14:textId="77777777" w:rsidR="000964FC" w:rsidRPr="000964FC" w:rsidRDefault="000964FC" w:rsidP="000964FC">
      <w:pPr>
        <w:numPr>
          <w:ilvl w:val="0"/>
          <w:numId w:val="7"/>
        </w:numPr>
        <w:spacing w:after="0" w:line="276" w:lineRule="auto"/>
      </w:pPr>
      <w:r w:rsidRPr="000964FC">
        <w:t>Inbox notifications can exceed 70 per day, creating high risk of missed information and cognitive overload (Murphy et al., 2016).</w:t>
      </w:r>
    </w:p>
    <w:p w14:paraId="3D044DDB" w14:textId="77777777" w:rsidR="000964FC" w:rsidRPr="000964FC" w:rsidRDefault="000964FC" w:rsidP="000964FC">
      <w:pPr>
        <w:numPr>
          <w:ilvl w:val="0"/>
          <w:numId w:val="7"/>
        </w:numPr>
        <w:spacing w:after="0" w:line="276" w:lineRule="auto"/>
      </w:pPr>
      <w:r w:rsidRPr="000964FC">
        <w:t>Audit log studies show physicians spend nearly half of their workday on EHR tasks, including “desktop medicine” such as messages, often equal to patient-facing time (Tai-Seale et al., 2017).</w:t>
      </w:r>
    </w:p>
    <w:p w14:paraId="692BAD63" w14:textId="77777777" w:rsidR="000964FC" w:rsidRPr="000964FC" w:rsidRDefault="000964FC" w:rsidP="000964FC">
      <w:pPr>
        <w:numPr>
          <w:ilvl w:val="0"/>
          <w:numId w:val="7"/>
        </w:numPr>
        <w:spacing w:after="0" w:line="276" w:lineRule="auto"/>
      </w:pPr>
      <w:r w:rsidRPr="000964FC">
        <w:t>Heavy messaging correlates with higher EHR time, increased multitasking, and greater burnout risk (Tai-Seale et al., 2019; Shanafelt et al., 2016).</w:t>
      </w:r>
    </w:p>
    <w:p w14:paraId="4BA79F35" w14:textId="77777777" w:rsidR="000964FC" w:rsidRPr="000964FC" w:rsidRDefault="000964FC" w:rsidP="000964FC">
      <w:pPr>
        <w:numPr>
          <w:ilvl w:val="0"/>
          <w:numId w:val="7"/>
        </w:numPr>
        <w:spacing w:after="0" w:line="276" w:lineRule="auto"/>
      </w:pPr>
      <w:r w:rsidRPr="000964FC">
        <w:t>In-basket usability remains poor, with design flaws that increase memory burden and delay prioritization (Murphy et al., 2019).</w:t>
      </w:r>
    </w:p>
    <w:p w14:paraId="789391D6" w14:textId="77777777" w:rsidR="000964FC" w:rsidRDefault="000964FC" w:rsidP="000964FC">
      <w:pPr>
        <w:numPr>
          <w:ilvl w:val="0"/>
          <w:numId w:val="7"/>
        </w:numPr>
        <w:spacing w:after="0" w:line="276" w:lineRule="auto"/>
      </w:pPr>
      <w:r w:rsidRPr="000964FC">
        <w:t>Psychiatry practices in particular have seen rapid growth in portal messaging volume since COVID-19, with message rates rising sixfold per patient (Bernstein et al., 2023).</w:t>
      </w:r>
    </w:p>
    <w:p w14:paraId="2915AA6A" w14:textId="77777777" w:rsidR="002F28D8" w:rsidRPr="000964FC" w:rsidRDefault="002F28D8" w:rsidP="002F28D8">
      <w:pPr>
        <w:spacing w:after="0" w:line="276" w:lineRule="auto"/>
      </w:pPr>
    </w:p>
    <w:p w14:paraId="504EB9EC" w14:textId="40EEFBAF" w:rsidR="000964FC" w:rsidRPr="000964FC" w:rsidRDefault="000964FC" w:rsidP="000964FC">
      <w:pPr>
        <w:spacing w:after="0" w:line="276" w:lineRule="auto"/>
      </w:pPr>
      <w:r w:rsidRPr="000964FC">
        <w:t xml:space="preserve">Together, these </w:t>
      </w:r>
      <w:r w:rsidR="002F28D8">
        <w:t xml:space="preserve">strongly suggest </w:t>
      </w:r>
      <w:r w:rsidRPr="000964FC">
        <w:t>that messaging is both invisible in standard productivity metrics and central to clinician strain.</w:t>
      </w:r>
    </w:p>
    <w:p w14:paraId="773F843F" w14:textId="3F377A27" w:rsidR="000964FC" w:rsidRDefault="000964FC" w:rsidP="000964FC">
      <w:pPr>
        <w:spacing w:after="0" w:line="276" w:lineRule="auto"/>
      </w:pPr>
    </w:p>
    <w:p w14:paraId="72C8488F" w14:textId="77777777" w:rsidR="002F28D8" w:rsidRPr="000964FC" w:rsidRDefault="002F28D8" w:rsidP="000964FC">
      <w:pPr>
        <w:spacing w:after="0" w:line="276" w:lineRule="auto"/>
      </w:pPr>
    </w:p>
    <w:p w14:paraId="5AC16C35" w14:textId="77777777" w:rsidR="000964FC" w:rsidRPr="000964FC" w:rsidRDefault="000964FC" w:rsidP="000964FC">
      <w:pPr>
        <w:spacing w:after="0" w:line="276" w:lineRule="auto"/>
        <w:rPr>
          <w:b/>
          <w:bCs/>
        </w:rPr>
      </w:pPr>
      <w:r w:rsidRPr="000964FC">
        <w:rPr>
          <w:b/>
          <w:bCs/>
        </w:rPr>
        <w:lastRenderedPageBreak/>
        <w:t>Next Steps</w:t>
      </w:r>
    </w:p>
    <w:p w14:paraId="496108E4" w14:textId="77777777" w:rsidR="000964FC" w:rsidRPr="000964FC" w:rsidRDefault="000964FC" w:rsidP="000964FC">
      <w:pPr>
        <w:numPr>
          <w:ilvl w:val="0"/>
          <w:numId w:val="8"/>
        </w:numPr>
        <w:spacing w:after="0" w:line="276" w:lineRule="auto"/>
      </w:pPr>
      <w:r w:rsidRPr="000964FC">
        <w:rPr>
          <w:b/>
          <w:bCs/>
        </w:rPr>
        <w:t>Week of Sep 22–29:</w:t>
      </w:r>
      <w:r w:rsidRPr="000964FC">
        <w:t xml:space="preserve"> Receive dataset; confirm groupings and completeness.</w:t>
      </w:r>
    </w:p>
    <w:p w14:paraId="2A9EF24A" w14:textId="77777777" w:rsidR="000964FC" w:rsidRPr="000964FC" w:rsidRDefault="000964FC" w:rsidP="000964FC">
      <w:pPr>
        <w:numPr>
          <w:ilvl w:val="0"/>
          <w:numId w:val="8"/>
        </w:numPr>
        <w:spacing w:after="0" w:line="276" w:lineRule="auto"/>
      </w:pPr>
      <w:r w:rsidRPr="000964FC">
        <w:rPr>
          <w:b/>
          <w:bCs/>
        </w:rPr>
        <w:t>Week of Sep 30–Oct 6:</w:t>
      </w:r>
      <w:r w:rsidRPr="000964FC">
        <w:t xml:space="preserve"> Conduct descriptive analyses; summarize totals, trends, and normalized workloads.</w:t>
      </w:r>
    </w:p>
    <w:p w14:paraId="2EC1C418" w14:textId="77777777" w:rsidR="000964FC" w:rsidRPr="000964FC" w:rsidRDefault="000964FC" w:rsidP="000964FC">
      <w:pPr>
        <w:numPr>
          <w:ilvl w:val="0"/>
          <w:numId w:val="8"/>
        </w:numPr>
        <w:spacing w:after="0" w:line="276" w:lineRule="auto"/>
      </w:pPr>
      <w:r w:rsidRPr="000964FC">
        <w:rPr>
          <w:b/>
          <w:bCs/>
        </w:rPr>
        <w:t>Week of Oct 7–13:</w:t>
      </w:r>
      <w:r w:rsidRPr="000964FC">
        <w:t xml:space="preserve"> Draft results/discussion with figures; apply human factors frameworks.</w:t>
      </w:r>
    </w:p>
    <w:p w14:paraId="5A8CA3EF" w14:textId="77777777" w:rsidR="000964FC" w:rsidRDefault="000964FC" w:rsidP="000964FC">
      <w:pPr>
        <w:numPr>
          <w:ilvl w:val="0"/>
          <w:numId w:val="8"/>
        </w:numPr>
        <w:spacing w:after="0" w:line="276" w:lineRule="auto"/>
      </w:pPr>
      <w:r w:rsidRPr="000964FC">
        <w:rPr>
          <w:b/>
          <w:bCs/>
        </w:rPr>
        <w:t>Oct 15:</w:t>
      </w:r>
      <w:r w:rsidRPr="000964FC">
        <w:t xml:space="preserve"> Finalize paper and present findings.</w:t>
      </w:r>
    </w:p>
    <w:p w14:paraId="46C16E62" w14:textId="77777777" w:rsidR="002F28D8" w:rsidRPr="000964FC" w:rsidRDefault="002F28D8" w:rsidP="002F28D8">
      <w:pPr>
        <w:spacing w:after="0" w:line="276" w:lineRule="auto"/>
      </w:pPr>
    </w:p>
    <w:p w14:paraId="6079F225" w14:textId="05B46DD6" w:rsidR="000964FC" w:rsidRPr="000964FC" w:rsidRDefault="000964FC" w:rsidP="000964FC">
      <w:pPr>
        <w:spacing w:after="0" w:line="276" w:lineRule="auto"/>
      </w:pPr>
    </w:p>
    <w:p w14:paraId="414B6BFA" w14:textId="77777777" w:rsidR="000964FC" w:rsidRPr="000964FC" w:rsidRDefault="000964FC" w:rsidP="000964FC">
      <w:pPr>
        <w:spacing w:after="0" w:line="276" w:lineRule="auto"/>
        <w:rPr>
          <w:b/>
          <w:bCs/>
        </w:rPr>
      </w:pPr>
      <w:r w:rsidRPr="000964FC">
        <w:rPr>
          <w:b/>
          <w:bCs/>
        </w:rPr>
        <w:t>Significance</w:t>
      </w:r>
    </w:p>
    <w:p w14:paraId="057A3D4D" w14:textId="77777777" w:rsidR="000964FC" w:rsidRPr="000964FC" w:rsidRDefault="000964FC" w:rsidP="000964FC">
      <w:pPr>
        <w:spacing w:after="0" w:line="276" w:lineRule="auto"/>
      </w:pPr>
      <w:r w:rsidRPr="000964FC">
        <w:t>This project will provide the first quantitative profile of Epic in-basket workload for outpatient psychiatry at Penn. By connecting message volume, time burden, and after-hours effort to human factors theory, it will expose the gap between official productivity metrics and lived provider workload. The analysis will support a more realistic and human-centered approach to defining provider capacity.</w:t>
      </w:r>
    </w:p>
    <w:p w14:paraId="3D8E6088" w14:textId="75E6621C" w:rsidR="000964FC" w:rsidRPr="000964FC" w:rsidRDefault="000964FC" w:rsidP="000964FC">
      <w:pPr>
        <w:spacing w:after="0" w:line="276" w:lineRule="auto"/>
      </w:pPr>
    </w:p>
    <w:p w14:paraId="1A1A05AB" w14:textId="77777777" w:rsidR="000964FC" w:rsidRPr="000964FC" w:rsidRDefault="000964FC" w:rsidP="000964FC">
      <w:pPr>
        <w:spacing w:after="0" w:line="276" w:lineRule="auto"/>
        <w:rPr>
          <w:b/>
          <w:bCs/>
        </w:rPr>
      </w:pPr>
      <w:r w:rsidRPr="000964FC">
        <w:rPr>
          <w:b/>
          <w:bCs/>
        </w:rPr>
        <w:t>References</w:t>
      </w:r>
    </w:p>
    <w:p w14:paraId="586C63B0" w14:textId="1BF9BDFB" w:rsidR="00B423E4" w:rsidRPr="000964FC" w:rsidRDefault="00B423E4" w:rsidP="000964FC">
      <w:pPr>
        <w:numPr>
          <w:ilvl w:val="0"/>
          <w:numId w:val="9"/>
        </w:numPr>
        <w:spacing w:after="0" w:line="276" w:lineRule="auto"/>
      </w:pPr>
      <w:r w:rsidRPr="00B423E4">
        <w:t>Bernstein SA, Huckenpahler AL, Nicol GE, Gold JA. Comparison of Electronic Health Record Messages to Mental Health Care Professionals Before vs After COVID-19 Pandemic. JAMA Netw Open. 2023;6(7):e2325202. doi:10.1001/jamanetworkopen.2023.25202</w:t>
      </w:r>
    </w:p>
    <w:p w14:paraId="6B0B7BBB" w14:textId="77777777" w:rsidR="000964FC" w:rsidRPr="000964FC" w:rsidRDefault="000964FC" w:rsidP="000964FC">
      <w:pPr>
        <w:numPr>
          <w:ilvl w:val="0"/>
          <w:numId w:val="9"/>
        </w:numPr>
        <w:spacing w:after="0" w:line="276" w:lineRule="auto"/>
      </w:pPr>
      <w:r w:rsidRPr="000964FC">
        <w:t xml:space="preserve">Murphy DR, Meyer AN, Russo E, et al. The burden of inbox notifications in commercial EHRs. </w:t>
      </w:r>
      <w:r w:rsidRPr="000964FC">
        <w:rPr>
          <w:i/>
          <w:iCs/>
        </w:rPr>
        <w:t>JAMA Intern Med.</w:t>
      </w:r>
      <w:r w:rsidRPr="000964FC">
        <w:t xml:space="preserve"> 2016;176(4):559–560.</w:t>
      </w:r>
    </w:p>
    <w:p w14:paraId="56320531" w14:textId="59542F2D" w:rsidR="000964FC" w:rsidRPr="000964FC" w:rsidRDefault="000964FC" w:rsidP="00A41F40">
      <w:pPr>
        <w:numPr>
          <w:ilvl w:val="0"/>
          <w:numId w:val="9"/>
        </w:numPr>
        <w:spacing w:after="0" w:line="276" w:lineRule="auto"/>
      </w:pPr>
      <w:r w:rsidRPr="000964FC">
        <w:t xml:space="preserve">Murphy DR, Giardina TD, Satterly T, Sittig DF, Singh H. User-centered design of a primary care inbox. </w:t>
      </w:r>
      <w:r w:rsidRPr="000964FC">
        <w:rPr>
          <w:i/>
          <w:iCs/>
        </w:rPr>
        <w:t>J Gen Intern Med.</w:t>
      </w:r>
      <w:r w:rsidRPr="000964FC">
        <w:t xml:space="preserve"> 2019;34(9):1843–1851.</w:t>
      </w:r>
    </w:p>
    <w:p w14:paraId="47843611" w14:textId="77777777" w:rsidR="000964FC" w:rsidRPr="000964FC" w:rsidRDefault="000964FC" w:rsidP="000964FC">
      <w:pPr>
        <w:numPr>
          <w:ilvl w:val="0"/>
          <w:numId w:val="9"/>
        </w:numPr>
        <w:spacing w:after="0" w:line="276" w:lineRule="auto"/>
      </w:pPr>
      <w:r w:rsidRPr="000964FC">
        <w:t xml:space="preserve">Shanafelt TD, Dyrbye LN, Sinsky C, et al. Clerical burden, electronic environment, and burnout. </w:t>
      </w:r>
      <w:r w:rsidRPr="000964FC">
        <w:rPr>
          <w:i/>
          <w:iCs/>
        </w:rPr>
        <w:t>Mayo Clin Proc.</w:t>
      </w:r>
      <w:r w:rsidRPr="000964FC">
        <w:t xml:space="preserve"> 2016;91(7):836–848.</w:t>
      </w:r>
    </w:p>
    <w:p w14:paraId="361B11E1" w14:textId="77777777" w:rsidR="000964FC" w:rsidRPr="000964FC" w:rsidRDefault="000964FC" w:rsidP="000964FC">
      <w:pPr>
        <w:numPr>
          <w:ilvl w:val="0"/>
          <w:numId w:val="9"/>
        </w:numPr>
        <w:spacing w:after="0" w:line="276" w:lineRule="auto"/>
      </w:pPr>
      <w:r w:rsidRPr="000964FC">
        <w:rPr>
          <w:lang w:val="es-AR"/>
        </w:rPr>
        <w:t xml:space="preserve">Tai-Seale M, Dillon EC, Yang Y, et al. </w:t>
      </w:r>
      <w:r w:rsidRPr="000964FC">
        <w:t xml:space="preserve">Physicians’ well-being and in-basket messages. </w:t>
      </w:r>
      <w:r w:rsidRPr="000964FC">
        <w:rPr>
          <w:i/>
          <w:iCs/>
        </w:rPr>
        <w:t>Health Aff.</w:t>
      </w:r>
      <w:r w:rsidRPr="000964FC">
        <w:t xml:space="preserve"> 2019;38(7):1073–1078.</w:t>
      </w:r>
    </w:p>
    <w:p w14:paraId="10DB9DB4" w14:textId="7E95D544" w:rsidR="007A6D4A" w:rsidRDefault="000964FC" w:rsidP="004C4F21">
      <w:pPr>
        <w:numPr>
          <w:ilvl w:val="0"/>
          <w:numId w:val="9"/>
        </w:numPr>
        <w:spacing w:after="0" w:line="276" w:lineRule="auto"/>
      </w:pPr>
      <w:r w:rsidRPr="000964FC">
        <w:t xml:space="preserve">Tai-Seale M, Olson CW, Li J, et al. Physicians split time between patients and desktop medicine. </w:t>
      </w:r>
      <w:r w:rsidRPr="000964FC">
        <w:rPr>
          <w:i/>
          <w:iCs/>
        </w:rPr>
        <w:t>Health Aff.</w:t>
      </w:r>
      <w:r w:rsidRPr="000964FC">
        <w:t xml:space="preserve"> 2017;36(4):655–662.</w:t>
      </w:r>
    </w:p>
    <w:sectPr w:rsidR="007A6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358C2"/>
    <w:multiLevelType w:val="multilevel"/>
    <w:tmpl w:val="8882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B1D0C"/>
    <w:multiLevelType w:val="multilevel"/>
    <w:tmpl w:val="35B48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246712"/>
    <w:multiLevelType w:val="multilevel"/>
    <w:tmpl w:val="C8AE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D56BFE"/>
    <w:multiLevelType w:val="multilevel"/>
    <w:tmpl w:val="A038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0C7470"/>
    <w:multiLevelType w:val="multilevel"/>
    <w:tmpl w:val="820A5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500E1F"/>
    <w:multiLevelType w:val="multilevel"/>
    <w:tmpl w:val="DB20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C41320"/>
    <w:multiLevelType w:val="multilevel"/>
    <w:tmpl w:val="B9EC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8825C8"/>
    <w:multiLevelType w:val="multilevel"/>
    <w:tmpl w:val="2B4A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EC6488"/>
    <w:multiLevelType w:val="multilevel"/>
    <w:tmpl w:val="1ACA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7718282">
    <w:abstractNumId w:val="4"/>
  </w:num>
  <w:num w:numId="2" w16cid:durableId="897860912">
    <w:abstractNumId w:val="3"/>
  </w:num>
  <w:num w:numId="3" w16cid:durableId="674503324">
    <w:abstractNumId w:val="8"/>
  </w:num>
  <w:num w:numId="4" w16cid:durableId="597640064">
    <w:abstractNumId w:val="7"/>
  </w:num>
  <w:num w:numId="5" w16cid:durableId="1009062502">
    <w:abstractNumId w:val="1"/>
  </w:num>
  <w:num w:numId="6" w16cid:durableId="231234183">
    <w:abstractNumId w:val="0"/>
  </w:num>
  <w:num w:numId="7" w16cid:durableId="643393016">
    <w:abstractNumId w:val="5"/>
  </w:num>
  <w:num w:numId="8" w16cid:durableId="155000250">
    <w:abstractNumId w:val="6"/>
  </w:num>
  <w:num w:numId="9" w16cid:durableId="1172337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F5"/>
    <w:rsid w:val="00001737"/>
    <w:rsid w:val="000964FC"/>
    <w:rsid w:val="00101F9B"/>
    <w:rsid w:val="002F28D8"/>
    <w:rsid w:val="00486215"/>
    <w:rsid w:val="004C4F21"/>
    <w:rsid w:val="00610347"/>
    <w:rsid w:val="00626254"/>
    <w:rsid w:val="00635100"/>
    <w:rsid w:val="007A161A"/>
    <w:rsid w:val="007A6D4A"/>
    <w:rsid w:val="00887EEF"/>
    <w:rsid w:val="008B0E28"/>
    <w:rsid w:val="009A2CF5"/>
    <w:rsid w:val="00A41F40"/>
    <w:rsid w:val="00B423E4"/>
    <w:rsid w:val="00BD7B1E"/>
    <w:rsid w:val="00D66319"/>
    <w:rsid w:val="00D74455"/>
    <w:rsid w:val="00DA3DC2"/>
    <w:rsid w:val="00DB1148"/>
    <w:rsid w:val="00E40A1B"/>
    <w:rsid w:val="00E615BC"/>
    <w:rsid w:val="00F82EFC"/>
    <w:rsid w:val="00FE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87343"/>
  <w15:chartTrackingRefBased/>
  <w15:docId w15:val="{0D6C2DBB-D32A-4A51-A47C-5E60BF40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5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5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5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5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5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5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scanon\AppData\Local\Temp\Templafy\WordVsto\ka03ob5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emplafyFormConfiguration><![CDATA[{"formFields":[],"formDataEntries":[]}]]></TemplafyFormConfiguration>
</file>

<file path=customXml/item2.xml><?xml version="1.0" encoding="utf-8"?>
<TemplafyTemplateConfiguration><![CDATA[{"elementsMetadata":[],"transformationConfigurations":[],"templateName":"Word Blank","templateDescription":"","enableDocumentContentUpdater":false,"version":"2.0"}]]></TemplafyTemplateConfiguration>
</file>

<file path=customXml/itemProps1.xml><?xml version="1.0" encoding="utf-8"?>
<ds:datastoreItem xmlns:ds="http://schemas.openxmlformats.org/officeDocument/2006/customXml" ds:itemID="{2ADC7A1C-4E43-468D-A430-C8CC05634F38}">
  <ds:schemaRefs/>
</ds:datastoreItem>
</file>

<file path=customXml/itemProps2.xml><?xml version="1.0" encoding="utf-8"?>
<ds:datastoreItem xmlns:ds="http://schemas.openxmlformats.org/officeDocument/2006/customXml" ds:itemID="{3D05A4D3-D02B-487D-B853-9DFE75376B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ka03ob5e.dotx</Template>
  <TotalTime>13</TotalTime>
  <Pages>2</Pages>
  <Words>594</Words>
  <Characters>3387</Characters>
  <Application>Microsoft Office Word</Application>
  <DocSecurity>0</DocSecurity>
  <Lines>28</Lines>
  <Paragraphs>7</Paragraphs>
  <ScaleCrop>false</ScaleCrop>
  <Company>Penn Medicine</Company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Lescano</dc:creator>
  <cp:keywords/>
  <dc:description/>
  <cp:lastModifiedBy>Lescano, Nicolas A</cp:lastModifiedBy>
  <cp:revision>10</cp:revision>
  <dcterms:created xsi:type="dcterms:W3CDTF">2025-09-23T18:50:00Z</dcterms:created>
  <dcterms:modified xsi:type="dcterms:W3CDTF">2025-09-23T19:02:00Z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enantId">
    <vt:lpwstr>pennmedicine</vt:lpwstr>
  </property>
  <property fmtid="{D5CDD505-2E9C-101B-9397-08002B2CF9AE}" pid="3" name="TemplafyTemplateId">
    <vt:lpwstr>1001012883652608912</vt:lpwstr>
  </property>
  <property fmtid="{D5CDD505-2E9C-101B-9397-08002B2CF9AE}" pid="4" name="TemplafyUserProfileId">
    <vt:lpwstr>1108669838095548421</vt:lpwstr>
  </property>
  <property fmtid="{D5CDD505-2E9C-101B-9397-08002B2CF9AE}" pid="5" name="TemplafyFromBlank">
    <vt:bool>true</vt:bool>
  </property>
</Properties>
</file>