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C0814" w14:textId="77777777" w:rsidR="009A2CF5" w:rsidRDefault="009A2CF5" w:rsidP="004C4F21">
      <w:pPr>
        <w:spacing w:after="0" w:line="276" w:lineRule="auto"/>
        <w:jc w:val="center"/>
        <w:rPr>
          <w:b/>
          <w:bCs/>
        </w:rPr>
      </w:pPr>
      <w:r w:rsidRPr="009A2CF5">
        <w:rPr>
          <w:b/>
          <w:bCs/>
        </w:rPr>
        <w:t>Project Proposal</w:t>
      </w:r>
    </w:p>
    <w:p w14:paraId="1241EB2D" w14:textId="77777777" w:rsidR="004C4F21" w:rsidRPr="009A2CF5" w:rsidRDefault="004C4F21" w:rsidP="004C4F21">
      <w:pPr>
        <w:spacing w:after="0" w:line="276" w:lineRule="auto"/>
        <w:jc w:val="center"/>
        <w:rPr>
          <w:b/>
          <w:bCs/>
        </w:rPr>
      </w:pPr>
    </w:p>
    <w:p w14:paraId="477EBC3C" w14:textId="77777777" w:rsidR="009A2CF5" w:rsidRPr="009A2CF5" w:rsidRDefault="009A2CF5" w:rsidP="004C4F21">
      <w:pPr>
        <w:spacing w:after="0" w:line="276" w:lineRule="auto"/>
      </w:pPr>
      <w:r w:rsidRPr="009A2CF5">
        <w:rPr>
          <w:b/>
          <w:bCs/>
        </w:rPr>
        <w:t>Title:</w:t>
      </w:r>
      <w:r w:rsidRPr="009A2CF5">
        <w:br/>
        <w:t>Measuring the Invisible Work of Epic In-Basket Messaging in Outpatient Psychiatry</w:t>
      </w:r>
    </w:p>
    <w:p w14:paraId="640822E2" w14:textId="77777777" w:rsidR="009A2CF5" w:rsidRPr="009A2CF5" w:rsidRDefault="009A2CF5" w:rsidP="004C4F21">
      <w:pPr>
        <w:spacing w:after="0" w:line="276" w:lineRule="auto"/>
      </w:pPr>
      <w:r w:rsidRPr="009A2CF5">
        <w:rPr>
          <w:b/>
          <w:bCs/>
        </w:rPr>
        <w:t>Student:</w:t>
      </w:r>
      <w:r w:rsidRPr="009A2CF5">
        <w:t xml:space="preserve"> Nicolas Lescano, MD</w:t>
      </w:r>
      <w:r w:rsidRPr="009A2CF5">
        <w:br/>
      </w:r>
      <w:r w:rsidRPr="009A2CF5">
        <w:rPr>
          <w:b/>
          <w:bCs/>
        </w:rPr>
        <w:t>Course:</w:t>
      </w:r>
      <w:r w:rsidRPr="009A2CF5">
        <w:t xml:space="preserve"> BMIN 5070 – Human Factors in Biomedical Informatics</w:t>
      </w:r>
    </w:p>
    <w:p w14:paraId="272F372F" w14:textId="65C54CA5" w:rsidR="009A2CF5" w:rsidRPr="009A2CF5" w:rsidRDefault="009A2CF5" w:rsidP="004C4F21">
      <w:pPr>
        <w:spacing w:after="0" w:line="276" w:lineRule="auto"/>
      </w:pPr>
    </w:p>
    <w:p w14:paraId="5964BBF2" w14:textId="77777777" w:rsidR="009A2CF5" w:rsidRPr="009A2CF5" w:rsidRDefault="009A2CF5" w:rsidP="004C4F21">
      <w:pPr>
        <w:spacing w:after="0" w:line="276" w:lineRule="auto"/>
        <w:rPr>
          <w:b/>
          <w:bCs/>
        </w:rPr>
      </w:pPr>
      <w:r w:rsidRPr="009A2CF5">
        <w:rPr>
          <w:b/>
          <w:bCs/>
        </w:rPr>
        <w:t>Problem Summary</w:t>
      </w:r>
    </w:p>
    <w:p w14:paraId="088B23C3" w14:textId="77777777" w:rsidR="009A2CF5" w:rsidRPr="009A2CF5" w:rsidRDefault="009A2CF5" w:rsidP="004C4F21">
      <w:pPr>
        <w:spacing w:after="0" w:line="276" w:lineRule="auto"/>
      </w:pPr>
      <w:r w:rsidRPr="009A2CF5">
        <w:t>Outpatient psychiatry providers manage substantial “invisible work” through Epic in-basket messaging, including patient calls, advice requests, results, refills, and inter-provider communication. These tasks require clinical judgment and significant time, yet they remain absent from productivity metrics (e.g., RVUs, visit counts). The result is fragmented work, increased cognitive load, and hidden workload that contributes to burnout and safety risks. From a human factors perspective, this represents a serious misalignment between measured productivity and actual provider effort.</w:t>
      </w:r>
    </w:p>
    <w:p w14:paraId="5CE79215" w14:textId="1745A485" w:rsidR="009A2CF5" w:rsidRPr="009A2CF5" w:rsidRDefault="009A2CF5" w:rsidP="004C4F21">
      <w:pPr>
        <w:spacing w:after="0" w:line="276" w:lineRule="auto"/>
      </w:pPr>
    </w:p>
    <w:p w14:paraId="3ADC09D8" w14:textId="77777777" w:rsidR="009A2CF5" w:rsidRPr="009A2CF5" w:rsidRDefault="009A2CF5" w:rsidP="004C4F21">
      <w:pPr>
        <w:spacing w:after="0" w:line="276" w:lineRule="auto"/>
        <w:rPr>
          <w:b/>
          <w:bCs/>
        </w:rPr>
      </w:pPr>
      <w:r w:rsidRPr="009A2CF5">
        <w:rPr>
          <w:b/>
          <w:bCs/>
        </w:rPr>
        <w:t>Objectives</w:t>
      </w:r>
    </w:p>
    <w:p w14:paraId="2672719F" w14:textId="77777777" w:rsidR="009A2CF5" w:rsidRPr="009A2CF5" w:rsidRDefault="009A2CF5" w:rsidP="004C4F21">
      <w:pPr>
        <w:numPr>
          <w:ilvl w:val="0"/>
          <w:numId w:val="1"/>
        </w:numPr>
        <w:spacing w:after="0" w:line="276" w:lineRule="auto"/>
      </w:pPr>
      <w:r w:rsidRPr="009A2CF5">
        <w:t>Quantify the volume and time burden of Epic messaging for providers in Dept 603 (PBH OPC 3535 Market Street, 2nd floor).</w:t>
      </w:r>
    </w:p>
    <w:p w14:paraId="0F7DA58D" w14:textId="77777777" w:rsidR="009A2CF5" w:rsidRPr="009A2CF5" w:rsidRDefault="009A2CF5" w:rsidP="004C4F21">
      <w:pPr>
        <w:numPr>
          <w:ilvl w:val="0"/>
          <w:numId w:val="1"/>
        </w:numPr>
        <w:spacing w:after="0" w:line="276" w:lineRule="auto"/>
      </w:pPr>
      <w:r w:rsidRPr="009A2CF5">
        <w:t>Examine variation across message types, providers, and patient panel sizes.</w:t>
      </w:r>
    </w:p>
    <w:p w14:paraId="6244BBF5" w14:textId="77777777" w:rsidR="009A2CF5" w:rsidRPr="009A2CF5" w:rsidRDefault="009A2CF5" w:rsidP="004C4F21">
      <w:pPr>
        <w:numPr>
          <w:ilvl w:val="0"/>
          <w:numId w:val="1"/>
        </w:numPr>
        <w:spacing w:after="0" w:line="276" w:lineRule="auto"/>
      </w:pPr>
      <w:r w:rsidRPr="009A2CF5">
        <w:t>Explore workload distribution during versus outside of business hours.</w:t>
      </w:r>
    </w:p>
    <w:p w14:paraId="01EB8684" w14:textId="77777777" w:rsidR="009A2CF5" w:rsidRPr="009A2CF5" w:rsidRDefault="009A2CF5" w:rsidP="004C4F21">
      <w:pPr>
        <w:numPr>
          <w:ilvl w:val="0"/>
          <w:numId w:val="1"/>
        </w:numPr>
        <w:spacing w:after="0" w:line="276" w:lineRule="auto"/>
      </w:pPr>
      <w:r w:rsidRPr="009A2CF5">
        <w:t>Apply human factors principles to interpret implications for workload, cognitive demands, and error risk.</w:t>
      </w:r>
    </w:p>
    <w:p w14:paraId="439427A1" w14:textId="77777777" w:rsidR="009A2CF5" w:rsidRPr="009A2CF5" w:rsidRDefault="009A2CF5" w:rsidP="004C4F21">
      <w:pPr>
        <w:numPr>
          <w:ilvl w:val="0"/>
          <w:numId w:val="1"/>
        </w:numPr>
        <w:spacing w:after="0" w:line="276" w:lineRule="auto"/>
      </w:pPr>
      <w:r w:rsidRPr="009A2CF5">
        <w:t>Propose strategies to make invisible work visible in departmental reporting and planning.</w:t>
      </w:r>
    </w:p>
    <w:p w14:paraId="25C135BE" w14:textId="0031F30B" w:rsidR="009A2CF5" w:rsidRPr="009A2CF5" w:rsidRDefault="009A2CF5" w:rsidP="004C4F21">
      <w:pPr>
        <w:spacing w:after="0" w:line="276" w:lineRule="auto"/>
      </w:pPr>
    </w:p>
    <w:p w14:paraId="003773DF" w14:textId="77777777" w:rsidR="009A2CF5" w:rsidRPr="009A2CF5" w:rsidRDefault="009A2CF5" w:rsidP="004C4F21">
      <w:pPr>
        <w:spacing w:after="0" w:line="276" w:lineRule="auto"/>
        <w:rPr>
          <w:b/>
          <w:bCs/>
        </w:rPr>
      </w:pPr>
      <w:r w:rsidRPr="009A2CF5">
        <w:rPr>
          <w:b/>
          <w:bCs/>
        </w:rPr>
        <w:t>Methods</w:t>
      </w:r>
    </w:p>
    <w:p w14:paraId="6A64EE2D" w14:textId="77777777" w:rsidR="009A2CF5" w:rsidRPr="009A2CF5" w:rsidRDefault="009A2CF5" w:rsidP="004C4F21">
      <w:pPr>
        <w:numPr>
          <w:ilvl w:val="0"/>
          <w:numId w:val="2"/>
        </w:numPr>
        <w:spacing w:after="0" w:line="276" w:lineRule="auto"/>
      </w:pPr>
      <w:r w:rsidRPr="009A2CF5">
        <w:rPr>
          <w:b/>
          <w:bCs/>
        </w:rPr>
        <w:t>Data Request</w:t>
      </w:r>
      <w:r w:rsidRPr="009A2CF5">
        <w:t>: Aggregated, de-identified data for Jul 2024 – Jun 2025, for providers with roles Physician, Psychiatrist, Nurse Practitioner, and Resident. Requested elements:</w:t>
      </w:r>
    </w:p>
    <w:p w14:paraId="3D122F15" w14:textId="77777777" w:rsidR="009A2CF5" w:rsidRPr="009A2CF5" w:rsidRDefault="009A2CF5" w:rsidP="004C4F21">
      <w:pPr>
        <w:numPr>
          <w:ilvl w:val="1"/>
          <w:numId w:val="2"/>
        </w:numPr>
        <w:spacing w:after="0" w:line="276" w:lineRule="auto"/>
      </w:pPr>
      <w:r w:rsidRPr="009A2CF5">
        <w:t>Monthly counts per provider of in-basket messages by type (Patient Call, Patient Advice Request, Results, Rx Authorization, Rx Response, Chart Cosign, CC’d Charts, Patient Unviewed Results, Refill Errors).</w:t>
      </w:r>
    </w:p>
    <w:p w14:paraId="7DA50EB8" w14:textId="23072C67" w:rsidR="009A2CF5" w:rsidRPr="009A2CF5" w:rsidRDefault="009A2CF5" w:rsidP="004C4F21">
      <w:pPr>
        <w:numPr>
          <w:ilvl w:val="1"/>
          <w:numId w:val="2"/>
        </w:numPr>
        <w:spacing w:after="0" w:line="276" w:lineRule="auto"/>
      </w:pPr>
      <w:r w:rsidRPr="009A2CF5">
        <w:t>Aggregated time spent per provider on in-basket messages (sum of time, and/or average time per message type, if available).</w:t>
      </w:r>
    </w:p>
    <w:p w14:paraId="40329DBB" w14:textId="77777777" w:rsidR="009A2CF5" w:rsidRPr="009A2CF5" w:rsidRDefault="009A2CF5" w:rsidP="004C4F21">
      <w:pPr>
        <w:numPr>
          <w:ilvl w:val="1"/>
          <w:numId w:val="2"/>
        </w:numPr>
        <w:spacing w:after="0" w:line="276" w:lineRule="auto"/>
      </w:pPr>
      <w:r w:rsidRPr="009A2CF5">
        <w:t>Number of active patients under each provider per month (panel size).</w:t>
      </w:r>
    </w:p>
    <w:p w14:paraId="70D9F68F" w14:textId="77777777" w:rsidR="009A2CF5" w:rsidRPr="009A2CF5" w:rsidRDefault="009A2CF5" w:rsidP="004C4F21">
      <w:pPr>
        <w:numPr>
          <w:ilvl w:val="1"/>
          <w:numId w:val="2"/>
        </w:numPr>
        <w:spacing w:after="0" w:line="276" w:lineRule="auto"/>
      </w:pPr>
      <w:r w:rsidRPr="009A2CF5">
        <w:t>Timing of message handling (during vs. outside of business hours; weekday vs. weekend).</w:t>
      </w:r>
    </w:p>
    <w:p w14:paraId="74D4ADCD" w14:textId="77777777" w:rsidR="009A2CF5" w:rsidRPr="009A2CF5" w:rsidRDefault="009A2CF5" w:rsidP="004C4F21">
      <w:pPr>
        <w:numPr>
          <w:ilvl w:val="1"/>
          <w:numId w:val="2"/>
        </w:numPr>
        <w:spacing w:after="0" w:line="276" w:lineRule="auto"/>
      </w:pPr>
      <w:r w:rsidRPr="009A2CF5">
        <w:t>Turnaround time (average days to closure per message type).</w:t>
      </w:r>
    </w:p>
    <w:p w14:paraId="4A5ADC98" w14:textId="77777777" w:rsidR="009A2CF5" w:rsidRPr="009A2CF5" w:rsidRDefault="009A2CF5" w:rsidP="004C4F21">
      <w:pPr>
        <w:numPr>
          <w:ilvl w:val="0"/>
          <w:numId w:val="2"/>
        </w:numPr>
        <w:spacing w:after="0" w:line="276" w:lineRule="auto"/>
      </w:pPr>
      <w:r w:rsidRPr="009A2CF5">
        <w:rPr>
          <w:b/>
          <w:bCs/>
        </w:rPr>
        <w:t>Analysis</w:t>
      </w:r>
      <w:r w:rsidRPr="009A2CF5">
        <w:t>:</w:t>
      </w:r>
    </w:p>
    <w:p w14:paraId="1ACD81E5" w14:textId="77777777" w:rsidR="009A2CF5" w:rsidRPr="009A2CF5" w:rsidRDefault="009A2CF5" w:rsidP="004C4F21">
      <w:pPr>
        <w:numPr>
          <w:ilvl w:val="1"/>
          <w:numId w:val="2"/>
        </w:numPr>
        <w:spacing w:after="0" w:line="276" w:lineRule="auto"/>
      </w:pPr>
      <w:r w:rsidRPr="009A2CF5">
        <w:t>Summarize totals, trends, and distributions.</w:t>
      </w:r>
    </w:p>
    <w:p w14:paraId="58FCFD64" w14:textId="77777777" w:rsidR="009A2CF5" w:rsidRPr="009A2CF5" w:rsidRDefault="009A2CF5" w:rsidP="004C4F21">
      <w:pPr>
        <w:numPr>
          <w:ilvl w:val="1"/>
          <w:numId w:val="2"/>
        </w:numPr>
        <w:spacing w:after="0" w:line="276" w:lineRule="auto"/>
      </w:pPr>
      <w:r w:rsidRPr="009A2CF5">
        <w:t>Compare workload across message types, providers, and panel sizes.</w:t>
      </w:r>
    </w:p>
    <w:p w14:paraId="7C91BEF0" w14:textId="77777777" w:rsidR="009A2CF5" w:rsidRPr="009A2CF5" w:rsidRDefault="009A2CF5" w:rsidP="004C4F21">
      <w:pPr>
        <w:numPr>
          <w:ilvl w:val="1"/>
          <w:numId w:val="2"/>
        </w:numPr>
        <w:spacing w:after="0" w:line="276" w:lineRule="auto"/>
      </w:pPr>
      <w:r w:rsidRPr="009A2CF5">
        <w:t>Visualize with descriptive figures (time series, distributions, workload normalized per panel size).</w:t>
      </w:r>
    </w:p>
    <w:p w14:paraId="2C8C669F" w14:textId="0A6A080E" w:rsidR="009A2CF5" w:rsidRPr="009A2CF5" w:rsidRDefault="009A2CF5" w:rsidP="004C4F21">
      <w:pPr>
        <w:numPr>
          <w:ilvl w:val="1"/>
          <w:numId w:val="2"/>
        </w:numPr>
        <w:spacing w:after="0" w:line="276" w:lineRule="auto"/>
      </w:pPr>
      <w:r w:rsidRPr="009A2CF5">
        <w:lastRenderedPageBreak/>
        <w:t>Interpret findings through human factors frameworks (workload fit, multitasking, fragmentation, error tolerance).</w:t>
      </w:r>
    </w:p>
    <w:p w14:paraId="0FDE7F62" w14:textId="77777777" w:rsidR="009A2CF5" w:rsidRDefault="009A2CF5" w:rsidP="004C4F21">
      <w:pPr>
        <w:spacing w:after="0" w:line="276" w:lineRule="auto"/>
        <w:rPr>
          <w:b/>
          <w:bCs/>
        </w:rPr>
      </w:pPr>
    </w:p>
    <w:p w14:paraId="2CEE7EC7" w14:textId="20C3BAB5" w:rsidR="009A2CF5" w:rsidRPr="009A2CF5" w:rsidRDefault="009A2CF5" w:rsidP="004C4F21">
      <w:pPr>
        <w:spacing w:after="0" w:line="276" w:lineRule="auto"/>
        <w:rPr>
          <w:b/>
          <w:bCs/>
        </w:rPr>
      </w:pPr>
      <w:r w:rsidRPr="009A2CF5">
        <w:rPr>
          <w:b/>
          <w:bCs/>
        </w:rPr>
        <w:t>Expected Outcomes</w:t>
      </w:r>
    </w:p>
    <w:p w14:paraId="54827188" w14:textId="77777777" w:rsidR="009A2CF5" w:rsidRPr="009A2CF5" w:rsidRDefault="009A2CF5" w:rsidP="004C4F21">
      <w:pPr>
        <w:numPr>
          <w:ilvl w:val="0"/>
          <w:numId w:val="3"/>
        </w:numPr>
        <w:spacing w:after="0" w:line="276" w:lineRule="auto"/>
      </w:pPr>
      <w:r w:rsidRPr="009A2CF5">
        <w:t>Quantitative profile of Epic messaging workload across providers and message types.</w:t>
      </w:r>
    </w:p>
    <w:p w14:paraId="2B4A550F" w14:textId="77777777" w:rsidR="009A2CF5" w:rsidRPr="009A2CF5" w:rsidRDefault="009A2CF5" w:rsidP="004C4F21">
      <w:pPr>
        <w:numPr>
          <w:ilvl w:val="0"/>
          <w:numId w:val="3"/>
        </w:numPr>
        <w:spacing w:after="0" w:line="276" w:lineRule="auto"/>
      </w:pPr>
      <w:r w:rsidRPr="009A2CF5">
        <w:t>Contextualization of invisible work relative to provider panel size.</w:t>
      </w:r>
    </w:p>
    <w:p w14:paraId="5DADF471" w14:textId="77777777" w:rsidR="009A2CF5" w:rsidRPr="009A2CF5" w:rsidRDefault="009A2CF5" w:rsidP="004C4F21">
      <w:pPr>
        <w:numPr>
          <w:ilvl w:val="0"/>
          <w:numId w:val="3"/>
        </w:numPr>
        <w:spacing w:after="0" w:line="276" w:lineRule="auto"/>
      </w:pPr>
      <w:r w:rsidRPr="009A2CF5">
        <w:t>Human factors analysis of how invisible work contributes to cognitive load, burnout, and patient safety risks.</w:t>
      </w:r>
    </w:p>
    <w:p w14:paraId="758784A4" w14:textId="77777777" w:rsidR="009A2CF5" w:rsidRPr="009A2CF5" w:rsidRDefault="009A2CF5" w:rsidP="004C4F21">
      <w:pPr>
        <w:numPr>
          <w:ilvl w:val="0"/>
          <w:numId w:val="3"/>
        </w:numPr>
        <w:spacing w:after="0" w:line="276" w:lineRule="auto"/>
      </w:pPr>
      <w:r w:rsidRPr="009A2CF5">
        <w:t>Recommendations for incorporating messaging workload into departmental dashboards and capacity planning.</w:t>
      </w:r>
    </w:p>
    <w:p w14:paraId="6AF86F80" w14:textId="65C98CF8" w:rsidR="009A2CF5" w:rsidRPr="009A2CF5" w:rsidRDefault="009A2CF5" w:rsidP="004C4F21">
      <w:pPr>
        <w:spacing w:after="0" w:line="276" w:lineRule="auto"/>
      </w:pPr>
    </w:p>
    <w:p w14:paraId="57DA7F4E" w14:textId="77777777" w:rsidR="009A2CF5" w:rsidRPr="009A2CF5" w:rsidRDefault="009A2CF5" w:rsidP="004C4F21">
      <w:pPr>
        <w:spacing w:after="0" w:line="276" w:lineRule="auto"/>
        <w:rPr>
          <w:b/>
          <w:bCs/>
        </w:rPr>
      </w:pPr>
      <w:r w:rsidRPr="009A2CF5">
        <w:rPr>
          <w:b/>
          <w:bCs/>
        </w:rPr>
        <w:t>Timeline</w:t>
      </w:r>
    </w:p>
    <w:p w14:paraId="7452AC46" w14:textId="65D7CF0E" w:rsidR="009A2CF5" w:rsidRPr="009A2CF5" w:rsidRDefault="009A2CF5" w:rsidP="004C4F21">
      <w:pPr>
        <w:numPr>
          <w:ilvl w:val="0"/>
          <w:numId w:val="4"/>
        </w:numPr>
        <w:spacing w:after="0" w:line="276" w:lineRule="auto"/>
      </w:pPr>
      <w:r w:rsidRPr="009A2CF5">
        <w:rPr>
          <w:b/>
          <w:bCs/>
        </w:rPr>
        <w:t xml:space="preserve">Week of Sep </w:t>
      </w:r>
      <w:r w:rsidR="00D74455">
        <w:rPr>
          <w:b/>
          <w:bCs/>
        </w:rPr>
        <w:t>10</w:t>
      </w:r>
      <w:r w:rsidRPr="009A2CF5">
        <w:t>: Finalize data request</w:t>
      </w:r>
      <w:r w:rsidR="00FE4019">
        <w:t xml:space="preserve"> t</w:t>
      </w:r>
      <w:r w:rsidRPr="009A2CF5">
        <w:t xml:space="preserve"> and leadership sign-off.</w:t>
      </w:r>
    </w:p>
    <w:p w14:paraId="22A7EA93" w14:textId="66555E29" w:rsidR="009A2CF5" w:rsidRPr="009A2CF5" w:rsidRDefault="009A2CF5" w:rsidP="004C4F21">
      <w:pPr>
        <w:numPr>
          <w:ilvl w:val="0"/>
          <w:numId w:val="4"/>
        </w:numPr>
        <w:spacing w:after="0" w:line="276" w:lineRule="auto"/>
      </w:pPr>
      <w:r w:rsidRPr="009A2CF5">
        <w:rPr>
          <w:b/>
          <w:bCs/>
        </w:rPr>
        <w:t>Week of Sep 1</w:t>
      </w:r>
      <w:r w:rsidR="00D74455">
        <w:rPr>
          <w:b/>
          <w:bCs/>
        </w:rPr>
        <w:t>7</w:t>
      </w:r>
      <w:r w:rsidRPr="009A2CF5">
        <w:t>: Validate dataset; finalize analysis plan.</w:t>
      </w:r>
    </w:p>
    <w:p w14:paraId="1EDEC7AC" w14:textId="45AB80E6" w:rsidR="009A2CF5" w:rsidRPr="009A2CF5" w:rsidRDefault="009A2CF5" w:rsidP="004C4F21">
      <w:pPr>
        <w:numPr>
          <w:ilvl w:val="0"/>
          <w:numId w:val="4"/>
        </w:numPr>
        <w:spacing w:after="0" w:line="276" w:lineRule="auto"/>
      </w:pPr>
      <w:r w:rsidRPr="009A2CF5">
        <w:rPr>
          <w:b/>
          <w:bCs/>
        </w:rPr>
        <w:t>Week of Sep 2</w:t>
      </w:r>
      <w:r w:rsidR="00D74455">
        <w:rPr>
          <w:b/>
          <w:bCs/>
        </w:rPr>
        <w:t>4</w:t>
      </w:r>
      <w:r w:rsidRPr="009A2CF5">
        <w:t>: Conduct descriptive analyses and produce draft figures.</w:t>
      </w:r>
    </w:p>
    <w:p w14:paraId="639EC2C9" w14:textId="18DB1462" w:rsidR="009A2CF5" w:rsidRPr="009A2CF5" w:rsidRDefault="009A2CF5" w:rsidP="004C4F21">
      <w:pPr>
        <w:numPr>
          <w:ilvl w:val="0"/>
          <w:numId w:val="4"/>
        </w:numPr>
        <w:spacing w:after="0" w:line="276" w:lineRule="auto"/>
      </w:pPr>
      <w:r w:rsidRPr="009A2CF5">
        <w:rPr>
          <w:b/>
          <w:bCs/>
        </w:rPr>
        <w:t xml:space="preserve">Week of Oct </w:t>
      </w:r>
      <w:r w:rsidR="00D66319">
        <w:rPr>
          <w:b/>
          <w:bCs/>
        </w:rPr>
        <w:t>1</w:t>
      </w:r>
      <w:r w:rsidRPr="009A2CF5">
        <w:t>: Draft results and discussion; refine figures.</w:t>
      </w:r>
    </w:p>
    <w:p w14:paraId="5CA386CA" w14:textId="32C358B5" w:rsidR="009A2CF5" w:rsidRPr="009A2CF5" w:rsidRDefault="009A2CF5" w:rsidP="004C4F21">
      <w:pPr>
        <w:numPr>
          <w:ilvl w:val="0"/>
          <w:numId w:val="4"/>
        </w:numPr>
        <w:spacing w:after="0" w:line="276" w:lineRule="auto"/>
      </w:pPr>
      <w:r w:rsidRPr="009A2CF5">
        <w:rPr>
          <w:b/>
          <w:bCs/>
        </w:rPr>
        <w:t xml:space="preserve">Week of Oct </w:t>
      </w:r>
      <w:r w:rsidR="00D66319">
        <w:rPr>
          <w:b/>
          <w:bCs/>
        </w:rPr>
        <w:t>8</w:t>
      </w:r>
      <w:r w:rsidRPr="009A2CF5">
        <w:t>: Finalize paper and prepare 10–12 slide presentation.</w:t>
      </w:r>
    </w:p>
    <w:p w14:paraId="0876D132" w14:textId="77777777" w:rsidR="009A2CF5" w:rsidRPr="009A2CF5" w:rsidRDefault="009A2CF5" w:rsidP="004C4F21">
      <w:pPr>
        <w:numPr>
          <w:ilvl w:val="0"/>
          <w:numId w:val="4"/>
        </w:numPr>
        <w:spacing w:after="0" w:line="276" w:lineRule="auto"/>
      </w:pPr>
      <w:r w:rsidRPr="009A2CF5">
        <w:rPr>
          <w:b/>
          <w:bCs/>
        </w:rPr>
        <w:t>Oct 15</w:t>
      </w:r>
      <w:r w:rsidRPr="009A2CF5">
        <w:t>: Project presentation.</w:t>
      </w:r>
    </w:p>
    <w:p w14:paraId="3D460E1D" w14:textId="77777777" w:rsidR="009A2CF5" w:rsidRDefault="009A2CF5" w:rsidP="004C4F21">
      <w:pPr>
        <w:spacing w:after="0" w:line="276" w:lineRule="auto"/>
      </w:pPr>
    </w:p>
    <w:p w14:paraId="3FB9AFD5" w14:textId="3F871BE6" w:rsidR="009A2CF5" w:rsidRPr="009A2CF5" w:rsidRDefault="009A2CF5" w:rsidP="004C4F21">
      <w:pPr>
        <w:spacing w:after="0" w:line="276" w:lineRule="auto"/>
      </w:pPr>
      <w:r w:rsidRPr="009A2CF5">
        <w:rPr>
          <w:b/>
          <w:bCs/>
        </w:rPr>
        <w:t>References</w:t>
      </w:r>
    </w:p>
    <w:p w14:paraId="10EA91BA" w14:textId="77777777" w:rsidR="00001737" w:rsidRPr="009A2CF5" w:rsidRDefault="00001737" w:rsidP="004C4F21">
      <w:pPr>
        <w:numPr>
          <w:ilvl w:val="0"/>
          <w:numId w:val="5"/>
        </w:numPr>
        <w:spacing w:after="0" w:line="276" w:lineRule="auto"/>
      </w:pPr>
      <w:r w:rsidRPr="009A2CF5">
        <w:t xml:space="preserve">Koppel R. Great Promises of Healthcare Information Technology Deliver Less. In: </w:t>
      </w:r>
      <w:r w:rsidRPr="009A2CF5">
        <w:rPr>
          <w:i/>
          <w:iCs/>
        </w:rPr>
        <w:t>Healthcare Information Management Systems</w:t>
      </w:r>
      <w:r w:rsidRPr="009A2CF5">
        <w:t>. Springer; 2016.</w:t>
      </w:r>
    </w:p>
    <w:p w14:paraId="11E55554" w14:textId="77777777" w:rsidR="00001737" w:rsidRPr="009A2CF5" w:rsidRDefault="00001737" w:rsidP="004C4F21">
      <w:pPr>
        <w:numPr>
          <w:ilvl w:val="0"/>
          <w:numId w:val="5"/>
        </w:numPr>
        <w:spacing w:after="0" w:line="276" w:lineRule="auto"/>
      </w:pPr>
      <w:r w:rsidRPr="009A2CF5">
        <w:t xml:space="preserve">Shah SJ, Devon-Sand A, Ma SP, et al. Ambient artificial intelligence scribes: physician burnout and perspectives on usability and documentation burden. </w:t>
      </w:r>
      <w:r w:rsidRPr="009A2CF5">
        <w:rPr>
          <w:i/>
          <w:iCs/>
        </w:rPr>
        <w:t>J Am Med Inform Assoc.</w:t>
      </w:r>
      <w:r w:rsidRPr="009A2CF5">
        <w:t xml:space="preserve"> 2025;32(2):375–380.</w:t>
      </w:r>
    </w:p>
    <w:p w14:paraId="2607394E" w14:textId="77777777" w:rsidR="00001737" w:rsidRPr="009A2CF5" w:rsidRDefault="00001737" w:rsidP="004C4F21">
      <w:pPr>
        <w:numPr>
          <w:ilvl w:val="0"/>
          <w:numId w:val="5"/>
        </w:numPr>
        <w:spacing w:after="0" w:line="276" w:lineRule="auto"/>
      </w:pPr>
      <w:r w:rsidRPr="009A2CF5">
        <w:t xml:space="preserve">Singh H, Sittig DF. Measuring and improving patient safety through health information technology: The Health IT Safety Framework. </w:t>
      </w:r>
      <w:r w:rsidRPr="009A2CF5">
        <w:rPr>
          <w:i/>
          <w:iCs/>
        </w:rPr>
        <w:t>BMJ Qual Saf.</w:t>
      </w:r>
      <w:r w:rsidRPr="009A2CF5">
        <w:t xml:space="preserve"> 2016;25(4):226–232.</w:t>
      </w:r>
    </w:p>
    <w:p w14:paraId="7E2E2B3E" w14:textId="77777777" w:rsidR="00001737" w:rsidRPr="009A2CF5" w:rsidRDefault="00001737" w:rsidP="004C4F21">
      <w:pPr>
        <w:numPr>
          <w:ilvl w:val="0"/>
          <w:numId w:val="5"/>
        </w:numPr>
        <w:spacing w:after="0" w:line="276" w:lineRule="auto"/>
      </w:pPr>
      <w:r w:rsidRPr="009A2CF5">
        <w:t xml:space="preserve">Thimbleby H. </w:t>
      </w:r>
      <w:r w:rsidRPr="009A2CF5">
        <w:rPr>
          <w:i/>
          <w:iCs/>
        </w:rPr>
        <w:t>Fix IT: See and Solve the Problems of Digital Healthcare.</w:t>
      </w:r>
      <w:r w:rsidRPr="009A2CF5">
        <w:t xml:space="preserve"> Oxford Univ Press; 2022.</w:t>
      </w:r>
    </w:p>
    <w:p w14:paraId="4C3DD56B" w14:textId="77777777" w:rsidR="00001737" w:rsidRPr="009A2CF5" w:rsidRDefault="00001737" w:rsidP="004C4F21">
      <w:pPr>
        <w:numPr>
          <w:ilvl w:val="0"/>
          <w:numId w:val="5"/>
        </w:numPr>
        <w:spacing w:after="0" w:line="276" w:lineRule="auto"/>
      </w:pPr>
      <w:r w:rsidRPr="009A2CF5">
        <w:rPr>
          <w:lang w:val="es-AR"/>
        </w:rPr>
        <w:t xml:space="preserve">Tutty MA, Carlasare LE, Lloyd S, Sinsky CA. </w:t>
      </w:r>
      <w:r w:rsidRPr="009A2CF5">
        <w:t xml:space="preserve">The complex case of EHRs: examining the factors impacting the EHR user experience. </w:t>
      </w:r>
      <w:r w:rsidRPr="009A2CF5">
        <w:rPr>
          <w:i/>
          <w:iCs/>
        </w:rPr>
        <w:t>J Am Med Inform Assoc.</w:t>
      </w:r>
      <w:r w:rsidRPr="009A2CF5">
        <w:t xml:space="preserve"> 2019;26(7):673–677.</w:t>
      </w:r>
    </w:p>
    <w:p w14:paraId="63E79B55" w14:textId="77777777" w:rsidR="009A2CF5" w:rsidRDefault="009A2CF5" w:rsidP="004C4F21">
      <w:pPr>
        <w:spacing w:after="0" w:line="276" w:lineRule="auto"/>
      </w:pPr>
    </w:p>
    <w:p w14:paraId="33AEB6B5" w14:textId="24A187E8" w:rsidR="009A2CF5" w:rsidRPr="009A2CF5" w:rsidRDefault="009A2CF5" w:rsidP="004C4F21">
      <w:pPr>
        <w:spacing w:after="0" w:line="276" w:lineRule="auto"/>
      </w:pPr>
      <w:r w:rsidRPr="009A2CF5">
        <w:rPr>
          <w:b/>
          <w:bCs/>
        </w:rPr>
        <w:t>Significance</w:t>
      </w:r>
    </w:p>
    <w:p w14:paraId="10DB9DB4" w14:textId="5BE6D6B7" w:rsidR="007A6D4A" w:rsidRDefault="009A2CF5" w:rsidP="004C4F21">
      <w:pPr>
        <w:spacing w:after="0" w:line="276" w:lineRule="auto"/>
      </w:pPr>
      <w:r w:rsidRPr="009A2CF5">
        <w:t>This project will provide a systematic, human factors–based analysis of invisible Epic in-basket workload in outpatient psychiatry. By quantifying message volume, time burden, panel context, and after-hours distribution, it will reveal the gap between formal metrics and lived provider experience. The findings will support more human-centered definitions of provider capacity and inform future workflow and system design for sustainable, safe care.</w:t>
      </w:r>
    </w:p>
    <w:sectPr w:rsidR="007A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1D0C"/>
    <w:multiLevelType w:val="multilevel"/>
    <w:tmpl w:val="35B4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56BFE"/>
    <w:multiLevelType w:val="multilevel"/>
    <w:tmpl w:val="A038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C7470"/>
    <w:multiLevelType w:val="multilevel"/>
    <w:tmpl w:val="820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825C8"/>
    <w:multiLevelType w:val="multilevel"/>
    <w:tmpl w:val="2B4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C6488"/>
    <w:multiLevelType w:val="multilevel"/>
    <w:tmpl w:val="1AC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718282">
    <w:abstractNumId w:val="2"/>
  </w:num>
  <w:num w:numId="2" w16cid:durableId="897860912">
    <w:abstractNumId w:val="1"/>
  </w:num>
  <w:num w:numId="3" w16cid:durableId="674503324">
    <w:abstractNumId w:val="4"/>
  </w:num>
  <w:num w:numId="4" w16cid:durableId="597640064">
    <w:abstractNumId w:val="3"/>
  </w:num>
  <w:num w:numId="5" w16cid:durableId="100906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F5"/>
    <w:rsid w:val="00001737"/>
    <w:rsid w:val="00486215"/>
    <w:rsid w:val="004C4F21"/>
    <w:rsid w:val="00610347"/>
    <w:rsid w:val="00635100"/>
    <w:rsid w:val="007A6D4A"/>
    <w:rsid w:val="00887EEF"/>
    <w:rsid w:val="009A2CF5"/>
    <w:rsid w:val="00D66319"/>
    <w:rsid w:val="00D74455"/>
    <w:rsid w:val="00DA3DC2"/>
    <w:rsid w:val="00E615BC"/>
    <w:rsid w:val="00FE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7343"/>
  <w15:chartTrackingRefBased/>
  <w15:docId w15:val="{0D6C2DBB-D32A-4A51-A47C-5E60BF40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5BC"/>
    <w:rPr>
      <w:rFonts w:eastAsiaTheme="majorEastAsia" w:cstheme="majorBidi"/>
      <w:color w:val="272727" w:themeColor="text1" w:themeTint="D8"/>
    </w:rPr>
  </w:style>
  <w:style w:type="paragraph" w:styleId="Title">
    <w:name w:val="Title"/>
    <w:basedOn w:val="Normal"/>
    <w:next w:val="Normal"/>
    <w:link w:val="TitleChar"/>
    <w:uiPriority w:val="10"/>
    <w:qFormat/>
    <w:rsid w:val="00E61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5BC"/>
    <w:pPr>
      <w:spacing w:before="160"/>
      <w:jc w:val="center"/>
    </w:pPr>
    <w:rPr>
      <w:i/>
      <w:iCs/>
      <w:color w:val="404040" w:themeColor="text1" w:themeTint="BF"/>
    </w:rPr>
  </w:style>
  <w:style w:type="character" w:customStyle="1" w:styleId="QuoteChar">
    <w:name w:val="Quote Char"/>
    <w:basedOn w:val="DefaultParagraphFont"/>
    <w:link w:val="Quote"/>
    <w:uiPriority w:val="29"/>
    <w:rsid w:val="00E615BC"/>
    <w:rPr>
      <w:i/>
      <w:iCs/>
      <w:color w:val="404040" w:themeColor="text1" w:themeTint="BF"/>
    </w:rPr>
  </w:style>
  <w:style w:type="paragraph" w:styleId="ListParagraph">
    <w:name w:val="List Paragraph"/>
    <w:basedOn w:val="Normal"/>
    <w:uiPriority w:val="34"/>
    <w:qFormat/>
    <w:rsid w:val="00E615BC"/>
    <w:pPr>
      <w:ind w:left="720"/>
      <w:contextualSpacing/>
    </w:pPr>
  </w:style>
  <w:style w:type="character" w:styleId="IntenseEmphasis">
    <w:name w:val="Intense Emphasis"/>
    <w:basedOn w:val="DefaultParagraphFont"/>
    <w:uiPriority w:val="21"/>
    <w:qFormat/>
    <w:rsid w:val="00E615BC"/>
    <w:rPr>
      <w:i/>
      <w:iCs/>
      <w:color w:val="0F4761" w:themeColor="accent1" w:themeShade="BF"/>
    </w:rPr>
  </w:style>
  <w:style w:type="paragraph" w:styleId="IntenseQuote">
    <w:name w:val="Intense Quote"/>
    <w:basedOn w:val="Normal"/>
    <w:next w:val="Normal"/>
    <w:link w:val="IntenseQuoteChar"/>
    <w:uiPriority w:val="30"/>
    <w:qFormat/>
    <w:rsid w:val="00E61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5BC"/>
    <w:rPr>
      <w:i/>
      <w:iCs/>
      <w:color w:val="0F4761" w:themeColor="accent1" w:themeShade="BF"/>
    </w:rPr>
  </w:style>
  <w:style w:type="character" w:styleId="IntenseReference">
    <w:name w:val="Intense Reference"/>
    <w:basedOn w:val="DefaultParagraphFont"/>
    <w:uiPriority w:val="32"/>
    <w:qFormat/>
    <w:rsid w:val="00E61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323211">
      <w:bodyDiv w:val="1"/>
      <w:marLeft w:val="0"/>
      <w:marRight w:val="0"/>
      <w:marTop w:val="0"/>
      <w:marBottom w:val="0"/>
      <w:divBdr>
        <w:top w:val="none" w:sz="0" w:space="0" w:color="auto"/>
        <w:left w:val="none" w:sz="0" w:space="0" w:color="auto"/>
        <w:bottom w:val="none" w:sz="0" w:space="0" w:color="auto"/>
        <w:right w:val="none" w:sz="0" w:space="0" w:color="auto"/>
      </w:divBdr>
      <w:divsChild>
        <w:div w:id="1096747794">
          <w:marLeft w:val="0"/>
          <w:marRight w:val="0"/>
          <w:marTop w:val="0"/>
          <w:marBottom w:val="0"/>
          <w:divBdr>
            <w:top w:val="none" w:sz="0" w:space="0" w:color="auto"/>
            <w:left w:val="none" w:sz="0" w:space="0" w:color="auto"/>
            <w:bottom w:val="none" w:sz="0" w:space="0" w:color="auto"/>
            <w:right w:val="none" w:sz="0" w:space="0" w:color="auto"/>
          </w:divBdr>
        </w:div>
        <w:div w:id="861164291">
          <w:marLeft w:val="0"/>
          <w:marRight w:val="0"/>
          <w:marTop w:val="0"/>
          <w:marBottom w:val="0"/>
          <w:divBdr>
            <w:top w:val="none" w:sz="0" w:space="0" w:color="auto"/>
            <w:left w:val="none" w:sz="0" w:space="0" w:color="auto"/>
            <w:bottom w:val="none" w:sz="0" w:space="0" w:color="auto"/>
            <w:right w:val="none" w:sz="0" w:space="0" w:color="auto"/>
          </w:divBdr>
        </w:div>
        <w:div w:id="114491786">
          <w:marLeft w:val="0"/>
          <w:marRight w:val="0"/>
          <w:marTop w:val="0"/>
          <w:marBottom w:val="0"/>
          <w:divBdr>
            <w:top w:val="none" w:sz="0" w:space="0" w:color="auto"/>
            <w:left w:val="none" w:sz="0" w:space="0" w:color="auto"/>
            <w:bottom w:val="none" w:sz="0" w:space="0" w:color="auto"/>
            <w:right w:val="none" w:sz="0" w:space="0" w:color="auto"/>
          </w:divBdr>
        </w:div>
        <w:div w:id="334766376">
          <w:marLeft w:val="0"/>
          <w:marRight w:val="0"/>
          <w:marTop w:val="0"/>
          <w:marBottom w:val="0"/>
          <w:divBdr>
            <w:top w:val="none" w:sz="0" w:space="0" w:color="auto"/>
            <w:left w:val="none" w:sz="0" w:space="0" w:color="auto"/>
            <w:bottom w:val="none" w:sz="0" w:space="0" w:color="auto"/>
            <w:right w:val="none" w:sz="0" w:space="0" w:color="auto"/>
          </w:divBdr>
        </w:div>
        <w:div w:id="139927843">
          <w:marLeft w:val="0"/>
          <w:marRight w:val="0"/>
          <w:marTop w:val="0"/>
          <w:marBottom w:val="0"/>
          <w:divBdr>
            <w:top w:val="none" w:sz="0" w:space="0" w:color="auto"/>
            <w:left w:val="none" w:sz="0" w:space="0" w:color="auto"/>
            <w:bottom w:val="none" w:sz="0" w:space="0" w:color="auto"/>
            <w:right w:val="none" w:sz="0" w:space="0" w:color="auto"/>
          </w:divBdr>
        </w:div>
        <w:div w:id="1170176866">
          <w:marLeft w:val="0"/>
          <w:marRight w:val="0"/>
          <w:marTop w:val="0"/>
          <w:marBottom w:val="0"/>
          <w:divBdr>
            <w:top w:val="none" w:sz="0" w:space="0" w:color="auto"/>
            <w:left w:val="none" w:sz="0" w:space="0" w:color="auto"/>
            <w:bottom w:val="none" w:sz="0" w:space="0" w:color="auto"/>
            <w:right w:val="none" w:sz="0" w:space="0" w:color="auto"/>
          </w:divBdr>
        </w:div>
        <w:div w:id="402991069">
          <w:marLeft w:val="0"/>
          <w:marRight w:val="0"/>
          <w:marTop w:val="0"/>
          <w:marBottom w:val="0"/>
          <w:divBdr>
            <w:top w:val="none" w:sz="0" w:space="0" w:color="auto"/>
            <w:left w:val="none" w:sz="0" w:space="0" w:color="auto"/>
            <w:bottom w:val="none" w:sz="0" w:space="0" w:color="auto"/>
            <w:right w:val="none" w:sz="0" w:space="0" w:color="auto"/>
          </w:divBdr>
        </w:div>
      </w:divsChild>
    </w:div>
    <w:div w:id="1987975899">
      <w:bodyDiv w:val="1"/>
      <w:marLeft w:val="0"/>
      <w:marRight w:val="0"/>
      <w:marTop w:val="0"/>
      <w:marBottom w:val="0"/>
      <w:divBdr>
        <w:top w:val="none" w:sz="0" w:space="0" w:color="auto"/>
        <w:left w:val="none" w:sz="0" w:space="0" w:color="auto"/>
        <w:bottom w:val="none" w:sz="0" w:space="0" w:color="auto"/>
        <w:right w:val="none" w:sz="0" w:space="0" w:color="auto"/>
      </w:divBdr>
      <w:divsChild>
        <w:div w:id="1315378892">
          <w:marLeft w:val="0"/>
          <w:marRight w:val="0"/>
          <w:marTop w:val="0"/>
          <w:marBottom w:val="0"/>
          <w:divBdr>
            <w:top w:val="none" w:sz="0" w:space="0" w:color="auto"/>
            <w:left w:val="none" w:sz="0" w:space="0" w:color="auto"/>
            <w:bottom w:val="none" w:sz="0" w:space="0" w:color="auto"/>
            <w:right w:val="none" w:sz="0" w:space="0" w:color="auto"/>
          </w:divBdr>
        </w:div>
        <w:div w:id="831482719">
          <w:marLeft w:val="0"/>
          <w:marRight w:val="0"/>
          <w:marTop w:val="0"/>
          <w:marBottom w:val="0"/>
          <w:divBdr>
            <w:top w:val="none" w:sz="0" w:space="0" w:color="auto"/>
            <w:left w:val="none" w:sz="0" w:space="0" w:color="auto"/>
            <w:bottom w:val="none" w:sz="0" w:space="0" w:color="auto"/>
            <w:right w:val="none" w:sz="0" w:space="0" w:color="auto"/>
          </w:divBdr>
        </w:div>
        <w:div w:id="629169639">
          <w:marLeft w:val="0"/>
          <w:marRight w:val="0"/>
          <w:marTop w:val="0"/>
          <w:marBottom w:val="0"/>
          <w:divBdr>
            <w:top w:val="none" w:sz="0" w:space="0" w:color="auto"/>
            <w:left w:val="none" w:sz="0" w:space="0" w:color="auto"/>
            <w:bottom w:val="none" w:sz="0" w:space="0" w:color="auto"/>
            <w:right w:val="none" w:sz="0" w:space="0" w:color="auto"/>
          </w:divBdr>
        </w:div>
        <w:div w:id="860239383">
          <w:marLeft w:val="0"/>
          <w:marRight w:val="0"/>
          <w:marTop w:val="0"/>
          <w:marBottom w:val="0"/>
          <w:divBdr>
            <w:top w:val="none" w:sz="0" w:space="0" w:color="auto"/>
            <w:left w:val="none" w:sz="0" w:space="0" w:color="auto"/>
            <w:bottom w:val="none" w:sz="0" w:space="0" w:color="auto"/>
            <w:right w:val="none" w:sz="0" w:space="0" w:color="auto"/>
          </w:divBdr>
        </w:div>
        <w:div w:id="458844240">
          <w:marLeft w:val="0"/>
          <w:marRight w:val="0"/>
          <w:marTop w:val="0"/>
          <w:marBottom w:val="0"/>
          <w:divBdr>
            <w:top w:val="none" w:sz="0" w:space="0" w:color="auto"/>
            <w:left w:val="none" w:sz="0" w:space="0" w:color="auto"/>
            <w:bottom w:val="none" w:sz="0" w:space="0" w:color="auto"/>
            <w:right w:val="none" w:sz="0" w:space="0" w:color="auto"/>
          </w:divBdr>
        </w:div>
        <w:div w:id="1347057138">
          <w:marLeft w:val="0"/>
          <w:marRight w:val="0"/>
          <w:marTop w:val="0"/>
          <w:marBottom w:val="0"/>
          <w:divBdr>
            <w:top w:val="none" w:sz="0" w:space="0" w:color="auto"/>
            <w:left w:val="none" w:sz="0" w:space="0" w:color="auto"/>
            <w:bottom w:val="none" w:sz="0" w:space="0" w:color="auto"/>
            <w:right w:val="none" w:sz="0" w:space="0" w:color="auto"/>
          </w:divBdr>
        </w:div>
        <w:div w:id="132508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scanon\AppData\Local\Temp\Templafy\WordVsto\ka03ob5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Word Blank","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3D05A4D3-D02B-487D-B853-9DFE75376B2A}">
  <ds:schemaRefs/>
</ds:datastoreItem>
</file>

<file path=customXml/itemProps2.xml><?xml version="1.0" encoding="utf-8"?>
<ds:datastoreItem xmlns:ds="http://schemas.openxmlformats.org/officeDocument/2006/customXml" ds:itemID="{2ADC7A1C-4E43-468D-A430-C8CC05634F38}">
  <ds:schemaRefs/>
</ds:datastoreItem>
</file>

<file path=docProps/app.xml><?xml version="1.0" encoding="utf-8"?>
<Properties xmlns="http://schemas.openxmlformats.org/officeDocument/2006/extended-properties" xmlns:vt="http://schemas.openxmlformats.org/officeDocument/2006/docPropsVTypes">
  <Template>ka03ob5e.dotx</Template>
  <TotalTime>21</TotalTime>
  <Pages>2</Pages>
  <Words>647</Words>
  <Characters>3689</Characters>
  <Application>Microsoft Office Word</Application>
  <DocSecurity>0</DocSecurity>
  <Lines>30</Lines>
  <Paragraphs>8</Paragraphs>
  <ScaleCrop>false</ScaleCrop>
  <Company>Penn Medicine</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Lescano</dc:creator>
  <cp:keywords/>
  <dc:description/>
  <cp:lastModifiedBy>Lescano, Nicolas A</cp:lastModifiedBy>
  <cp:revision>7</cp:revision>
  <dcterms:created xsi:type="dcterms:W3CDTF">2025-09-09T19:09:00Z</dcterms:created>
  <dcterms:modified xsi:type="dcterms:W3CDTF">2025-09-09T19:30:00Z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pennmedicine</vt:lpwstr>
  </property>
  <property fmtid="{D5CDD505-2E9C-101B-9397-08002B2CF9AE}" pid="3" name="TemplafyTemplateId">
    <vt:lpwstr>1001012883652608912</vt:lpwstr>
  </property>
  <property fmtid="{D5CDD505-2E9C-101B-9397-08002B2CF9AE}" pid="4" name="TemplafyUserProfileId">
    <vt:lpwstr>1108669838095548421</vt:lpwstr>
  </property>
  <property fmtid="{D5CDD505-2E9C-101B-9397-08002B2CF9AE}" pid="5" name="TemplafyFromBlank">
    <vt:bool>true</vt:bool>
  </property>
</Properties>
</file>