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 Unicode MS" w:hAnsi="Arial Unicode MS" w:eastAsia="Arial Unicode MS"/>
          <w:b/>
          <w:color w:val="118847"/>
          <w:sz w:val="56"/>
        </w:rPr>
        <w:t>基层风险精准防控</w:t>
      </w:r>
    </w:p>
    <w:p>
      <w:pPr>
        <w:jc w:val="center"/>
      </w:pPr>
      <w:r>
        <w:rPr>
          <w:rFonts w:ascii="Arial Unicode MS" w:hAnsi="Arial Unicode MS" w:eastAsia="Arial Unicode MS"/>
          <w:b/>
          <w:color w:val="075B33"/>
          <w:sz w:val="40"/>
        </w:rPr>
        <w:t>体系建设与实战课程</w:t>
      </w:r>
    </w:p>
    <w:p>
      <w:pPr>
        <w:jc w:val="center"/>
      </w:pPr>
      <w:r>
        <w:rPr>
          <w:rFonts w:ascii="Arial Unicode MS" w:hAnsi="Arial Unicode MS" w:eastAsia="Arial Unicode MS"/>
          <w:i/>
          <w:color w:val="4F6B58"/>
          <w:sz w:val="28"/>
        </w:rPr>
        <w:t>让安全从靠人盯，变成体系自己运转</w:t>
      </w:r>
    </w:p>
    <w:p>
      <w:pPr>
        <w:jc w:val="center"/>
      </w:pPr>
      <w:r>
        <w:rPr>
          <w:rFonts w:ascii="Arial Unicode MS" w:hAnsi="Arial Unicode MS" w:eastAsia="Arial Unicode MS"/>
          <w:sz w:val="22"/>
        </w:rPr>
        <w:t>讲师：曹猛  |  1天  |  面授 + 互动工作坊</w:t>
      </w:r>
    </w:p>
    <w:p>
      <w:pPr>
        <w:pStyle w:val="Heading1"/>
      </w:pPr>
      <w:r>
        <w:rPr>
          <w:rFonts w:ascii="Arial Unicode MS" w:hAnsi="Arial Unicode MS" w:eastAsia="Arial Unicode MS"/>
        </w:rPr>
        <w:t>一、课程定位</w:t>
      </w:r>
    </w:p>
    <w:p>
      <w:pPr>
        <w:spacing w:after="120"/>
      </w:pPr>
      <w:r>
        <w:rPr>
          <w:rFonts w:ascii="Arial Unicode MS" w:hAnsi="Arial Unicode MS" w:eastAsia="Arial Unicode MS"/>
        </w:rPr>
        <w:t>基层人员在一线直接对抗事故风险，但很多管理动作并不是基层自己决定的，而是由系统的策划者和管理者设计出来的。如果这些动作复杂、冗余、偏离现场风险防控逻辑，就会让基层更难做对，也会浪费企业的时间成本和金钱成本。因此，企业需要做基层风险精准防控：把管理力量打到真正影响事故风险的断点上。
这不是一门干巴巴讲 PPT 的安全培训，而是一场围绕基层风险问题展开的方案共创课。课程围绕“权利、意愿、能力、提醒”四个关键断点，将知识点转化为课堂练习，将练习转化为可带回现场继续完善的初步方案。</w:t>
      </w:r>
    </w:p>
    <w:p>
      <w:pPr>
        <w:spacing w:after="120"/>
      </w:pPr>
      <w:r>
        <w:rPr>
          <w:rFonts w:ascii="Arial Unicode MS" w:hAnsi="Arial Unicode MS" w:eastAsia="Arial Unicode MS"/>
        </w:rPr>
        <w:t>课程不是在给基层员工提要求，而是在给管理者提要求。基层员工直接对抗现场风险，但决定员工是否敢说、愿做、会做、持续做的，往往是管理者设计出来的系统条件。</w:t>
      </w:r>
    </w:p>
    <w:p>
      <w:pPr>
        <w:spacing w:after="120"/>
      </w:pPr>
      <w:r>
        <w:rPr>
          <w:rFonts w:ascii="Arial Unicode MS" w:hAnsi="Arial Unicode MS" w:eastAsia="Arial Unicode MS"/>
        </w:rPr>
        <w:t>核心理念：管理者的管理行为，永远无法直接改变员工，但可以从自身出发，去影响员工；管理，是激发和释放每个人的善意与潜能，而非单纯操控或控制员工行为。</w:t>
      </w:r>
    </w:p>
    <w:p>
      <w:pPr>
        <w:pStyle w:val="Heading1"/>
      </w:pPr>
      <w:r>
        <w:rPr>
          <w:rFonts w:ascii="Arial Unicode MS" w:hAnsi="Arial Unicode MS" w:eastAsia="Arial Unicode MS"/>
        </w:rPr>
        <w:t>二、客户痛点与课程回应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vAlign w:val="center"/>
            <w:shd w:fill="118847"/>
          </w:tcPr>
          <w:p>
            <w:pPr>
              <w:spacing w:after="60"/>
            </w:pPr>
            <w:r>
              <w:rPr>
                <w:rFonts w:ascii="Arial Unicode MS" w:hAnsi="Arial Unicode MS" w:eastAsia="Arial Unicode MS"/>
              </w:rPr>
            </w:r>
            <w:r>
              <w:rPr>
                <w:rFonts w:ascii="Arial Unicode MS" w:hAnsi="Arial Unicode MS" w:eastAsia="Arial Unicode MS"/>
                <w:b/>
                <w:color w:val="FFFFFF"/>
                <w:sz w:val="19"/>
              </w:rPr>
              <w:t>客户常见痛点</w:t>
            </w:r>
          </w:p>
        </w:tc>
        <w:tc>
          <w:tcPr>
            <w:tcW w:type="dxa" w:w="4896"/>
            <w:vAlign w:val="center"/>
            <w:shd w:fill="118847"/>
          </w:tcPr>
          <w:p>
            <w:pPr>
              <w:spacing w:after="60"/>
            </w:pPr>
            <w:r>
              <w:rPr>
                <w:rFonts w:ascii="Arial Unicode MS" w:hAnsi="Arial Unicode MS" w:eastAsia="Arial Unicode MS"/>
              </w:rPr>
            </w:r>
            <w:r>
              <w:rPr>
                <w:rFonts w:ascii="Arial Unicode MS" w:hAnsi="Arial Unicode MS" w:eastAsia="Arial Unicode MS"/>
                <w:b/>
                <w:color w:val="FFFFFF"/>
                <w:sz w:val="19"/>
              </w:rPr>
              <w:t>课程回应</w:t>
            </w:r>
          </w:p>
        </w:tc>
      </w:tr>
      <w:tr>
        <w:tc>
          <w:tcPr>
            <w:tcW w:type="dxa" w:w="4896"/>
            <w:vAlign w:val="center"/>
          </w:tcPr>
          <w:p>
            <w:pPr>
              <w:spacing w:after="60"/>
            </w:pPr>
            <w:r>
              <w:rPr>
                <w:rFonts w:ascii="Arial Unicode MS" w:hAnsi="Arial Unicode MS" w:eastAsia="Arial Unicode MS"/>
              </w:rPr>
            </w:r>
            <w:r>
              <w:rPr>
                <w:rFonts w:ascii="Arial Unicode MS" w:hAnsi="Arial Unicode MS" w:eastAsia="Arial Unicode MS"/>
                <w:b/>
                <w:sz w:val="19"/>
              </w:rPr>
              <w:t>员工发现隐患不敢说</w:t>
            </w:r>
          </w:p>
        </w:tc>
        <w:tc>
          <w:tcPr>
            <w:tcW w:type="dxa" w:w="4896"/>
            <w:vAlign w:val="center"/>
          </w:tcPr>
          <w:p>
            <w:pPr>
              <w:spacing w:after="60"/>
            </w:pPr>
            <w:r>
              <w:rPr>
                <w:rFonts w:ascii="Arial Unicode MS" w:hAnsi="Arial Unicode MS" w:eastAsia="Arial Unicode MS"/>
              </w:rPr>
            </w:r>
            <w:r>
              <w:rPr>
                <w:rFonts w:ascii="Arial Unicode MS" w:hAnsi="Arial Unicode MS" w:eastAsia="Arial Unicode MS"/>
                <w:b w:val="0"/>
                <w:sz w:val="19"/>
              </w:rPr>
              <w:t>通过权利篇设计心理安全边界，让风险敢于浮出水面。</w:t>
            </w:r>
          </w:p>
        </w:tc>
      </w:tr>
      <w:tr>
        <w:tc>
          <w:tcPr>
            <w:tcW w:type="dxa" w:w="4896"/>
            <w:vAlign w:val="center"/>
          </w:tcPr>
          <w:p>
            <w:pPr>
              <w:spacing w:after="60"/>
            </w:pPr>
            <w:r>
              <w:rPr>
                <w:rFonts w:ascii="Arial Unicode MS" w:hAnsi="Arial Unicode MS" w:eastAsia="Arial Unicode MS"/>
              </w:rPr>
            </w:r>
            <w:r>
              <w:rPr>
                <w:rFonts w:ascii="Arial Unicode MS" w:hAnsi="Arial Unicode MS" w:eastAsia="Arial Unicode MS"/>
                <w:b/>
                <w:sz w:val="19"/>
              </w:rPr>
              <w:t>劳务队、外协人员不配合</w:t>
            </w:r>
          </w:p>
        </w:tc>
        <w:tc>
          <w:tcPr>
            <w:tcW w:type="dxa" w:w="4896"/>
            <w:vAlign w:val="center"/>
          </w:tcPr>
          <w:p>
            <w:pPr>
              <w:spacing w:after="60"/>
            </w:pPr>
            <w:r>
              <w:rPr>
                <w:rFonts w:ascii="Arial Unicode MS" w:hAnsi="Arial Unicode MS" w:eastAsia="Arial Unicode MS"/>
              </w:rPr>
            </w:r>
            <w:r>
              <w:rPr>
                <w:rFonts w:ascii="Arial Unicode MS" w:hAnsi="Arial Unicode MS" w:eastAsia="Arial Unicode MS"/>
                <w:b w:val="0"/>
                <w:sz w:val="19"/>
              </w:rPr>
              <w:t>通过意愿篇重构贡献者身份，设计贡献回流和正向激励。</w:t>
            </w:r>
          </w:p>
        </w:tc>
      </w:tr>
      <w:tr>
        <w:tc>
          <w:tcPr>
            <w:tcW w:type="dxa" w:w="4896"/>
            <w:vAlign w:val="center"/>
          </w:tcPr>
          <w:p>
            <w:pPr>
              <w:spacing w:after="60"/>
            </w:pPr>
            <w:r>
              <w:rPr>
                <w:rFonts w:ascii="Arial Unicode MS" w:hAnsi="Arial Unicode MS" w:eastAsia="Arial Unicode MS"/>
              </w:rPr>
            </w:r>
            <w:r>
              <w:rPr>
                <w:rFonts w:ascii="Arial Unicode MS" w:hAnsi="Arial Unicode MS" w:eastAsia="Arial Unicode MS"/>
                <w:b/>
                <w:sz w:val="19"/>
              </w:rPr>
              <w:t>培训讲了很多，现场还是不会做</w:t>
            </w:r>
          </w:p>
        </w:tc>
        <w:tc>
          <w:tcPr>
            <w:tcW w:type="dxa" w:w="4896"/>
            <w:vAlign w:val="center"/>
          </w:tcPr>
          <w:p>
            <w:pPr>
              <w:spacing w:after="60"/>
            </w:pPr>
            <w:r>
              <w:rPr>
                <w:rFonts w:ascii="Arial Unicode MS" w:hAnsi="Arial Unicode MS" w:eastAsia="Arial Unicode MS"/>
              </w:rPr>
            </w:r>
            <w:r>
              <w:rPr>
                <w:rFonts w:ascii="Arial Unicode MS" w:hAnsi="Arial Unicode MS" w:eastAsia="Arial Unicode MS"/>
                <w:b w:val="0"/>
                <w:sz w:val="19"/>
              </w:rPr>
              <w:t>通过能力篇把标准翻译成现场语言，降低基层能力门槛。</w:t>
            </w:r>
          </w:p>
        </w:tc>
      </w:tr>
      <w:tr>
        <w:tc>
          <w:tcPr>
            <w:tcW w:type="dxa" w:w="4896"/>
            <w:vAlign w:val="center"/>
          </w:tcPr>
          <w:p>
            <w:pPr>
              <w:spacing w:after="60"/>
            </w:pPr>
            <w:r>
              <w:rPr>
                <w:rFonts w:ascii="Arial Unicode MS" w:hAnsi="Arial Unicode MS" w:eastAsia="Arial Unicode MS"/>
              </w:rPr>
            </w:r>
            <w:r>
              <w:rPr>
                <w:rFonts w:ascii="Arial Unicode MS" w:hAnsi="Arial Unicode MS" w:eastAsia="Arial Unicode MS"/>
                <w:b/>
                <w:sz w:val="19"/>
              </w:rPr>
              <w:t>责任制签了字，日常履职没有动作</w:t>
            </w:r>
          </w:p>
        </w:tc>
        <w:tc>
          <w:tcPr>
            <w:tcW w:type="dxa" w:w="4896"/>
            <w:vAlign w:val="center"/>
          </w:tcPr>
          <w:p>
            <w:pPr>
              <w:spacing w:after="60"/>
            </w:pPr>
            <w:r>
              <w:rPr>
                <w:rFonts w:ascii="Arial Unicode MS" w:hAnsi="Arial Unicode MS" w:eastAsia="Arial Unicode MS"/>
              </w:rPr>
            </w:r>
            <w:r>
              <w:rPr>
                <w:rFonts w:ascii="Arial Unicode MS" w:hAnsi="Arial Unicode MS" w:eastAsia="Arial Unicode MS"/>
                <w:b w:val="0"/>
                <w:sz w:val="19"/>
              </w:rPr>
              <w:t>通过提醒篇把责任制转成履职清单、管理计划和持续提醒。</w:t>
            </w:r>
          </w:p>
        </w:tc>
      </w:tr>
      <w:tr>
        <w:tc>
          <w:tcPr>
            <w:tcW w:type="dxa" w:w="4896"/>
            <w:vAlign w:val="center"/>
          </w:tcPr>
          <w:p>
            <w:pPr>
              <w:spacing w:after="60"/>
            </w:pPr>
            <w:r>
              <w:rPr>
                <w:rFonts w:ascii="Arial Unicode MS" w:hAnsi="Arial Unicode MS" w:eastAsia="Arial Unicode MS"/>
              </w:rPr>
            </w:r>
            <w:r>
              <w:rPr>
                <w:rFonts w:ascii="Arial Unicode MS" w:hAnsi="Arial Unicode MS" w:eastAsia="Arial Unicode MS"/>
                <w:b/>
                <w:sz w:val="19"/>
              </w:rPr>
              <w:t>安全部门忙着救火，业务部门参与不足</w:t>
            </w:r>
          </w:p>
        </w:tc>
        <w:tc>
          <w:tcPr>
            <w:tcW w:type="dxa" w:w="4896"/>
            <w:vAlign w:val="center"/>
          </w:tcPr>
          <w:p>
            <w:pPr>
              <w:spacing w:after="60"/>
            </w:pPr>
            <w:r>
              <w:rPr>
                <w:rFonts w:ascii="Arial Unicode MS" w:hAnsi="Arial Unicode MS" w:eastAsia="Arial Unicode MS"/>
              </w:rPr>
            </w:r>
            <w:r>
              <w:rPr>
                <w:rFonts w:ascii="Arial Unicode MS" w:hAnsi="Arial Unicode MS" w:eastAsia="Arial Unicode MS"/>
                <w:b w:val="0"/>
                <w:sz w:val="19"/>
              </w:rPr>
              <w:t>让管理者学会从业务节点设计安全动作，让体系自己推动。</w:t>
            </w:r>
          </w:p>
        </w:tc>
      </w:tr>
    </w:tbl>
    <w:p/>
    <w:p>
      <w:pPr>
        <w:pStyle w:val="Heading1"/>
      </w:pPr>
      <w:r>
        <w:rPr>
          <w:rFonts w:ascii="Arial Unicode MS" w:hAnsi="Arial Unicode MS" w:eastAsia="Arial Unicode MS"/>
        </w:rPr>
        <w:t>三、课程核心逻辑</w:t>
      </w:r>
    </w:p>
    <w:p>
      <w:pPr>
        <w:spacing w:after="120"/>
      </w:pPr>
      <w:r>
        <w:rPr>
          <w:rFonts w:ascii="Arial Unicode MS" w:hAnsi="Arial Unicode MS" w:eastAsia="Arial Unicode MS"/>
        </w:rPr>
        <w:t>有效基层风险防控 = 权利 × 意愿 × 能力 × 提醒</w:t>
      </w:r>
    </w:p>
    <w:p>
      <w:pPr>
        <w:spacing w:after="120"/>
      </w:pPr>
      <w:r>
        <w:rPr>
          <w:rFonts w:ascii="Arial Unicode MS" w:hAnsi="Arial Unicode MS" w:eastAsia="Arial Unicode MS"/>
        </w:rPr>
        <w:t>四要素是乘法关系：任何一个要素为零，基层风险防控都会中断。给了员工权利但没有意愿，他不会持续；有意愿但没有能力，他做不出来；有能力但没有提醒，好行为会在忙碌中断线。</w:t>
      </w:r>
    </w:p>
    <w:p>
      <w:pPr>
        <w:pStyle w:val="Heading1"/>
      </w:pPr>
      <w:r>
        <w:rPr>
          <w:rFonts w:ascii="Arial Unicode MS" w:hAnsi="Arial Unicode MS" w:eastAsia="Arial Unicode MS"/>
        </w:rPr>
        <w:t>四、教学设计主线：知识点不是终点，方案产出才是终点</w:t>
      </w:r>
    </w:p>
    <w:p>
      <w:pPr>
        <w:pStyle w:val="ListBullet"/>
        <w:spacing w:after="80"/>
      </w:pPr>
      <w:r>
        <w:rPr>
          <w:rFonts w:ascii="Arial Unicode MS" w:hAnsi="Arial Unicode MS" w:eastAsia="Arial Unicode MS"/>
        </w:rPr>
        <w:t>讲一个关键知识点：先让学员理解为什么这个问题存在。</w:t>
      </w:r>
    </w:p>
    <w:p>
      <w:pPr>
        <w:pStyle w:val="ListBullet"/>
        <w:spacing w:after="80"/>
      </w:pPr>
      <w:r>
        <w:rPr>
          <w:rFonts w:ascii="Arial Unicode MS" w:hAnsi="Arial Unicode MS" w:eastAsia="Arial Unicode MS"/>
        </w:rPr>
        <w:t>给一个真实场景：优先使用客户本单位提前收集的问题。</w:t>
      </w:r>
    </w:p>
    <w:p>
      <w:pPr>
        <w:pStyle w:val="ListBullet"/>
        <w:spacing w:after="80"/>
      </w:pPr>
      <w:r>
        <w:rPr>
          <w:rFonts w:ascii="Arial Unicode MS" w:hAnsi="Arial Unicode MS" w:eastAsia="Arial Unicode MS"/>
        </w:rPr>
        <w:t>做一次小组练习：通过讨论、判断、改写、策划让学员参与。</w:t>
      </w:r>
    </w:p>
    <w:p>
      <w:pPr>
        <w:pStyle w:val="ListBullet"/>
        <w:spacing w:after="80"/>
      </w:pPr>
      <w:r>
        <w:rPr>
          <w:rFonts w:ascii="Arial Unicode MS" w:hAnsi="Arial Unicode MS" w:eastAsia="Arial Unicode MS"/>
        </w:rPr>
        <w:t>讲师点评澄清：把分散观点收束成可复用的方法。</w:t>
      </w:r>
    </w:p>
    <w:p>
      <w:pPr>
        <w:pStyle w:val="ListBullet"/>
        <w:spacing w:after="80"/>
      </w:pPr>
      <w:r>
        <w:rPr>
          <w:rFonts w:ascii="Arial Unicode MS" w:hAnsi="Arial Unicode MS" w:eastAsia="Arial Unicode MS"/>
        </w:rPr>
        <w:t>沉淀一个方案雏形：形成清单、卡片、工具包、提醒地图或行动承诺。</w:t>
      </w:r>
    </w:p>
    <w:p>
      <w:pPr>
        <w:pStyle w:val="ListBullet"/>
        <w:spacing w:after="80"/>
      </w:pPr>
      <w:r>
        <w:rPr>
          <w:rFonts w:ascii="Arial Unicode MS" w:hAnsi="Arial Unicode MS" w:eastAsia="Arial Unicode MS"/>
        </w:rPr>
        <w:t>带回现场继续应用：让课后行动有方向、有抓手、有监督。</w:t>
      </w:r>
    </w:p>
    <w:p>
      <w:pPr>
        <w:pStyle w:val="Heading1"/>
      </w:pPr>
      <w:r>
        <w:rPr>
          <w:rFonts w:ascii="Arial Unicode MS" w:hAnsi="Arial Unicode MS" w:eastAsia="Arial Unicode MS"/>
        </w:rPr>
        <w:t>五、1天版课程结构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632"/>
        <w:gridCol w:w="1632"/>
        <w:gridCol w:w="1632"/>
        <w:gridCol w:w="1632"/>
        <w:gridCol w:w="1632"/>
        <w:gridCol w:w="1632"/>
      </w:tblGrid>
      <w:tr>
        <w:tc>
          <w:tcPr>
            <w:tcW w:type="dxa" w:w="1632"/>
            <w:vAlign w:val="center"/>
            <w:shd w:fill="118847"/>
          </w:tcPr>
          <w:p>
            <w:pPr>
              <w:spacing w:after="60"/>
            </w:pPr>
            <w:r>
              <w:rPr>
                <w:rFonts w:ascii="Arial Unicode MS" w:hAnsi="Arial Unicode MS" w:eastAsia="Arial Unicode MS"/>
              </w:rPr>
            </w:r>
            <w:r>
              <w:rPr>
                <w:rFonts w:ascii="Arial Unicode MS" w:hAnsi="Arial Unicode MS" w:eastAsia="Arial Unicode MS"/>
                <w:b/>
                <w:color w:val="FFFFFF"/>
                <w:sz w:val="19"/>
              </w:rPr>
              <w:t>篇章</w:t>
            </w:r>
          </w:p>
        </w:tc>
        <w:tc>
          <w:tcPr>
            <w:tcW w:type="dxa" w:w="1632"/>
            <w:vAlign w:val="center"/>
            <w:shd w:fill="118847"/>
          </w:tcPr>
          <w:p>
            <w:pPr>
              <w:spacing w:after="60"/>
            </w:pPr>
            <w:r>
              <w:rPr>
                <w:rFonts w:ascii="Arial Unicode MS" w:hAnsi="Arial Unicode MS" w:eastAsia="Arial Unicode MS"/>
              </w:rPr>
            </w:r>
            <w:r>
              <w:rPr>
                <w:rFonts w:ascii="Arial Unicode MS" w:hAnsi="Arial Unicode MS" w:eastAsia="Arial Unicode MS"/>
                <w:b/>
                <w:color w:val="FFFFFF"/>
                <w:sz w:val="19"/>
              </w:rPr>
              <w:t>主题</w:t>
            </w:r>
          </w:p>
        </w:tc>
        <w:tc>
          <w:tcPr>
            <w:tcW w:type="dxa" w:w="1632"/>
            <w:vAlign w:val="center"/>
            <w:shd w:fill="118847"/>
          </w:tcPr>
          <w:p>
            <w:pPr>
              <w:spacing w:after="60"/>
            </w:pPr>
            <w:r>
              <w:rPr>
                <w:rFonts w:ascii="Arial Unicode MS" w:hAnsi="Arial Unicode MS" w:eastAsia="Arial Unicode MS"/>
              </w:rPr>
            </w:r>
            <w:r>
              <w:rPr>
                <w:rFonts w:ascii="Arial Unicode MS" w:hAnsi="Arial Unicode MS" w:eastAsia="Arial Unicode MS"/>
                <w:b/>
                <w:color w:val="FFFFFF"/>
                <w:sz w:val="19"/>
              </w:rPr>
              <w:t>存在意义</w:t>
            </w:r>
          </w:p>
        </w:tc>
        <w:tc>
          <w:tcPr>
            <w:tcW w:type="dxa" w:w="1632"/>
            <w:vAlign w:val="center"/>
            <w:shd w:fill="118847"/>
          </w:tcPr>
          <w:p>
            <w:pPr>
              <w:spacing w:after="60"/>
            </w:pPr>
            <w:r>
              <w:rPr>
                <w:rFonts w:ascii="Arial Unicode MS" w:hAnsi="Arial Unicode MS" w:eastAsia="Arial Unicode MS"/>
              </w:rPr>
            </w:r>
            <w:r>
              <w:rPr>
                <w:rFonts w:ascii="Arial Unicode MS" w:hAnsi="Arial Unicode MS" w:eastAsia="Arial Unicode MS"/>
                <w:b/>
                <w:color w:val="FFFFFF"/>
                <w:sz w:val="19"/>
              </w:rPr>
              <w:t>关键知识点</w:t>
            </w:r>
          </w:p>
        </w:tc>
        <w:tc>
          <w:tcPr>
            <w:tcW w:type="dxa" w:w="1632"/>
            <w:vAlign w:val="center"/>
            <w:shd w:fill="118847"/>
          </w:tcPr>
          <w:p>
            <w:pPr>
              <w:spacing w:after="60"/>
            </w:pPr>
            <w:r>
              <w:rPr>
                <w:rFonts w:ascii="Arial Unicode MS" w:hAnsi="Arial Unicode MS" w:eastAsia="Arial Unicode MS"/>
              </w:rPr>
            </w:r>
            <w:r>
              <w:rPr>
                <w:rFonts w:ascii="Arial Unicode MS" w:hAnsi="Arial Unicode MS" w:eastAsia="Arial Unicode MS"/>
                <w:b/>
                <w:color w:val="FFFFFF"/>
                <w:sz w:val="19"/>
              </w:rPr>
              <w:t>教学活动</w:t>
            </w:r>
          </w:p>
        </w:tc>
        <w:tc>
          <w:tcPr>
            <w:tcW w:type="dxa" w:w="1632"/>
            <w:vAlign w:val="center"/>
            <w:shd w:fill="118847"/>
          </w:tcPr>
          <w:p>
            <w:pPr>
              <w:spacing w:after="60"/>
            </w:pPr>
            <w:r>
              <w:rPr>
                <w:rFonts w:ascii="Arial Unicode MS" w:hAnsi="Arial Unicode MS" w:eastAsia="Arial Unicode MS"/>
              </w:rPr>
            </w:r>
            <w:r>
              <w:rPr>
                <w:rFonts w:ascii="Arial Unicode MS" w:hAnsi="Arial Unicode MS" w:eastAsia="Arial Unicode MS"/>
                <w:b/>
                <w:color w:val="FFFFFF"/>
                <w:sz w:val="19"/>
              </w:rPr>
              <w:t>课堂产出</w:t>
            </w:r>
          </w:p>
        </w:tc>
      </w:tr>
      <w:tr>
        <w:tc>
          <w:tcPr>
            <w:tcW w:type="dxa" w:w="1632"/>
            <w:vAlign w:val="center"/>
          </w:tcPr>
          <w:p>
            <w:pPr>
              <w:spacing w:after="60"/>
            </w:pPr>
            <w:r>
              <w:rPr>
                <w:rFonts w:ascii="Arial Unicode MS" w:hAnsi="Arial Unicode MS" w:eastAsia="Arial Unicode MS"/>
              </w:rPr>
            </w:r>
            <w:r>
              <w:rPr>
                <w:rFonts w:ascii="Arial Unicode MS" w:hAnsi="Arial Unicode MS" w:eastAsia="Arial Unicode MS"/>
                <w:b/>
                <w:sz w:val="19"/>
              </w:rPr>
              <w:t>课程导入</w:t>
            </w:r>
          </w:p>
        </w:tc>
        <w:tc>
          <w:tcPr>
            <w:tcW w:type="dxa" w:w="1632"/>
            <w:vAlign w:val="center"/>
          </w:tcPr>
          <w:p>
            <w:pPr>
              <w:spacing w:after="60"/>
            </w:pPr>
            <w:r>
              <w:rPr>
                <w:rFonts w:ascii="Arial Unicode MS" w:hAnsi="Arial Unicode MS" w:eastAsia="Arial Unicode MS"/>
              </w:rPr>
            </w:r>
            <w:r>
              <w:rPr>
                <w:rFonts w:ascii="Arial Unicode MS" w:hAnsi="Arial Unicode MS" w:eastAsia="Arial Unicode MS"/>
                <w:b/>
                <w:sz w:val="19"/>
              </w:rPr>
              <w:t>建立课程价值</w:t>
            </w:r>
          </w:p>
        </w:tc>
        <w:tc>
          <w:tcPr>
            <w:tcW w:type="dxa" w:w="1632"/>
            <w:vAlign w:val="center"/>
          </w:tcPr>
          <w:p>
            <w:pPr>
              <w:spacing w:after="60"/>
            </w:pPr>
            <w:r>
              <w:rPr>
                <w:rFonts w:ascii="Arial Unicode MS" w:hAnsi="Arial Unicode MS" w:eastAsia="Arial Unicode MS"/>
              </w:rPr>
            </w:r>
            <w:r>
              <w:rPr>
                <w:rFonts w:ascii="Arial Unicode MS" w:hAnsi="Arial Unicode MS" w:eastAsia="Arial Unicode MS"/>
                <w:b w:val="0"/>
                <w:sz w:val="19"/>
              </w:rPr>
              <w:t>让学员理解基层是事故链条最后一环，精准防控不是多做，而是把力量打到行为断点上。</w:t>
            </w:r>
          </w:p>
        </w:tc>
        <w:tc>
          <w:tcPr>
            <w:tcW w:type="dxa" w:w="1632"/>
            <w:vAlign w:val="center"/>
          </w:tcPr>
          <w:p>
            <w:pPr>
              <w:spacing w:after="60"/>
            </w:pPr>
            <w:r>
              <w:rPr>
                <w:rFonts w:ascii="Arial Unicode MS" w:hAnsi="Arial Unicode MS" w:eastAsia="Arial Unicode MS"/>
              </w:rPr>
            </w:r>
            <w:r>
              <w:rPr>
                <w:rFonts w:ascii="Arial Unicode MS" w:hAnsi="Arial Unicode MS" w:eastAsia="Arial Unicode MS"/>
                <w:b w:val="0"/>
                <w:sz w:val="19"/>
              </w:rPr>
              <w:t>基层最后一环、精准管理、课程收益、四要素总框架</w:t>
            </w:r>
          </w:p>
        </w:tc>
        <w:tc>
          <w:tcPr>
            <w:tcW w:type="dxa" w:w="1632"/>
            <w:vAlign w:val="center"/>
          </w:tcPr>
          <w:p>
            <w:pPr>
              <w:spacing w:after="60"/>
            </w:pPr>
            <w:r>
              <w:rPr>
                <w:rFonts w:ascii="Arial Unicode MS" w:hAnsi="Arial Unicode MS" w:eastAsia="Arial Unicode MS"/>
              </w:rPr>
            </w:r>
            <w:r>
              <w:rPr>
                <w:rFonts w:ascii="Arial Unicode MS" w:hAnsi="Arial Unicode MS" w:eastAsia="Arial Unicode MS"/>
                <w:b w:val="0"/>
                <w:sz w:val="19"/>
              </w:rPr>
              <w:t>开场破冰、分组积分、扫码投票、现场异议回应</w:t>
            </w:r>
          </w:p>
        </w:tc>
        <w:tc>
          <w:tcPr>
            <w:tcW w:type="dxa" w:w="1632"/>
            <w:vAlign w:val="center"/>
          </w:tcPr>
          <w:p>
            <w:pPr>
              <w:spacing w:after="60"/>
            </w:pPr>
            <w:r>
              <w:rPr>
                <w:rFonts w:ascii="Arial Unicode MS" w:hAnsi="Arial Unicode MS" w:eastAsia="Arial Unicode MS"/>
              </w:rPr>
            </w:r>
            <w:r>
              <w:rPr>
                <w:rFonts w:ascii="Arial Unicode MS" w:hAnsi="Arial Unicode MS" w:eastAsia="Arial Unicode MS"/>
                <w:b w:val="0"/>
                <w:sz w:val="19"/>
              </w:rPr>
              <w:t>课程地图、学习期待</w:t>
            </w:r>
          </w:p>
        </w:tc>
      </w:tr>
      <w:tr>
        <w:tc>
          <w:tcPr>
            <w:tcW w:type="dxa" w:w="1632"/>
            <w:vAlign w:val="center"/>
          </w:tcPr>
          <w:p>
            <w:pPr>
              <w:spacing w:after="60"/>
            </w:pPr>
            <w:r>
              <w:rPr>
                <w:rFonts w:ascii="Arial Unicode MS" w:hAnsi="Arial Unicode MS" w:eastAsia="Arial Unicode MS"/>
              </w:rPr>
            </w:r>
            <w:r>
              <w:rPr>
                <w:rFonts w:ascii="Arial Unicode MS" w:hAnsi="Arial Unicode MS" w:eastAsia="Arial Unicode MS"/>
                <w:b/>
                <w:sz w:val="19"/>
              </w:rPr>
              <w:t>结构篇</w:t>
            </w:r>
          </w:p>
        </w:tc>
        <w:tc>
          <w:tcPr>
            <w:tcW w:type="dxa" w:w="1632"/>
            <w:vAlign w:val="center"/>
          </w:tcPr>
          <w:p>
            <w:pPr>
              <w:spacing w:after="60"/>
            </w:pPr>
            <w:r>
              <w:rPr>
                <w:rFonts w:ascii="Arial Unicode MS" w:hAnsi="Arial Unicode MS" w:eastAsia="Arial Unicode MS"/>
              </w:rPr>
            </w:r>
            <w:r>
              <w:rPr>
                <w:rFonts w:ascii="Arial Unicode MS" w:hAnsi="Arial Unicode MS" w:eastAsia="Arial Unicode MS"/>
                <w:b/>
                <w:sz w:val="19"/>
              </w:rPr>
              <w:t>先会诊断断点</w:t>
            </w:r>
          </w:p>
        </w:tc>
        <w:tc>
          <w:tcPr>
            <w:tcW w:type="dxa" w:w="1632"/>
            <w:vAlign w:val="center"/>
          </w:tcPr>
          <w:p>
            <w:pPr>
              <w:spacing w:after="60"/>
            </w:pPr>
            <w:r>
              <w:rPr>
                <w:rFonts w:ascii="Arial Unicode MS" w:hAnsi="Arial Unicode MS" w:eastAsia="Arial Unicode MS"/>
              </w:rPr>
            </w:r>
            <w:r>
              <w:rPr>
                <w:rFonts w:ascii="Arial Unicode MS" w:hAnsi="Arial Unicode MS" w:eastAsia="Arial Unicode MS"/>
                <w:b w:val="0"/>
                <w:sz w:val="19"/>
              </w:rPr>
              <w:t>把真实问题放入“权利、意愿、能力、提醒”框架，判断好行为为什么没有发生。</w:t>
            </w:r>
          </w:p>
        </w:tc>
        <w:tc>
          <w:tcPr>
            <w:tcW w:type="dxa" w:w="1632"/>
            <w:vAlign w:val="center"/>
          </w:tcPr>
          <w:p>
            <w:pPr>
              <w:spacing w:after="60"/>
            </w:pPr>
            <w:r>
              <w:rPr>
                <w:rFonts w:ascii="Arial Unicode MS" w:hAnsi="Arial Unicode MS" w:eastAsia="Arial Unicode MS"/>
              </w:rPr>
            </w:r>
            <w:r>
              <w:rPr>
                <w:rFonts w:ascii="Arial Unicode MS" w:hAnsi="Arial Unicode MS" w:eastAsia="Arial Unicode MS"/>
                <w:b w:val="0"/>
                <w:sz w:val="19"/>
              </w:rPr>
              <w:t>四断点诊断、主断点/辅助断点、复合问题判断</w:t>
            </w:r>
          </w:p>
        </w:tc>
        <w:tc>
          <w:tcPr>
            <w:tcW w:type="dxa" w:w="1632"/>
            <w:vAlign w:val="center"/>
          </w:tcPr>
          <w:p>
            <w:pPr>
              <w:spacing w:after="60"/>
            </w:pPr>
            <w:r>
              <w:rPr>
                <w:rFonts w:ascii="Arial Unicode MS" w:hAnsi="Arial Unicode MS" w:eastAsia="Arial Unicode MS"/>
              </w:rPr>
            </w:r>
            <w:r>
              <w:rPr>
                <w:rFonts w:ascii="Arial Unicode MS" w:hAnsi="Arial Unicode MS" w:eastAsia="Arial Unicode MS"/>
                <w:b w:val="0"/>
                <w:sz w:val="19"/>
              </w:rPr>
              <w:t>真实问题四要素分诊、小组讨论、扫码小测、积分统计</w:t>
            </w:r>
          </w:p>
        </w:tc>
        <w:tc>
          <w:tcPr>
            <w:tcW w:type="dxa" w:w="1632"/>
            <w:vAlign w:val="center"/>
          </w:tcPr>
          <w:p>
            <w:pPr>
              <w:spacing w:after="60"/>
            </w:pPr>
            <w:r>
              <w:rPr>
                <w:rFonts w:ascii="Arial Unicode MS" w:hAnsi="Arial Unicode MS" w:eastAsia="Arial Unicode MS"/>
              </w:rPr>
            </w:r>
            <w:r>
              <w:rPr>
                <w:rFonts w:ascii="Arial Unicode MS" w:hAnsi="Arial Unicode MS" w:eastAsia="Arial Unicode MS"/>
                <w:b w:val="0"/>
                <w:sz w:val="19"/>
              </w:rPr>
              <w:t>四要素诊断记录</w:t>
            </w:r>
          </w:p>
        </w:tc>
      </w:tr>
      <w:tr>
        <w:tc>
          <w:tcPr>
            <w:tcW w:type="dxa" w:w="1632"/>
            <w:vAlign w:val="center"/>
          </w:tcPr>
          <w:p>
            <w:pPr>
              <w:spacing w:after="60"/>
            </w:pPr>
            <w:r>
              <w:rPr>
                <w:rFonts w:ascii="Arial Unicode MS" w:hAnsi="Arial Unicode MS" w:eastAsia="Arial Unicode MS"/>
              </w:rPr>
            </w:r>
            <w:r>
              <w:rPr>
                <w:rFonts w:ascii="Arial Unicode MS" w:hAnsi="Arial Unicode MS" w:eastAsia="Arial Unicode MS"/>
                <w:b/>
                <w:sz w:val="19"/>
              </w:rPr>
              <w:t>权利篇</w:t>
            </w:r>
          </w:p>
        </w:tc>
        <w:tc>
          <w:tcPr>
            <w:tcW w:type="dxa" w:w="1632"/>
            <w:vAlign w:val="center"/>
          </w:tcPr>
          <w:p>
            <w:pPr>
              <w:spacing w:after="60"/>
            </w:pPr>
            <w:r>
              <w:rPr>
                <w:rFonts w:ascii="Arial Unicode MS" w:hAnsi="Arial Unicode MS" w:eastAsia="Arial Unicode MS"/>
              </w:rPr>
            </w:r>
            <w:r>
              <w:rPr>
                <w:rFonts w:ascii="Arial Unicode MS" w:hAnsi="Arial Unicode MS" w:eastAsia="Arial Unicode MS"/>
                <w:b/>
                <w:sz w:val="19"/>
              </w:rPr>
              <w:t>让风险敢于浮出水面</w:t>
            </w:r>
          </w:p>
        </w:tc>
        <w:tc>
          <w:tcPr>
            <w:tcW w:type="dxa" w:w="1632"/>
            <w:vAlign w:val="center"/>
          </w:tcPr>
          <w:p>
            <w:pPr>
              <w:spacing w:after="60"/>
            </w:pPr>
            <w:r>
              <w:rPr>
                <w:rFonts w:ascii="Arial Unicode MS" w:hAnsi="Arial Unicode MS" w:eastAsia="Arial Unicode MS"/>
              </w:rPr>
            </w:r>
            <w:r>
              <w:rPr>
                <w:rFonts w:ascii="Arial Unicode MS" w:hAnsi="Arial Unicode MS" w:eastAsia="Arial Unicode MS"/>
                <w:b w:val="0"/>
                <w:sz w:val="19"/>
              </w:rPr>
              <w:t>员工不敢说，不是天生沉默，而是组织反馈训练出的沉默；管理者要接住风险信息。</w:t>
            </w:r>
          </w:p>
        </w:tc>
        <w:tc>
          <w:tcPr>
            <w:tcW w:type="dxa" w:w="1632"/>
            <w:vAlign w:val="center"/>
          </w:tcPr>
          <w:p>
            <w:pPr>
              <w:spacing w:after="60"/>
            </w:pPr>
            <w:r>
              <w:rPr>
                <w:rFonts w:ascii="Arial Unicode MS" w:hAnsi="Arial Unicode MS" w:eastAsia="Arial Unicode MS"/>
              </w:rPr>
            </w:r>
            <w:r>
              <w:rPr>
                <w:rFonts w:ascii="Arial Unicode MS" w:hAnsi="Arial Unicode MS" w:eastAsia="Arial Unicode MS"/>
                <w:b w:val="0"/>
                <w:sz w:val="19"/>
              </w:rPr>
              <w:t>员工五怕、HOP系统视角、员工三不罚、管理者三罚、公开承诺</w:t>
            </w:r>
          </w:p>
        </w:tc>
        <w:tc>
          <w:tcPr>
            <w:tcW w:type="dxa" w:w="1632"/>
            <w:vAlign w:val="center"/>
          </w:tcPr>
          <w:p>
            <w:pPr>
              <w:spacing w:after="60"/>
            </w:pPr>
            <w:r>
              <w:rPr>
                <w:rFonts w:ascii="Arial Unicode MS" w:hAnsi="Arial Unicode MS" w:eastAsia="Arial Unicode MS"/>
              </w:rPr>
            </w:r>
            <w:r>
              <w:rPr>
                <w:rFonts w:ascii="Arial Unicode MS" w:hAnsi="Arial Unicode MS" w:eastAsia="Arial Unicode MS"/>
                <w:b w:val="0"/>
                <w:sz w:val="19"/>
              </w:rPr>
              <w:t>员工不报原因讨论、追责/看系统抢答、HOPE小测、坏话术改写、三不罚边界判断</w:t>
            </w:r>
          </w:p>
        </w:tc>
        <w:tc>
          <w:tcPr>
            <w:tcW w:type="dxa" w:w="1632"/>
            <w:vAlign w:val="center"/>
          </w:tcPr>
          <w:p>
            <w:pPr>
              <w:spacing w:after="60"/>
            </w:pPr>
            <w:r>
              <w:rPr>
                <w:rFonts w:ascii="Arial Unicode MS" w:hAnsi="Arial Unicode MS" w:eastAsia="Arial Unicode MS"/>
              </w:rPr>
            </w:r>
            <w:r>
              <w:rPr>
                <w:rFonts w:ascii="Arial Unicode MS" w:hAnsi="Arial Unicode MS" w:eastAsia="Arial Unicode MS"/>
                <w:b w:val="0"/>
                <w:sz w:val="19"/>
              </w:rPr>
              <w:t>权利与心理安全机制清单、管理者回应话术、公开承诺草案</w:t>
            </w:r>
          </w:p>
        </w:tc>
      </w:tr>
      <w:tr>
        <w:tc>
          <w:tcPr>
            <w:tcW w:type="dxa" w:w="1632"/>
            <w:vAlign w:val="center"/>
          </w:tcPr>
          <w:p>
            <w:pPr>
              <w:spacing w:after="60"/>
            </w:pPr>
            <w:r>
              <w:rPr>
                <w:rFonts w:ascii="Arial Unicode MS" w:hAnsi="Arial Unicode MS" w:eastAsia="Arial Unicode MS"/>
              </w:rPr>
            </w:r>
            <w:r>
              <w:rPr>
                <w:rFonts w:ascii="Arial Unicode MS" w:hAnsi="Arial Unicode MS" w:eastAsia="Arial Unicode MS"/>
                <w:b/>
                <w:sz w:val="19"/>
              </w:rPr>
              <w:t>意愿篇</w:t>
            </w:r>
          </w:p>
        </w:tc>
        <w:tc>
          <w:tcPr>
            <w:tcW w:type="dxa" w:w="1632"/>
            <w:vAlign w:val="center"/>
          </w:tcPr>
          <w:p>
            <w:pPr>
              <w:spacing w:after="60"/>
            </w:pPr>
            <w:r>
              <w:rPr>
                <w:rFonts w:ascii="Arial Unicode MS" w:hAnsi="Arial Unicode MS" w:eastAsia="Arial Unicode MS"/>
              </w:rPr>
            </w:r>
            <w:r>
              <w:rPr>
                <w:rFonts w:ascii="Arial Unicode MS" w:hAnsi="Arial Unicode MS" w:eastAsia="Arial Unicode MS"/>
                <w:b/>
                <w:sz w:val="19"/>
              </w:rPr>
              <w:t>让员工愿意持续贡献</w:t>
            </w:r>
          </w:p>
        </w:tc>
        <w:tc>
          <w:tcPr>
            <w:tcW w:type="dxa" w:w="1632"/>
            <w:vAlign w:val="center"/>
          </w:tcPr>
          <w:p>
            <w:pPr>
              <w:spacing w:after="60"/>
            </w:pPr>
            <w:r>
              <w:rPr>
                <w:rFonts w:ascii="Arial Unicode MS" w:hAnsi="Arial Unicode MS" w:eastAsia="Arial Unicode MS"/>
              </w:rPr>
            </w:r>
            <w:r>
              <w:rPr>
                <w:rFonts w:ascii="Arial Unicode MS" w:hAnsi="Arial Unicode MS" w:eastAsia="Arial Unicode MS"/>
                <w:b w:val="0"/>
                <w:sz w:val="19"/>
              </w:rPr>
              <w:t>让员工从“被管理对象”变成风险暴露者、事故阻断者和系统补漏者。</w:t>
            </w:r>
          </w:p>
        </w:tc>
        <w:tc>
          <w:tcPr>
            <w:tcW w:type="dxa" w:w="1632"/>
            <w:vAlign w:val="center"/>
          </w:tcPr>
          <w:p>
            <w:pPr>
              <w:spacing w:after="60"/>
            </w:pPr>
            <w:r>
              <w:rPr>
                <w:rFonts w:ascii="Arial Unicode MS" w:hAnsi="Arial Unicode MS" w:eastAsia="Arial Unicode MS"/>
              </w:rPr>
            </w:r>
            <w:r>
              <w:rPr>
                <w:rFonts w:ascii="Arial Unicode MS" w:hAnsi="Arial Unicode MS" w:eastAsia="Arial Unicode MS"/>
                <w:b w:val="0"/>
                <w:sz w:val="19"/>
              </w:rPr>
              <w:t>贡献者身份、贡献回流、被看见/被认可/被成就、有效路径与最短路径、堵疏结合</w:t>
            </w:r>
          </w:p>
        </w:tc>
        <w:tc>
          <w:tcPr>
            <w:tcW w:type="dxa" w:w="1632"/>
            <w:vAlign w:val="center"/>
          </w:tcPr>
          <w:p>
            <w:pPr>
              <w:spacing w:after="60"/>
            </w:pPr>
            <w:r>
              <w:rPr>
                <w:rFonts w:ascii="Arial Unicode MS" w:hAnsi="Arial Unicode MS" w:eastAsia="Arial Unicode MS"/>
              </w:rPr>
            </w:r>
            <w:r>
              <w:rPr>
                <w:rFonts w:ascii="Arial Unicode MS" w:hAnsi="Arial Unicode MS" w:eastAsia="Arial Unicode MS"/>
                <w:b w:val="0"/>
                <w:sz w:val="19"/>
              </w:rPr>
              <w:t>贡献机制策划、老员工经验转标杆、劳务工认同感方案、员工找茬大赛、管理设计bug共创</w:t>
            </w:r>
          </w:p>
        </w:tc>
        <w:tc>
          <w:tcPr>
            <w:tcW w:type="dxa" w:w="1632"/>
            <w:vAlign w:val="center"/>
          </w:tcPr>
          <w:p>
            <w:pPr>
              <w:spacing w:after="60"/>
            </w:pPr>
            <w:r>
              <w:rPr>
                <w:rFonts w:ascii="Arial Unicode MS" w:hAnsi="Arial Unicode MS" w:eastAsia="Arial Unicode MS"/>
              </w:rPr>
            </w:r>
            <w:r>
              <w:rPr>
                <w:rFonts w:ascii="Arial Unicode MS" w:hAnsi="Arial Unicode MS" w:eastAsia="Arial Unicode MS"/>
                <w:b w:val="0"/>
                <w:sz w:val="19"/>
              </w:rPr>
              <w:t>贡献榜机制、正确行为减负方案、堵疏结合替代方案</w:t>
            </w:r>
          </w:p>
        </w:tc>
      </w:tr>
      <w:tr>
        <w:tc>
          <w:tcPr>
            <w:tcW w:type="dxa" w:w="1632"/>
            <w:vAlign w:val="center"/>
          </w:tcPr>
          <w:p>
            <w:pPr>
              <w:spacing w:after="60"/>
            </w:pPr>
            <w:r>
              <w:rPr>
                <w:rFonts w:ascii="Arial Unicode MS" w:hAnsi="Arial Unicode MS" w:eastAsia="Arial Unicode MS"/>
              </w:rPr>
            </w:r>
            <w:r>
              <w:rPr>
                <w:rFonts w:ascii="Arial Unicode MS" w:hAnsi="Arial Unicode MS" w:eastAsia="Arial Unicode MS"/>
                <w:b/>
                <w:sz w:val="19"/>
              </w:rPr>
              <w:t>能力篇</w:t>
            </w:r>
          </w:p>
        </w:tc>
        <w:tc>
          <w:tcPr>
            <w:tcW w:type="dxa" w:w="1632"/>
            <w:vAlign w:val="center"/>
          </w:tcPr>
          <w:p>
            <w:pPr>
              <w:spacing w:after="60"/>
            </w:pPr>
            <w:r>
              <w:rPr>
                <w:rFonts w:ascii="Arial Unicode MS" w:hAnsi="Arial Unicode MS" w:eastAsia="Arial Unicode MS"/>
              </w:rPr>
            </w:r>
            <w:r>
              <w:rPr>
                <w:rFonts w:ascii="Arial Unicode MS" w:hAnsi="Arial Unicode MS" w:eastAsia="Arial Unicode MS"/>
                <w:b/>
                <w:sz w:val="19"/>
              </w:rPr>
              <w:t>让员工现场会做</w:t>
            </w:r>
          </w:p>
        </w:tc>
        <w:tc>
          <w:tcPr>
            <w:tcW w:type="dxa" w:w="1632"/>
            <w:vAlign w:val="center"/>
          </w:tcPr>
          <w:p>
            <w:pPr>
              <w:spacing w:after="60"/>
            </w:pPr>
            <w:r>
              <w:rPr>
                <w:rFonts w:ascii="Arial Unicode MS" w:hAnsi="Arial Unicode MS" w:eastAsia="Arial Unicode MS"/>
              </w:rPr>
            </w:r>
            <w:r>
              <w:rPr>
                <w:rFonts w:ascii="Arial Unicode MS" w:hAnsi="Arial Unicode MS" w:eastAsia="Arial Unicode MS"/>
                <w:b w:val="0"/>
                <w:sz w:val="19"/>
              </w:rPr>
              <w:t>员工不需要成为安全专家，管理者要把复杂标准翻译成基层语言，降低能力门槛。</w:t>
            </w:r>
          </w:p>
        </w:tc>
        <w:tc>
          <w:tcPr>
            <w:tcW w:type="dxa" w:w="1632"/>
            <w:vAlign w:val="center"/>
          </w:tcPr>
          <w:p>
            <w:pPr>
              <w:spacing w:after="60"/>
            </w:pPr>
            <w:r>
              <w:rPr>
                <w:rFonts w:ascii="Arial Unicode MS" w:hAnsi="Arial Unicode MS" w:eastAsia="Arial Unicode MS"/>
              </w:rPr>
            </w:r>
            <w:r>
              <w:rPr>
                <w:rFonts w:ascii="Arial Unicode MS" w:hAnsi="Arial Unicode MS" w:eastAsia="Arial Unicode MS"/>
                <w:b w:val="0"/>
                <w:sz w:val="19"/>
              </w:rPr>
              <w:t>危害能量、失控节点、致害节点、六道防线、图示化/可视化/现场化、教三练四、AI辅助</w:t>
            </w:r>
          </w:p>
        </w:tc>
        <w:tc>
          <w:tcPr>
            <w:tcW w:type="dxa" w:w="1632"/>
            <w:vAlign w:val="center"/>
          </w:tcPr>
          <w:p>
            <w:pPr>
              <w:spacing w:after="60"/>
            </w:pPr>
            <w:r>
              <w:rPr>
                <w:rFonts w:ascii="Arial Unicode MS" w:hAnsi="Arial Unicode MS" w:eastAsia="Arial Unicode MS"/>
              </w:rPr>
            </w:r>
            <w:r>
              <w:rPr>
                <w:rFonts w:ascii="Arial Unicode MS" w:hAnsi="Arial Unicode MS" w:eastAsia="Arial Unicode MS"/>
                <w:b w:val="0"/>
                <w:sz w:val="19"/>
              </w:rPr>
              <w:t>风险链条拆解、六道防线讨论、正误图/岗位应知卡设计、教三练四演练</w:t>
            </w:r>
          </w:p>
        </w:tc>
        <w:tc>
          <w:tcPr>
            <w:tcW w:type="dxa" w:w="1632"/>
            <w:vAlign w:val="center"/>
          </w:tcPr>
          <w:p>
            <w:pPr>
              <w:spacing w:after="60"/>
            </w:pPr>
            <w:r>
              <w:rPr>
                <w:rFonts w:ascii="Arial Unicode MS" w:hAnsi="Arial Unicode MS" w:eastAsia="Arial Unicode MS"/>
              </w:rPr>
            </w:r>
            <w:r>
              <w:rPr>
                <w:rFonts w:ascii="Arial Unicode MS" w:hAnsi="Arial Unicode MS" w:eastAsia="Arial Unicode MS"/>
                <w:b w:val="0"/>
                <w:sz w:val="19"/>
              </w:rPr>
              <w:t>岗位风险能力工具包、现场培训脚本、图示化标准样稿</w:t>
            </w:r>
          </w:p>
        </w:tc>
      </w:tr>
      <w:tr>
        <w:tc>
          <w:tcPr>
            <w:tcW w:type="dxa" w:w="1632"/>
            <w:vAlign w:val="center"/>
          </w:tcPr>
          <w:p>
            <w:pPr>
              <w:spacing w:after="60"/>
            </w:pPr>
            <w:r>
              <w:rPr>
                <w:rFonts w:ascii="Arial Unicode MS" w:hAnsi="Arial Unicode MS" w:eastAsia="Arial Unicode MS"/>
              </w:rPr>
            </w:r>
            <w:r>
              <w:rPr>
                <w:rFonts w:ascii="Arial Unicode MS" w:hAnsi="Arial Unicode MS" w:eastAsia="Arial Unicode MS"/>
                <w:b/>
                <w:sz w:val="19"/>
              </w:rPr>
              <w:t>提醒篇</w:t>
            </w:r>
          </w:p>
        </w:tc>
        <w:tc>
          <w:tcPr>
            <w:tcW w:type="dxa" w:w="1632"/>
            <w:vAlign w:val="center"/>
          </w:tcPr>
          <w:p>
            <w:pPr>
              <w:spacing w:after="60"/>
            </w:pPr>
            <w:r>
              <w:rPr>
                <w:rFonts w:ascii="Arial Unicode MS" w:hAnsi="Arial Unicode MS" w:eastAsia="Arial Unicode MS"/>
              </w:rPr>
            </w:r>
            <w:r>
              <w:rPr>
                <w:rFonts w:ascii="Arial Unicode MS" w:hAnsi="Arial Unicode MS" w:eastAsia="Arial Unicode MS"/>
                <w:b/>
                <w:sz w:val="19"/>
              </w:rPr>
              <w:t>让体系持续推动</w:t>
            </w:r>
          </w:p>
        </w:tc>
        <w:tc>
          <w:tcPr>
            <w:tcW w:type="dxa" w:w="1632"/>
            <w:vAlign w:val="center"/>
          </w:tcPr>
          <w:p>
            <w:pPr>
              <w:spacing w:after="60"/>
            </w:pPr>
            <w:r>
              <w:rPr>
                <w:rFonts w:ascii="Arial Unicode MS" w:hAnsi="Arial Unicode MS" w:eastAsia="Arial Unicode MS"/>
              </w:rPr>
            </w:r>
            <w:r>
              <w:rPr>
                <w:rFonts w:ascii="Arial Unicode MS" w:hAnsi="Arial Unicode MS" w:eastAsia="Arial Unicode MS"/>
                <w:b w:val="0"/>
                <w:sz w:val="19"/>
              </w:rPr>
              <w:t>提醒不是贴标语，而是把责任制变成业务节点上的履职动作、管理计划和系统提醒。</w:t>
            </w:r>
          </w:p>
        </w:tc>
        <w:tc>
          <w:tcPr>
            <w:tcW w:type="dxa" w:w="1632"/>
            <w:vAlign w:val="center"/>
          </w:tcPr>
          <w:p>
            <w:pPr>
              <w:spacing w:after="60"/>
            </w:pPr>
            <w:r>
              <w:rPr>
                <w:rFonts w:ascii="Arial Unicode MS" w:hAnsi="Arial Unicode MS" w:eastAsia="Arial Unicode MS"/>
              </w:rPr>
            </w:r>
            <w:r>
              <w:rPr>
                <w:rFonts w:ascii="Arial Unicode MS" w:hAnsi="Arial Unicode MS" w:eastAsia="Arial Unicode MS"/>
                <w:b w:val="0"/>
                <w:sz w:val="19"/>
              </w:rPr>
              <w:t>安全职责拆解、责任清单/履职清单/考核清单、四类管理动作、AI辅助提醒</w:t>
            </w:r>
          </w:p>
        </w:tc>
        <w:tc>
          <w:tcPr>
            <w:tcW w:type="dxa" w:w="1632"/>
            <w:vAlign w:val="center"/>
          </w:tcPr>
          <w:p>
            <w:pPr>
              <w:spacing w:after="60"/>
            </w:pPr>
            <w:r>
              <w:rPr>
                <w:rFonts w:ascii="Arial Unicode MS" w:hAnsi="Arial Unicode MS" w:eastAsia="Arial Unicode MS"/>
              </w:rPr>
            </w:r>
            <w:r>
              <w:rPr>
                <w:rFonts w:ascii="Arial Unicode MS" w:hAnsi="Arial Unicode MS" w:eastAsia="Arial Unicode MS"/>
                <w:b w:val="0"/>
                <w:sz w:val="19"/>
              </w:rPr>
              <w:t>责任制清单转化、业务节点提醒地图、管理计划设计、AI提醒规则设计</w:t>
            </w:r>
          </w:p>
        </w:tc>
        <w:tc>
          <w:tcPr>
            <w:tcW w:type="dxa" w:w="1632"/>
            <w:vAlign w:val="center"/>
          </w:tcPr>
          <w:p>
            <w:pPr>
              <w:spacing w:after="60"/>
            </w:pPr>
            <w:r>
              <w:rPr>
                <w:rFonts w:ascii="Arial Unicode MS" w:hAnsi="Arial Unicode MS" w:eastAsia="Arial Unicode MS"/>
              </w:rPr>
            </w:r>
            <w:r>
              <w:rPr>
                <w:rFonts w:ascii="Arial Unicode MS" w:hAnsi="Arial Unicode MS" w:eastAsia="Arial Unicode MS"/>
                <w:b w:val="0"/>
                <w:sz w:val="19"/>
              </w:rPr>
              <w:t>履职清单、管理计划、提醒频次表、业务节点提醒地图</w:t>
            </w:r>
          </w:p>
        </w:tc>
      </w:tr>
      <w:tr>
        <w:tc>
          <w:tcPr>
            <w:tcW w:type="dxa" w:w="1632"/>
            <w:vAlign w:val="center"/>
          </w:tcPr>
          <w:p>
            <w:pPr>
              <w:spacing w:after="60"/>
            </w:pPr>
            <w:r>
              <w:rPr>
                <w:rFonts w:ascii="Arial Unicode MS" w:hAnsi="Arial Unicode MS" w:eastAsia="Arial Unicode MS"/>
              </w:rPr>
            </w:r>
            <w:r>
              <w:rPr>
                <w:rFonts w:ascii="Arial Unicode MS" w:hAnsi="Arial Unicode MS" w:eastAsia="Arial Unicode MS"/>
                <w:b/>
                <w:sz w:val="19"/>
              </w:rPr>
              <w:t>回顾总结</w:t>
            </w:r>
          </w:p>
        </w:tc>
        <w:tc>
          <w:tcPr>
            <w:tcW w:type="dxa" w:w="1632"/>
            <w:vAlign w:val="center"/>
          </w:tcPr>
          <w:p>
            <w:pPr>
              <w:spacing w:after="60"/>
            </w:pPr>
            <w:r>
              <w:rPr>
                <w:rFonts w:ascii="Arial Unicode MS" w:hAnsi="Arial Unicode MS" w:eastAsia="Arial Unicode MS"/>
              </w:rPr>
            </w:r>
            <w:r>
              <w:rPr>
                <w:rFonts w:ascii="Arial Unicode MS" w:hAnsi="Arial Unicode MS" w:eastAsia="Arial Unicode MS"/>
                <w:b/>
                <w:sz w:val="19"/>
              </w:rPr>
              <w:t>让学习转成行动</w:t>
            </w:r>
          </w:p>
        </w:tc>
        <w:tc>
          <w:tcPr>
            <w:tcW w:type="dxa" w:w="1632"/>
            <w:vAlign w:val="center"/>
          </w:tcPr>
          <w:p>
            <w:pPr>
              <w:spacing w:after="60"/>
            </w:pPr>
            <w:r>
              <w:rPr>
                <w:rFonts w:ascii="Arial Unicode MS" w:hAnsi="Arial Unicode MS" w:eastAsia="Arial Unicode MS"/>
              </w:rPr>
            </w:r>
            <w:r>
              <w:rPr>
                <w:rFonts w:ascii="Arial Unicode MS" w:hAnsi="Arial Unicode MS" w:eastAsia="Arial Unicode MS"/>
                <w:b w:val="0"/>
                <w:sz w:val="19"/>
              </w:rPr>
              <w:t>把全课知识收束成可复述、可承诺、可回现场推动的行动计划。</w:t>
            </w:r>
          </w:p>
        </w:tc>
        <w:tc>
          <w:tcPr>
            <w:tcW w:type="dxa" w:w="1632"/>
            <w:vAlign w:val="center"/>
          </w:tcPr>
          <w:p>
            <w:pPr>
              <w:spacing w:after="60"/>
            </w:pPr>
            <w:r>
              <w:rPr>
                <w:rFonts w:ascii="Arial Unicode MS" w:hAnsi="Arial Unicode MS" w:eastAsia="Arial Unicode MS"/>
              </w:rPr>
            </w:r>
            <w:r>
              <w:rPr>
                <w:rFonts w:ascii="Arial Unicode MS" w:hAnsi="Arial Unicode MS" w:eastAsia="Arial Unicode MS"/>
                <w:b w:val="0"/>
                <w:sz w:val="19"/>
              </w:rPr>
              <w:t>知识地图、管理者影响、知行合一、善意与潜能</w:t>
            </w:r>
          </w:p>
        </w:tc>
        <w:tc>
          <w:tcPr>
            <w:tcW w:type="dxa" w:w="1632"/>
            <w:vAlign w:val="center"/>
          </w:tcPr>
          <w:p>
            <w:pPr>
              <w:spacing w:after="60"/>
            </w:pPr>
            <w:r>
              <w:rPr>
                <w:rFonts w:ascii="Arial Unicode MS" w:hAnsi="Arial Unicode MS" w:eastAsia="Arial Unicode MS"/>
              </w:rPr>
            </w:r>
            <w:r>
              <w:rPr>
                <w:rFonts w:ascii="Arial Unicode MS" w:hAnsi="Arial Unicode MS" w:eastAsia="Arial Unicode MS"/>
                <w:b w:val="0"/>
                <w:sz w:val="19"/>
              </w:rPr>
              <w:t>知识点复盘、知行合一Flag、上台分享、监督人确认</w:t>
            </w:r>
          </w:p>
        </w:tc>
        <w:tc>
          <w:tcPr>
            <w:tcW w:type="dxa" w:w="1632"/>
            <w:vAlign w:val="center"/>
          </w:tcPr>
          <w:p>
            <w:pPr>
              <w:spacing w:after="60"/>
            </w:pPr>
            <w:r>
              <w:rPr>
                <w:rFonts w:ascii="Arial Unicode MS" w:hAnsi="Arial Unicode MS" w:eastAsia="Arial Unicode MS"/>
              </w:rPr>
            </w:r>
            <w:r>
              <w:rPr>
                <w:rFonts w:ascii="Arial Unicode MS" w:hAnsi="Arial Unicode MS" w:eastAsia="Arial Unicode MS"/>
                <w:b w:val="0"/>
                <w:sz w:val="19"/>
              </w:rPr>
              <w:t>个人行动承诺、岗位落地Flag</w:t>
            </w:r>
          </w:p>
        </w:tc>
      </w:tr>
    </w:tbl>
    <w:p>
      <w:pPr>
        <w:pStyle w:val="Heading1"/>
      </w:pPr>
      <w:r>
        <w:rPr>
          <w:rFonts w:ascii="Arial Unicode MS" w:hAnsi="Arial Unicode MS" w:eastAsia="Arial Unicode MS"/>
        </w:rPr>
        <w:t>六、代表性教学活动</w:t>
      </w:r>
    </w:p>
    <w:p>
      <w:pPr>
        <w:spacing w:after="120"/>
      </w:pPr>
      <w:r>
        <w:rPr>
          <w:rFonts w:ascii="Arial Unicode MS" w:hAnsi="Arial Unicode MS" w:eastAsia="Arial Unicode MS"/>
          <w:b/>
        </w:rPr>
        <w:t>真实问题四要素分诊：</w:t>
      </w:r>
      <w:r>
        <w:rPr>
          <w:rFonts w:ascii="Arial Unicode MS" w:hAnsi="Arial Unicode MS" w:eastAsia="Arial Unicode MS"/>
        </w:rPr>
        <w:t>把客户提前收集的问题放入权利、意愿、能力、提醒框架，训练管理者找到主断点和辅助断点。</w:t>
      </w:r>
    </w:p>
    <w:p>
      <w:pPr>
        <w:spacing w:after="120"/>
      </w:pPr>
      <w:r>
        <w:rPr>
          <w:rFonts w:ascii="Arial Unicode MS" w:hAnsi="Arial Unicode MS" w:eastAsia="Arial Unicode MS"/>
          <w:b/>
        </w:rPr>
        <w:t>追责人/看系统抢答：</w:t>
      </w:r>
      <w:r>
        <w:rPr>
          <w:rFonts w:ascii="Arial Unicode MS" w:hAnsi="Arial Unicode MS" w:eastAsia="Arial Unicode MS"/>
        </w:rPr>
        <w:t>通过具体管理场景判断第一反应是在追责员工，还是在优化系统。</w:t>
      </w:r>
    </w:p>
    <w:p>
      <w:pPr>
        <w:spacing w:after="120"/>
      </w:pPr>
      <w:r>
        <w:rPr>
          <w:rFonts w:ascii="Arial Unicode MS" w:hAnsi="Arial Unicode MS" w:eastAsia="Arial Unicode MS"/>
          <w:b/>
        </w:rPr>
        <w:t>坏话术改写练习：</w:t>
      </w:r>
      <w:r>
        <w:rPr>
          <w:rFonts w:ascii="Arial Unicode MS" w:hAnsi="Arial Unicode MS" w:eastAsia="Arial Unicode MS"/>
        </w:rPr>
        <w:t>把“你怎么现在才说”等追责话术，改写成能接住风险信息的系统式回应。</w:t>
      </w:r>
    </w:p>
    <w:p>
      <w:pPr>
        <w:spacing w:after="120"/>
      </w:pPr>
      <w:r>
        <w:rPr>
          <w:rFonts w:ascii="Arial Unicode MS" w:hAnsi="Arial Unicode MS" w:eastAsia="Arial Unicode MS"/>
          <w:b/>
        </w:rPr>
        <w:t>三不罚三罚边界判断：</w:t>
      </w:r>
      <w:r>
        <w:rPr>
          <w:rFonts w:ascii="Arial Unicode MS" w:hAnsi="Arial Unicode MS" w:eastAsia="Arial Unicode MS"/>
        </w:rPr>
        <w:t>明确哪些员工行为要保护，哪些管理者行为要处罚，避免心理安全变成无边界宽松。</w:t>
      </w:r>
    </w:p>
    <w:p>
      <w:pPr>
        <w:spacing w:after="120"/>
      </w:pPr>
      <w:r>
        <w:rPr>
          <w:rFonts w:ascii="Arial Unicode MS" w:hAnsi="Arial Unicode MS" w:eastAsia="Arial Unicode MS"/>
          <w:b/>
        </w:rPr>
        <w:t>员工找茬大赛：</w:t>
      </w:r>
      <w:r>
        <w:rPr>
          <w:rFonts w:ascii="Arial Unicode MS" w:hAnsi="Arial Unicode MS" w:eastAsia="Arial Unicode MS"/>
        </w:rPr>
        <w:t>让学员找出流程冗余、只堵不疏、替代路径不清等管理设计bug，再设计更愿意做的方案。</w:t>
      </w:r>
    </w:p>
    <w:p>
      <w:pPr>
        <w:spacing w:after="120"/>
      </w:pPr>
      <w:r>
        <w:rPr>
          <w:rFonts w:ascii="Arial Unicode MS" w:hAnsi="Arial Unicode MS" w:eastAsia="Arial Unicode MS"/>
          <w:b/>
        </w:rPr>
        <w:t>六道防线讨论：</w:t>
      </w:r>
      <w:r>
        <w:rPr>
          <w:rFonts w:ascii="Arial Unicode MS" w:hAnsi="Arial Unicode MS" w:eastAsia="Arial Unicode MS"/>
        </w:rPr>
        <w:t>围绕风险链条设置防线，让风险辨识和管控不只停留在文字表单。</w:t>
      </w:r>
    </w:p>
    <w:p>
      <w:pPr>
        <w:spacing w:after="120"/>
      </w:pPr>
      <w:r>
        <w:rPr>
          <w:rFonts w:ascii="Arial Unicode MS" w:hAnsi="Arial Unicode MS" w:eastAsia="Arial Unicode MS"/>
          <w:b/>
        </w:rPr>
        <w:t>教三练四现场训练法：</w:t>
      </w:r>
      <w:r>
        <w:rPr>
          <w:rFonts w:ascii="Arial Unicode MS" w:hAnsi="Arial Unicode MS" w:eastAsia="Arial Unicode MS"/>
        </w:rPr>
        <w:t>让班组长先教步骤、要点、理由，再让员工模仿、复述、说明理由，确保现场做得出。</w:t>
      </w:r>
    </w:p>
    <w:p>
      <w:pPr>
        <w:spacing w:after="120"/>
      </w:pPr>
      <w:r>
        <w:rPr>
          <w:rFonts w:ascii="Arial Unicode MS" w:hAnsi="Arial Unicode MS" w:eastAsia="Arial Unicode MS"/>
          <w:b/>
        </w:rPr>
        <w:t>知行合一Flag：</w:t>
      </w:r>
      <w:r>
        <w:rPr>
          <w:rFonts w:ascii="Arial Unicode MS" w:hAnsi="Arial Unicode MS" w:eastAsia="Arial Unicode MS"/>
        </w:rPr>
        <w:t>要求学员写下截止日期、目标、行动计划、奖惩和监督人，把学习转成岗位行动。</w:t>
      </w:r>
    </w:p>
    <w:p>
      <w:pPr>
        <w:pStyle w:val="Heading1"/>
      </w:pPr>
      <w:r>
        <w:rPr>
          <w:rFonts w:ascii="Arial Unicode MS" w:hAnsi="Arial Unicode MS" w:eastAsia="Arial Unicode MS"/>
        </w:rPr>
        <w:t>七、课程交付物</w:t>
      </w:r>
    </w:p>
    <w:p>
      <w:pPr>
        <w:pStyle w:val="ListBullet"/>
        <w:spacing w:after="80"/>
      </w:pPr>
      <w:r>
        <w:rPr>
          <w:rFonts w:ascii="Arial Unicode MS" w:hAnsi="Arial Unicode MS" w:eastAsia="Arial Unicode MS"/>
        </w:rPr>
        <w:t>四要素诊断记录：帮助管理者判断真实问题断在哪里。</w:t>
      </w:r>
    </w:p>
    <w:p>
      <w:pPr>
        <w:pStyle w:val="ListBullet"/>
        <w:spacing w:after="80"/>
      </w:pPr>
      <w:r>
        <w:rPr>
          <w:rFonts w:ascii="Arial Unicode MS" w:hAnsi="Arial Unicode MS" w:eastAsia="Arial Unicode MS"/>
        </w:rPr>
        <w:t>权利与心理安全机制清单：包括三不罚、三罚、公开承诺和管理者回应话术。</w:t>
      </w:r>
    </w:p>
    <w:p>
      <w:pPr>
        <w:pStyle w:val="ListBullet"/>
        <w:spacing w:after="80"/>
      </w:pPr>
      <w:r>
        <w:rPr>
          <w:rFonts w:ascii="Arial Unicode MS" w:hAnsi="Arial Unicode MS" w:eastAsia="Arial Unicode MS"/>
        </w:rPr>
        <w:t>意愿机制设计卡：包括贡献回流机制、正确行为减负方案和堵疏结合替代方案。</w:t>
      </w:r>
    </w:p>
    <w:p>
      <w:pPr>
        <w:pStyle w:val="ListBullet"/>
        <w:spacing w:after="80"/>
      </w:pPr>
      <w:r>
        <w:rPr>
          <w:rFonts w:ascii="Arial Unicode MS" w:hAnsi="Arial Unicode MS" w:eastAsia="Arial Unicode MS"/>
        </w:rPr>
        <w:t>岗位风险能力工具包：包括风险链条、六道防线、正误图、岗位应知卡和现场训练脚本。</w:t>
      </w:r>
    </w:p>
    <w:p>
      <w:pPr>
        <w:pStyle w:val="ListBullet"/>
        <w:spacing w:after="80"/>
      </w:pPr>
      <w:r>
        <w:rPr>
          <w:rFonts w:ascii="Arial Unicode MS" w:hAnsi="Arial Unicode MS" w:eastAsia="Arial Unicode MS"/>
        </w:rPr>
        <w:t>业务节点提醒地图：包括履职清单、管理计划、提醒频次和AI/系统提醒规则。</w:t>
      </w:r>
    </w:p>
    <w:p>
      <w:pPr>
        <w:pStyle w:val="ListBullet"/>
        <w:spacing w:after="80"/>
      </w:pPr>
      <w:r>
        <w:rPr>
          <w:rFonts w:ascii="Arial Unicode MS" w:hAnsi="Arial Unicode MS" w:eastAsia="Arial Unicode MS"/>
        </w:rPr>
        <w:t>个人行动承诺：每位学员形成可回现场推动的知行合一Flag。</w:t>
      </w:r>
    </w:p>
    <w:p>
      <w:pPr>
        <w:pStyle w:val="Heading1"/>
      </w:pPr>
      <w:r>
        <w:rPr>
          <w:rFonts w:ascii="Arial Unicode MS" w:hAnsi="Arial Unicode MS" w:eastAsia="Arial Unicode MS"/>
        </w:rPr>
        <w:t>八、课程收益</w:t>
      </w:r>
    </w:p>
    <w:p>
      <w:pPr>
        <w:pStyle w:val="ListBullet"/>
        <w:spacing w:after="80"/>
      </w:pPr>
      <w:r>
        <w:rPr>
          <w:rFonts w:ascii="Arial Unicode MS" w:hAnsi="Arial Unicode MS" w:eastAsia="Arial Unicode MS"/>
        </w:rPr>
        <w:t>从“谁错了”转向“系统哪里让错误更容易发生”。</w:t>
      </w:r>
    </w:p>
    <w:p>
      <w:pPr>
        <w:pStyle w:val="ListBullet"/>
        <w:spacing w:after="80"/>
      </w:pPr>
      <w:r>
        <w:rPr>
          <w:rFonts w:ascii="Arial Unicode MS" w:hAnsi="Arial Unicode MS" w:eastAsia="Arial Unicode MS"/>
        </w:rPr>
        <w:t>从“讲过了”转向“练过了、做得出、能复用”。</w:t>
      </w:r>
    </w:p>
    <w:p>
      <w:pPr>
        <w:pStyle w:val="ListBullet"/>
        <w:spacing w:after="80"/>
      </w:pPr>
      <w:r>
        <w:rPr>
          <w:rFonts w:ascii="Arial Unicode MS" w:hAnsi="Arial Unicode MS" w:eastAsia="Arial Unicode MS"/>
        </w:rPr>
        <w:t>从“安全部门单独救火”转向“管理者围绕业务节点共同推动”。</w:t>
      </w:r>
    </w:p>
    <w:p>
      <w:pPr>
        <w:pStyle w:val="ListBullet"/>
        <w:spacing w:after="80"/>
      </w:pPr>
      <w:r>
        <w:rPr>
          <w:rFonts w:ascii="Arial Unicode MS" w:hAnsi="Arial Unicode MS" w:eastAsia="Arial Unicode MS"/>
        </w:rPr>
        <w:t>从“培训结束就结束”转向“带着初步方案回现场继续应用”。</w:t>
      </w:r>
    </w:p>
    <w:p>
      <w:pPr>
        <w:pStyle w:val="Heading1"/>
      </w:pPr>
      <w:r>
        <w:rPr>
          <w:rFonts w:ascii="Arial Unicode MS" w:hAnsi="Arial Unicode MS" w:eastAsia="Arial Unicode MS"/>
        </w:rPr>
        <w:t>九、课程咨询与预约</w:t>
      </w:r>
    </w:p>
    <w:p>
      <w:pPr>
        <w:spacing w:after="120"/>
      </w:pPr>
      <w:r>
        <w:rPr>
          <w:rFonts w:ascii="Arial Unicode MS" w:hAnsi="Arial Unicode MS" w:eastAsia="Arial Unicode MS"/>
        </w:rPr>
        <w:t>建议在课程前先进行一次30分钟需求沟通，收集企业当前最典型的5-10个基层风险问题。课程中可直接将这些问题转化为分诊题、讨论题和方案策划题，让学员带着本企业的问题进入课堂，也带着本企业的初步方案离开课堂。</w:t>
      </w:r>
    </w:p>
    <w:p>
      <w:pPr>
        <w:spacing w:after="120"/>
      </w:pPr>
      <w:r>
        <w:rPr>
          <w:rFonts w:ascii="Arial Unicode MS" w:hAnsi="Arial Unicode MS" w:eastAsia="Arial Unicode MS"/>
        </w:rPr>
        <w:t>联系电话：_________</w:t>
      </w:r>
    </w:p>
    <w:p>
      <w:pPr>
        <w:spacing w:after="120"/>
      </w:pPr>
      <w:r>
        <w:rPr>
          <w:rFonts w:ascii="Arial Unicode MS" w:hAnsi="Arial Unicode MS" w:eastAsia="Arial Unicode MS"/>
        </w:rPr>
        <w:t>电子邮箱：_________</w:t>
      </w:r>
    </w:p>
    <w:p>
      <w:pPr>
        <w:spacing w:after="120"/>
      </w:pPr>
      <w:r>
        <w:rPr>
          <w:rFonts w:ascii="Arial Unicode MS" w:hAnsi="Arial Unicode MS" w:eastAsia="Arial Unicode MS"/>
        </w:rPr>
        <w:t>“管理，激发和释放每个人的善意与潜能。”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 Unicode MS" w:hAnsi="Arial Unicode MS" w:eastAsia="Arial Unicode MS"/>
        <w:color w:val="5D6B63"/>
        <w:sz w:val="18"/>
      </w:rPr>
      <w:t>不是讲完PPT，而是让学员带着初步方案离开课堂。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Arial Unicode MS" w:hAnsi="Arial Unicode MS" w:eastAsia="Arial Unicode MS"/>
        <w:color w:val="5D6B63"/>
        <w:sz w:val="18"/>
      </w:rPr>
      <w:t>基层风险精准防控体系建设与实战课程（1天版）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 Unicode MS" w:hAnsi="Arial Unicode MS" w:eastAsia="Arial Unicode M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118847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075B33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1F4D7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