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X998091c411927c60594a2f07b9f22c9d8d645f8"/>
    <w:p>
      <w:pPr>
        <w:pStyle w:val="Heading1"/>
      </w:pPr>
      <w:r>
        <w:t xml:space="preserve">Protocole d’Acquisition TEP CT FDG - Cancers Gynécologiques (Bilan d’Extension)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2026-01-28</w:t>
      </w:r>
      <w:r>
        <w:t xml:space="preserve"> </w:t>
      </w:r>
      <w:r>
        <w:rPr>
          <w:bCs/>
          <w:b/>
        </w:rPr>
        <w:t xml:space="preserve">Indications:</w:t>
      </w:r>
      <w:r>
        <w:t xml:space="preserve"> </w:t>
      </w:r>
      <w:r>
        <w:t xml:space="preserve">Col utérin, ovaire, endomètre, vulve/vagin - Bilan d’extension initial</w:t>
      </w:r>
    </w:p>
    <w:p>
      <w:r>
        <w:pict>
          <v:rect style="width:0;height:1.5pt" o:hralign="center" o:hrstd="t" o:hr="t"/>
        </w:pict>
      </w:r>
    </w:p>
    <w:bookmarkStart w:id="20" w:name="table-des-matières"/>
    <w:p>
      <w:pPr>
        <w:pStyle w:val="Heading2"/>
      </w:pPr>
      <w:r>
        <w:t xml:space="preserve">Table des matières</w:t>
      </w:r>
    </w:p>
    <w:p>
      <w:pPr>
        <w:numPr>
          <w:ilvl w:val="0"/>
          <w:numId w:val="1001"/>
        </w:numPr>
        <w:pStyle w:val="Compact"/>
      </w:pPr>
      <w:hyperlink w:anchor="Xf65c07d30e18efd9fbffbefda016ca5498029e5">
        <w:r>
          <w:rPr>
            <w:rStyle w:val="Hyperlink"/>
          </w:rPr>
          <w:t xml:space="preserve">Informations générales</w:t>
        </w:r>
      </w:hyperlink>
    </w:p>
    <w:p>
      <w:pPr>
        <w:numPr>
          <w:ilvl w:val="0"/>
          <w:numId w:val="1001"/>
        </w:numPr>
        <w:pStyle w:val="Compact"/>
      </w:pPr>
      <w:hyperlink w:anchor="X9f8d2ed2014c7c072ce09ba5c4fe4fe70ac0725">
        <w:r>
          <w:rPr>
            <w:rStyle w:val="Hyperlink"/>
          </w:rPr>
          <w:t xml:space="preserve">Section Manipulateur</w:t>
        </w:r>
      </w:hyperlink>
    </w:p>
    <w:p>
      <w:pPr>
        <w:numPr>
          <w:ilvl w:val="0"/>
          <w:numId w:val="1001"/>
        </w:numPr>
        <w:pStyle w:val="Compact"/>
      </w:pPr>
      <w:hyperlink w:anchor="X63666833b1035eee3ef42dc63f4802183171b8b">
        <w:r>
          <w:rPr>
            <w:rStyle w:val="Hyperlink"/>
          </w:rPr>
          <w:t xml:space="preserve">Section Physicien Médical</w:t>
        </w:r>
      </w:hyperlink>
    </w:p>
    <w:p>
      <w:pPr>
        <w:numPr>
          <w:ilvl w:val="0"/>
          <w:numId w:val="1001"/>
        </w:numPr>
        <w:pStyle w:val="Compact"/>
      </w:pPr>
      <w:hyperlink w:anchor="X84032ac621240eb463e477fe6fd693871f2153c">
        <w:r>
          <w:rPr>
            <w:rStyle w:val="Hyperlink"/>
          </w:rPr>
          <w:t xml:space="preserve">Section Médecin Interprétant</w:t>
        </w:r>
      </w:hyperlink>
    </w:p>
    <w:p>
      <w:pPr>
        <w:numPr>
          <w:ilvl w:val="0"/>
          <w:numId w:val="1001"/>
        </w:numPr>
        <w:pStyle w:val="Compact"/>
      </w:pPr>
      <w:hyperlink w:anchor="X19ce63278b1223e660eadc50a967e17e734e65d">
        <w:r>
          <w:rPr>
            <w:rStyle w:val="Hyperlink"/>
          </w:rPr>
          <w:t xml:space="preserve">Annexes et Fiches Pratiques</w:t>
        </w:r>
      </w:hyperlink>
    </w:p>
    <w:p>
      <w:pPr>
        <w:numPr>
          <w:ilvl w:val="0"/>
          <w:numId w:val="1001"/>
        </w:numPr>
        <w:pStyle w:val="Compact"/>
      </w:pPr>
      <w:hyperlink w:anchor="X8ad40afca2f5f0335aaa85d6c181126a3bfd12a">
        <w:r>
          <w:rPr>
            <w:rStyle w:val="Hyperlink"/>
          </w:rPr>
          <w:t xml:space="preserve">Références</w:t>
        </w:r>
      </w:hyperlink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informations-générales"/>
    <w:p>
      <w:pPr>
        <w:pStyle w:val="Heading1"/>
      </w:pPr>
      <w:r>
        <w:t xml:space="preserve">1. Informations Générales</w:t>
      </w:r>
    </w:p>
    <w:bookmarkStart w:id="22" w:name="objectif-du-protocole"/>
    <w:p>
      <w:pPr>
        <w:pStyle w:val="Heading2"/>
      </w:pPr>
      <w:r>
        <w:t xml:space="preserve">1.1 Objectif du protocole</w:t>
      </w:r>
    </w:p>
    <w:p>
      <w:pPr>
        <w:pStyle w:val="FirstParagraph"/>
      </w:pPr>
      <w:r>
        <w:t xml:space="preserve">Ce protocole standardise la réalisation des examens TEP CT FDG avec injection de produit de contraste iodé (PCI) dans le cadre du bilan d’extension des cancers gynécologiques.</w:t>
      </w:r>
    </w:p>
    <w:bookmarkEnd w:id="22"/>
    <w:bookmarkStart w:id="23" w:name="indications"/>
    <w:p>
      <w:pPr>
        <w:pStyle w:val="Heading2"/>
      </w:pPr>
      <w:r>
        <w:t xml:space="preserve">1.2 Indications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74"/>
        <w:gridCol w:w="4037"/>
        <w:gridCol w:w="17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Niveau de preuve TEP FDG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Référence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 utérin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Recommandé (staging avancé FIGO IB3-IVB)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PMID 33275178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Recommandé (staging, récidive, pronostic)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PMID 34215923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Endomètre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Utile (pas de guideline spécifique EANM)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EANM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Vulve/Vagin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Utile (pas de guideline spécifique EANM)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EANM v3.0</w:t>
            </w:r>
          </w:p>
        </w:tc>
      </w:tr>
    </w:tbl>
    <w:bookmarkEnd w:id="23"/>
    <w:bookmarkStart w:id="24" w:name="bénéfices-du-ct-injecté-en-pelvien"/>
    <w:p>
      <w:pPr>
        <w:pStyle w:val="Heading2"/>
      </w:pPr>
      <w:r>
        <w:t xml:space="preserve">1.3 Bénéfices du CT injecté en pelvien</w:t>
      </w:r>
    </w:p>
    <w:p>
      <w:pPr>
        <w:pStyle w:val="BlockText"/>
      </w:pPr>
      <w:r>
        <w:t xml:space="preserve">“</w:t>
      </w:r>
      <w:r>
        <w:t xml:space="preserve">The most important benefit when applying CT contrast agents in PET/CT imaging relates to more precise anatomic localization of pathology […] This benefit must be considered most profound in the head and neck</w:t>
      </w:r>
      <w:r>
        <w:t xml:space="preserve"> </w:t>
      </w:r>
      <w:r>
        <w:rPr>
          <w:bCs/>
          <w:b/>
        </w:rPr>
        <w:t xml:space="preserve">as well as the abdomen and pelvis</w:t>
      </w:r>
      <w:r>
        <w:t xml:space="preserve">.</w:t>
      </w:r>
      <w:r>
        <w:t xml:space="preserve">”</w:t>
      </w:r>
      <w:r>
        <w:t xml:space="preserve"> </w:t>
      </w:r>
      <w:r>
        <w:t xml:space="preserve">(PMID 14736836)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29"/>
        <w:gridCol w:w="55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Bénéfice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gynécologie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Différentiation vasculaire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Distinguer adénopathies des vaisseaux iliaques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Délimitation intestinale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Séparer lésions pelviennes des anses digestives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Caractérisation lésionnelle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Lésions kystiques vs solides, nécrose tumorale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Ganglions pelviens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Meilleure visualisation chaînes iliaques et para-aortiques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51" w:name="section-manipulateur"/>
    <w:p>
      <w:pPr>
        <w:pStyle w:val="Heading1"/>
      </w:pPr>
      <w:r>
        <w:t xml:space="preserve">2. Section Manipulateur</w:t>
      </w:r>
    </w:p>
    <w:bookmarkStart w:id="32" w:name="vérifications-pré-examen"/>
    <w:p>
      <w:pPr>
        <w:pStyle w:val="Heading2"/>
      </w:pPr>
      <w:r>
        <w:t xml:space="preserve">2.1 Vérifications Pré-Examen</w:t>
      </w:r>
    </w:p>
    <w:bookmarkStart w:id="29" w:name="éligibilité-contraste-iodé"/>
    <w:p>
      <w:pPr>
        <w:pStyle w:val="Heading3"/>
      </w:pPr>
      <w:r>
        <w:t xml:space="preserve">2.1.1 Éligibilité Contraste Iodé</w:t>
      </w:r>
    </w:p>
    <w:bookmarkStart w:id="26" w:name="X088ef3f361a44e295097629f3415e0135bafd47"/>
    <w:p>
      <w:pPr>
        <w:pStyle w:val="Heading4"/>
      </w:pPr>
      <w:r>
        <w:t xml:space="preserve">Questionnaire à la prise de RDV (ESUR 2025)</w:t>
      </w:r>
    </w:p>
    <w:p>
      <w:pPr>
        <w:pStyle w:val="FirstParagraph"/>
      </w:pPr>
      <w:r>
        <w:rPr>
          <w:bCs/>
          <w:b/>
        </w:rPr>
        <w:t xml:space="preserve">Questions pour déterminer si bilan rénal nécessaire: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OUI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Maladie rénale connue (eGFR &lt;60)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Demander créatinine/eGFR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Chirurgie rénale / rein unique / greffe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Demander créatinine/eGFR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Protéinurie connue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Demander créatinine/eGFR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HTA traitée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Demander créatinine/eGFR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Diabète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Demander créatinine/eGFR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Goutte / hyperuricémie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Demander créatinine/eGFR</w:t>
            </w:r>
          </w:p>
        </w:tc>
      </w:tr>
    </w:tbl>
    <w:p>
      <w:pPr>
        <w:pStyle w:val="BodyText"/>
      </w:pPr>
      <w:r>
        <w:rPr>
          <w:bCs/>
          <w:b/>
        </w:rPr>
        <w:t xml:space="preserve">Délai du bilan rénal (si indiqué):</w:t>
      </w:r>
      <w:r>
        <w:t xml:space="preserve"> </w:t>
      </w:r>
      <w:r>
        <w:t xml:space="preserve">- Patient ambulatoire stable : ≤3 mois (ESUR 2025)</w:t>
      </w:r>
      <w:r>
        <w:t xml:space="preserve"> </w:t>
      </w:r>
      <w:r>
        <w:t xml:space="preserve">- Patient hospitalisé / maladie aiguë : ≤7 jours (ESUR 2025)</w:t>
      </w:r>
    </w:p>
    <w:bookmarkEnd w:id="26"/>
    <w:bookmarkStart w:id="27" w:name="contre-indications-absolues-au-pci"/>
    <w:p>
      <w:pPr>
        <w:pStyle w:val="Heading4"/>
      </w:pPr>
      <w:r>
        <w:t xml:space="preserve">Contre-indications absolues au PCI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573"/>
        <w:gridCol w:w="2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Contre-indication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Allergie sévère connue au PCI (choc anaphylactique)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 non injecté OU prémédication après avis allergologue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Hyperthyroïdie manifeste non contrôlée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Reporter, avis endocrinologique</w:t>
            </w:r>
          </w:p>
        </w:tc>
      </w:tr>
    </w:tbl>
    <w:bookmarkEnd w:id="27"/>
    <w:bookmarkStart w:id="28" w:name="précautions-particulières"/>
    <w:p>
      <w:pPr>
        <w:pStyle w:val="Heading4"/>
      </w:pPr>
      <w:r>
        <w:t xml:space="preserve">Précautions particulières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54"/>
        <w:gridCol w:w="3852"/>
        <w:gridCol w:w="1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Conduite à tenir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eGFR 30-44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Hydratation préventive (NaCl 0.9% 1 mL/kg/h 3-4h avant et après)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ESUR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eGFR &lt;30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bénéfice/risque, hydratation, STOP metformine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ESUR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Metformine + eGFR &gt;30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Continuer normalement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ESUR 2025 / EANM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Metformine + eGFR &lt;30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à l’injection, contrôle 48h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ESUR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Inhibiteurs SGLT2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Omission 48h avant/après si préoccupation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EANM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Grossesse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bénéfice/risque (TSH néonatal si injection)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ESUR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Allaitement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de contre-indication, poursuite normale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ESUR 2025</w:t>
            </w:r>
          </w:p>
        </w:tc>
      </w:tr>
    </w:tbl>
    <w:bookmarkEnd w:id="28"/>
    <w:bookmarkEnd w:id="29"/>
    <w:bookmarkStart w:id="31" w:name="vérifications-jour-j"/>
    <w:p>
      <w:pPr>
        <w:pStyle w:val="Heading3"/>
      </w:pPr>
      <w:r>
        <w:t xml:space="preserve">2.1.2 Vérifications Jour J</w:t>
      </w:r>
    </w:p>
    <w:bookmarkStart w:id="30" w:name="checklist-arrivée-patient"/>
    <w:p>
      <w:pPr>
        <w:pStyle w:val="Heading4"/>
      </w:pPr>
      <w:r>
        <w:t xml:space="preserve">Checklist arrivée patient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Jeûne ≥6 heures</w:t>
      </w:r>
      <w:r>
        <w:t xml:space="preserve"> </w:t>
      </w:r>
      <w:r>
        <w:t xml:space="preserve">(eau plate autorisée)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Glycémie</w:t>
      </w:r>
      <w:r>
        <w:t xml:space="preserve"> </w:t>
      </w:r>
      <w:r>
        <w:t xml:space="preserve">vérifiée : &lt;11 mmol/L (200 mg/dL)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eGFR vérifié</w:t>
      </w:r>
      <w:r>
        <w:t xml:space="preserve"> </w:t>
      </w:r>
      <w:r>
        <w:t xml:space="preserve">si facteur de risque (cf. questionnaire RDV)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Grossesse exclue</w:t>
      </w:r>
      <w:r>
        <w:t xml:space="preserve"> </w:t>
      </w:r>
      <w:r>
        <w:t xml:space="preserve">:</w:t>
      </w:r>
      <w:r>
        <w:t xml:space="preserve"> </w:t>
      </w:r>
      <w:r>
        <w:t xml:space="preserve">“</w:t>
      </w:r>
      <w:r>
        <w:t xml:space="preserve">Êtes-vous enceinte ou pourriez-vous l’être 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Phase du cycle menstruel documentée</w:t>
      </w:r>
      <w:r>
        <w:t xml:space="preserve"> </w:t>
      </w:r>
      <w:r>
        <w:t xml:space="preserve">(si préménopause) → impact sur l’interprétation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Allergie au PCI</w:t>
      </w:r>
      <w:r>
        <w:t xml:space="preserve"> </w:t>
      </w:r>
      <w:r>
        <w:t xml:space="preserve">: questionnée et documentée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Metformine</w:t>
      </w:r>
      <w:r>
        <w:t xml:space="preserve"> </w:t>
      </w:r>
      <w:r>
        <w:t xml:space="preserve">: vérifier eGFR si concernée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SGLT2</w:t>
      </w:r>
      <w:r>
        <w:t xml:space="preserve"> </w:t>
      </w:r>
      <w:r>
        <w:t xml:space="preserve">: vérifier prise et hydratation</w:t>
      </w:r>
    </w:p>
    <w:p>
      <w:pPr>
        <w:pStyle w:val="BlockText"/>
      </w:pPr>
      <w:r>
        <w:rPr>
          <w:bCs/>
          <w:b/>
        </w:rPr>
        <w:t xml:space="preserve">Source glycémie:</w:t>
      </w:r>
      <w:r>
        <w:t xml:space="preserve"> </w:t>
      </w:r>
      <w:r>
        <w:t xml:space="preserve">EANM v3.0 / PMID 33275178 -</w:t>
      </w:r>
      <w:r>
        <w:t xml:space="preserve"> </w:t>
      </w:r>
      <w:r>
        <w:t xml:space="preserve">“</w:t>
      </w:r>
      <w:r>
        <w:t xml:space="preserve">blood glucose level should be &lt;11 mmol/L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préparation-du-matériel"/>
    <w:p>
      <w:pPr>
        <w:pStyle w:val="Heading2"/>
      </w:pPr>
      <w:r>
        <w:t xml:space="preserve">2.2 Préparation du Matériel</w:t>
      </w:r>
    </w:p>
    <w:bookmarkStart w:id="33" w:name="équipement-urgence-obligatoire-esur-2025"/>
    <w:p>
      <w:pPr>
        <w:pStyle w:val="Heading3"/>
      </w:pPr>
      <w:r>
        <w:t xml:space="preserve">2.2.1 Équipement urgence obligatoire (ESUR 2025)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29"/>
        <w:gridCol w:w="55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Matériel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Quantité/Spécification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Oxygène + masque haute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NaCl 0.9% ou Ringer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Adrénaline 1 mg/mL (1:1000)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Antihistaminique H1 injectable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Chlorphéniramine 20 mg ou clémastine 2 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β2-agoniste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Salbutamol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Atropine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 prélèvement tryptase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Disponible</w:t>
            </w:r>
          </w:p>
        </w:tc>
      </w:tr>
    </w:tbl>
    <w:bookmarkEnd w:id="33"/>
    <w:bookmarkStart w:id="34" w:name="matériel-dinjection"/>
    <w:p>
      <w:pPr>
        <w:pStyle w:val="Heading3"/>
      </w:pPr>
      <w:r>
        <w:t xml:space="preserve">2.2.2 Matériel d’injection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Spécification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Cathéter IV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20G minimum</w:t>
            </w:r>
            <w:r>
              <w:t xml:space="preserve"> </w:t>
            </w:r>
            <w:r>
              <w:t xml:space="preserve">(coude idéal)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EANM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Injecteur programmable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Recommandé pour PCI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EANM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Chauffe-flacon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37°C</w:t>
            </w:r>
            <w:r>
              <w:t xml:space="preserve"> </w:t>
            </w:r>
            <w:r>
              <w:t xml:space="preserve">pour PCI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ESUR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Seringue FDG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activité calculée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Perfusion NaCl 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L si protocole furosémide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PMID 33275178</w:t>
            </w:r>
          </w:p>
        </w:tc>
      </w:tr>
    </w:tbl>
    <w:bookmarkEnd w:id="34"/>
    <w:bookmarkStart w:id="35" w:name="si-protocole-furosémide"/>
    <w:p>
      <w:pPr>
        <w:pStyle w:val="Heading3"/>
      </w:pPr>
      <w:r>
        <w:t xml:space="preserve">2.2.3 Si protocole furosémide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Spécification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Furosémide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20-40 mg (0.5 mg/kg)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Sonde Foley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Taille adaptée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Poche de recueil urinaire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Drainage par gravité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protocole-dinjection"/>
    <w:p>
      <w:pPr>
        <w:pStyle w:val="Heading2"/>
      </w:pPr>
      <w:r>
        <w:t xml:space="preserve">2.3 Protocole d’Injection</w:t>
      </w:r>
    </w:p>
    <w:bookmarkStart w:id="37" w:name="chronologie-détaillée"/>
    <w:p>
      <w:pPr>
        <w:pStyle w:val="Heading3"/>
      </w:pPr>
      <w:r>
        <w:t xml:space="preserve">2.3.1 Chronologie détaillée</w:t>
      </w:r>
    </w:p>
    <w:p>
      <w:pPr>
        <w:pStyle w:val="SourceCode"/>
      </w:pPr>
      <w:r>
        <w:rPr>
          <w:rStyle w:val="VerbatimChar"/>
        </w:rPr>
        <w:t xml:space="preserve">PRÉPARATION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T-30 min   │ Accueil patient, vérifications checklist</w:t>
      </w:r>
      <w:r>
        <w:br/>
      </w:r>
      <w:r>
        <w:rPr>
          <w:rStyle w:val="VerbatimChar"/>
        </w:rPr>
        <w:t xml:space="preserve">           │ Mesure glycémie capillaire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T-20 min   │ Pose VVP (20G minimum, coude)</w:t>
      </w:r>
      <w:r>
        <w:br/>
      </w:r>
      <w:r>
        <w:rPr>
          <w:rStyle w:val="VerbatimChar"/>
        </w:rPr>
        <w:t xml:space="preserve">           │ Test au sérum phy (10-20 mL) - vérifier reflux</w:t>
      </w:r>
      <w:r>
        <w:br/>
      </w:r>
      <w:r>
        <w:rPr>
          <w:rStyle w:val="VerbatimChar"/>
        </w:rPr>
        <w:t xml:space="preserve">           │ Début hydratation IV (si protocole furosémide)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T-10 min   │ [SI FUROSÉMIDE] Pose sonde Foley</w:t>
      </w:r>
      <w:r>
        <w:br/>
      </w:r>
      <w:r>
        <w:rPr>
          <w:rStyle w:val="VerbatimChar"/>
        </w:rPr>
        <w:t xml:space="preserve">           │ Drainage par gravité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INJECTION FDG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T0         │ INJECTION FDG IV</w:t>
      </w:r>
      <w:r>
        <w:br/>
      </w:r>
      <w:r>
        <w:rPr>
          <w:rStyle w:val="VerbatimChar"/>
        </w:rPr>
        <w:t xml:space="preserve">           │ Rinçage 10-20 mL NaCl 0.9%</w:t>
      </w:r>
      <w:r>
        <w:br/>
      </w:r>
      <w:r>
        <w:rPr>
          <w:rStyle w:val="VerbatimChar"/>
        </w:rPr>
        <w:t xml:space="preserve">           │ Noter heure exacte d'injection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T+5 min    │ [SI FUROSÉMIDE] Injection 20-40 mg IV</w:t>
      </w:r>
      <w:r>
        <w:br/>
      </w:r>
      <w:r>
        <w:rPr>
          <w:rStyle w:val="VerbatimChar"/>
        </w:rPr>
        <w:t xml:space="preserve">           │ (0.5 mg/kg de poids corporel)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T0→T60     │ Période d'uptake : repos au calme</w:t>
      </w:r>
      <w:r>
        <w:br/>
      </w:r>
      <w:r>
        <w:rPr>
          <w:rStyle w:val="VerbatimChar"/>
        </w:rPr>
        <w:t xml:space="preserve">           │ - Position allongée ou assise confortable</w:t>
      </w:r>
      <w:r>
        <w:br/>
      </w:r>
      <w:r>
        <w:rPr>
          <w:rStyle w:val="VerbatimChar"/>
        </w:rPr>
        <w:t xml:space="preserve">           │ - Éviter activité musculaire pelvienne</w:t>
      </w:r>
      <w:r>
        <w:br/>
      </w:r>
      <w:r>
        <w:rPr>
          <w:rStyle w:val="VerbatimChar"/>
        </w:rPr>
        <w:t xml:space="preserve">           │ - Température ambiante confortable</w:t>
      </w:r>
      <w:r>
        <w:br/>
      </w:r>
      <w:r>
        <w:rPr>
          <w:rStyle w:val="VerbatimChar"/>
        </w:rPr>
        <w:t xml:space="preserve">           │ [SI FUROSÉMIDE] Perfusion ~1 L NaCl 0.9%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T58 min    │ [SANS SONDE] Miction complète juste avant acquisition</w:t>
      </w:r>
      <w:r>
        <w:br/>
      </w:r>
      <w:r>
        <w:rPr>
          <w:rStyle w:val="VerbatimChar"/>
        </w:rPr>
        <w:t xml:space="preserve">           │ [AVEC SONDE] Vérifier perméabilité sonde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T60 min    │ Installation sur table TEP CT</w:t>
      </w:r>
      <w:r>
        <w:br/>
      </w:r>
      <w:r>
        <w:rPr>
          <w:rStyle w:val="VerbatimChar"/>
        </w:rPr>
        <w:t xml:space="preserve">(±5 min)   │ Positionnement bras relevés (si toléré)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1. TOPOGRAMME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2. CT DIAGNOSTIQUE INJECTÉ</w:t>
      </w:r>
      <w:r>
        <w:br/>
      </w:r>
      <w:r>
        <w:rPr>
          <w:rStyle w:val="VerbatimChar"/>
        </w:rPr>
        <w:t xml:space="preserve">           │    - Injection PCI (voir 2.3.2)</w:t>
      </w:r>
      <w:r>
        <w:br/>
      </w:r>
      <w:r>
        <w:rPr>
          <w:rStyle w:val="VerbatimChar"/>
        </w:rPr>
        <w:t xml:space="preserve">           │    - Délai 50-70 sec (phase porto-veineuse)</w:t>
      </w:r>
      <w:r>
        <w:br/>
      </w:r>
      <w:r>
        <w:rPr>
          <w:rStyle w:val="VerbatimChar"/>
        </w:rPr>
        <w:t xml:space="preserve">           │    - Acquisition CT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3. ACQUISITION TEP</w:t>
      </w:r>
      <w:r>
        <w:br/>
      </w:r>
      <w:r>
        <w:rPr>
          <w:rStyle w:val="VerbatimChar"/>
        </w:rPr>
        <w:t xml:space="preserve">           │    - Du vertex ou base crâne au mi-cuisse</w:t>
      </w:r>
      <w:r>
        <w:br/>
      </w:r>
      <w:r>
        <w:rPr>
          <w:rStyle w:val="VerbatimChar"/>
        </w:rPr>
        <w:t xml:space="preserve">           │    - Débuter par le PELVIS si pas de furosémide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T+90 min   │ FIN EXAMEN</w:t>
      </w:r>
      <w:r>
        <w:br/>
      </w:r>
      <w:r>
        <w:rPr>
          <w:rStyle w:val="VerbatimChar"/>
        </w:rPr>
        <w:t xml:space="preserve">           │ Surveillance 15-30 min post-PCI</w:t>
      </w:r>
      <w:r>
        <w:br/>
      </w:r>
      <w:r>
        <w:rPr>
          <w:rStyle w:val="VerbatimChar"/>
        </w:rPr>
        <w:t xml:space="preserve">           │ [SI SONDE] Retrait sonde Foley</w:t>
      </w:r>
    </w:p>
    <w:bookmarkEnd w:id="37"/>
    <w:bookmarkStart w:id="38" w:name="injection-produit-de-contraste-iodé"/>
    <w:p>
      <w:pPr>
        <w:pStyle w:val="Heading3"/>
      </w:pPr>
      <w:r>
        <w:t xml:space="preserve">2.3.2 Injection Produit de Contraste Iodé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Iso- ou hypo-osmolaire non ionique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ESUR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Débit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2.5 mL/s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EANM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protocole local (typiquement 80-120 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Température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37°C</w:t>
            </w:r>
            <w:r>
              <w:t xml:space="preserve"> </w:t>
            </w:r>
            <w:r>
              <w:t xml:space="preserve">(réchauffé)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ESUR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Porto-veineuse médiane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EANM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Délai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50-70 secondes</w:t>
            </w:r>
            <w:r>
              <w:t xml:space="preserve"> </w:t>
            </w:r>
            <w:r>
              <w:t xml:space="preserve">post-injection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EANM v3.0</w:t>
            </w:r>
          </w:p>
        </w:tc>
      </w:tr>
    </w:tbl>
    <w:p>
      <w:pPr>
        <w:pStyle w:val="BodyText"/>
      </w:pPr>
      <w:r>
        <w:rPr>
          <w:bCs/>
          <w:b/>
        </w:rPr>
        <w:t xml:space="preserve">Avant injection:</w:t>
      </w:r>
      <w:r>
        <w:t xml:space="preserve"> </w:t>
      </w:r>
      <w:r>
        <w:t xml:space="preserve">1. Test au NaCl 0.9% (10-20 mL) pour vérifier voie veineuse</w:t>
      </w:r>
      <w:r>
        <w:t xml:space="preserve"> </w:t>
      </w:r>
      <w:r>
        <w:t xml:space="preserve">2. Surveillance point de ponction pendant toute l’injection</w:t>
      </w:r>
    </w:p>
    <w:bookmarkEnd w:id="38"/>
    <w:bookmarkStart w:id="39" w:name="contraste-oral-optionnel"/>
    <w:p>
      <w:pPr>
        <w:pStyle w:val="Heading3"/>
      </w:pPr>
      <w:r>
        <w:t xml:space="preserve">2.3.3 Contraste Oral (optionnel)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Recommandation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Eau ou agents à base d’eau = PRÉFÉRÉ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EANM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Éviter baryum (plus d’artefacts CT-AC)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EANM v3.0</w:t>
            </w:r>
          </w:p>
        </w:tc>
      </w:tr>
    </w:tbl>
    <w:p>
      <w:pPr>
        <w:pStyle w:val="BlockText"/>
      </w:pPr>
      <w:r>
        <w:t xml:space="preserve">“</w:t>
      </w:r>
      <w:r>
        <w:t xml:space="preserve">Water or water-based contrast agents […] provide improved image quality with reduced artefacts.</w:t>
      </w:r>
      <w:r>
        <w:t xml:space="preserve">”</w:t>
      </w:r>
      <w:r>
        <w:t xml:space="preserve"> </w:t>
      </w:r>
      <w:r>
        <w:t xml:space="preserve">(EANM v3.0)</w:t>
      </w:r>
    </w:p>
    <w:p>
      <w:pPr>
        <w:pStyle w:val="FirstParagraph"/>
      </w:pPr>
      <w:r>
        <w:rPr>
          <w:bCs/>
          <w:b/>
        </w:rPr>
        <w:t xml:space="preserve">Si utilisé:</w:t>
      </w:r>
      <w:r>
        <w:t xml:space="preserve"> </w:t>
      </w:r>
      <w:r>
        <w:t xml:space="preserve">500-1000 mL eau 30-60 min avant acquisition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protocole-furosémide-gestion-vésicale"/>
    <w:p>
      <w:pPr>
        <w:pStyle w:val="Heading2"/>
      </w:pPr>
      <w:r>
        <w:t xml:space="preserve">2.4 Protocole Furosémide (Gestion Vésicale)</w:t>
      </w:r>
    </w:p>
    <w:bookmarkStart w:id="41" w:name="indication"/>
    <w:p>
      <w:pPr>
        <w:pStyle w:val="Heading3"/>
      </w:pPr>
      <w:r>
        <w:t xml:space="preserve">2.4.1 Indication</w:t>
      </w:r>
    </w:p>
    <w:p>
      <w:pPr>
        <w:pStyle w:val="BlockText"/>
      </w:pPr>
      <w:r>
        <w:rPr>
          <w:bCs/>
          <w:b/>
        </w:rPr>
        <w:t xml:space="preserve">Recommandation EANM/SNMMI (PMID 33275178):</w:t>
      </w:r>
      <w:r>
        <w:t xml:space="preserve"> </w:t>
      </w:r>
      <w:r>
        <w:t xml:space="preserve">“</w:t>
      </w:r>
      <w:r>
        <w:t xml:space="preserve">Diuretics may be used […] to reduce urinary bladder activity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Indiqué pour:</w:t>
      </w:r>
      <w:r>
        <w:t xml:space="preserve"> </w:t>
      </w:r>
      <w:r>
        <w:t xml:space="preserve">- Cancer du col utérin (recommandé)</w:t>
      </w:r>
      <w:r>
        <w:t xml:space="preserve"> </w:t>
      </w:r>
      <w:r>
        <w:t xml:space="preserve">- Toute tumeur pelvienne proche de la vessie</w:t>
      </w:r>
      <w:r>
        <w:t xml:space="preserve"> </w:t>
      </w:r>
      <w:r>
        <w:t xml:space="preserve">- Suspicion d’envahissement vésical ou paramétrial</w:t>
      </w:r>
    </w:p>
    <w:bookmarkEnd w:id="41"/>
    <w:bookmarkStart w:id="44" w:name="contre-indications-au-furosémide"/>
    <w:p>
      <w:pPr>
        <w:pStyle w:val="Heading3"/>
      </w:pPr>
      <w:r>
        <w:t xml:space="preserve">2.4.2 Contre-indications au Furosémide</w:t>
      </w:r>
    </w:p>
    <w:bookmarkStart w:id="42" w:name="absolues"/>
    <w:p>
      <w:pPr>
        <w:pStyle w:val="Heading4"/>
      </w:pPr>
      <w:r>
        <w:t xml:space="preserve">Absolues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Contre-indication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Anurie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 d’effet diurétique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Obstruction urétérale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aggravation hydronéphrose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Allergie sulfamides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Réaction croisée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Hypovolémie/déshydratation sévère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hypotension</w:t>
            </w:r>
          </w:p>
        </w:tc>
      </w:tr>
    </w:tbl>
    <w:p>
      <w:pPr>
        <w:pStyle w:val="BlockText"/>
      </w:pPr>
      <w:r>
        <w:rPr>
          <w:bCs/>
          <w:b/>
        </w:rPr>
        <w:t xml:space="preserve">Attention gynécologie:</w:t>
      </w:r>
      <w:r>
        <w:t xml:space="preserve"> </w:t>
      </w:r>
      <w:r>
        <w:t xml:space="preserve">Vérifier imagerie récente - compression urétérale possible dans cancer col avancé (PMID 33275178)</w:t>
      </w:r>
    </w:p>
    <w:bookmarkEnd w:id="42"/>
    <w:bookmarkStart w:id="43" w:name="précautions-évaluation-cas-par-cas"/>
    <w:p>
      <w:pPr>
        <w:pStyle w:val="Heading4"/>
      </w:pPr>
      <w:r>
        <w:t xml:space="preserve">Précautions (évaluation cas par cas)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IRC modérée (DFG 30-60)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 réduite, surveiller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Hypokaliémie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Corriger avant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Cardiopathie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Surveiller surcharge</w:t>
            </w:r>
          </w:p>
        </w:tc>
      </w:tr>
    </w:tbl>
    <w:bookmarkEnd w:id="43"/>
    <w:bookmarkEnd w:id="44"/>
    <w:bookmarkStart w:id="45" w:name="protocole-furosémide-détaillé"/>
    <w:p>
      <w:pPr>
        <w:pStyle w:val="Heading3"/>
      </w:pPr>
      <w:r>
        <w:t xml:space="preserve">2.4.3 Protocole Furosémide Détaillé</w:t>
      </w:r>
    </w:p>
    <w:p>
      <w:pPr>
        <w:pStyle w:val="SourceCode"/>
      </w:pPr>
      <w:r>
        <w:rPr>
          <w:rStyle w:val="VerbatimChar"/>
        </w:rPr>
        <w:t xml:space="preserve">T-10 min  : Pose sonde Foley, vérifier drainage par gravité</w:t>
      </w:r>
      <w:r>
        <w:br/>
      </w:r>
      <w:r>
        <w:rPr>
          <w:rStyle w:val="VerbatimChar"/>
        </w:rPr>
        <w:t xml:space="preserve">T0        : Injection FDG</w:t>
      </w:r>
      <w:r>
        <w:br/>
      </w:r>
      <w:r>
        <w:rPr>
          <w:rStyle w:val="VerbatimChar"/>
        </w:rPr>
        <w:t xml:space="preserve">T+5 min   : Injection furosémide 20-40 mg IV (0.5 mg/kg)</w:t>
      </w:r>
      <w:r>
        <w:br/>
      </w:r>
      <w:r>
        <w:rPr>
          <w:rStyle w:val="VerbatimChar"/>
        </w:rPr>
        <w:t xml:space="preserve">T0→T60    : Perfusion NaCl 0.9% ~1 L</w:t>
      </w:r>
      <w:r>
        <w:br/>
      </w:r>
      <w:r>
        <w:rPr>
          <w:rStyle w:val="VerbatimChar"/>
        </w:rPr>
        <w:t xml:space="preserve">            Repos en salle d'attente</w:t>
      </w:r>
      <w:r>
        <w:br/>
      </w:r>
      <w:r>
        <w:rPr>
          <w:rStyle w:val="VerbatimChar"/>
        </w:rPr>
        <w:t xml:space="preserve">T60       : Vérifier perméabilité sonde</w:t>
      </w:r>
      <w:r>
        <w:br/>
      </w:r>
      <w:r>
        <w:rPr>
          <w:rStyle w:val="VerbatimChar"/>
        </w:rPr>
        <w:t xml:space="preserve">            Acquisition TEP/CT</w:t>
      </w:r>
      <w:r>
        <w:br/>
      </w:r>
      <w:r>
        <w:rPr>
          <w:rStyle w:val="VerbatimChar"/>
        </w:rPr>
        <w:t xml:space="preserve">Post-exam : Retrait sonde, surveillance miction</w:t>
      </w:r>
    </w:p>
    <w:p>
      <w:pPr>
        <w:pStyle w:val="BlockText"/>
      </w:pPr>
      <w:r>
        <w:rPr>
          <w:bCs/>
          <w:b/>
        </w:rPr>
        <w:t xml:space="preserve">Source:</w:t>
      </w:r>
      <w:r>
        <w:t xml:space="preserve"> </w:t>
      </w:r>
      <w:r>
        <w:t xml:space="preserve">PMID 33275178 -</w:t>
      </w:r>
      <w:r>
        <w:t xml:space="preserve"> </w:t>
      </w:r>
      <w:r>
        <w:t xml:space="preserve">“</w:t>
      </w:r>
      <w:r>
        <w:t xml:space="preserve">20–40 mg of furosemide […] with approximately 1 L of an intravenous infusion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positionnement-patient"/>
    <w:p>
      <w:pPr>
        <w:pStyle w:val="Heading2"/>
      </w:pPr>
      <w:r>
        <w:t xml:space="preserve">2.5 Positionnement Patient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Recommandation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Décubitus dorsal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Relevés au-dessus de la tête (si toléré)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Membres inférieurs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neutre, légèrement écartés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Coussin sous genoux si besoin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Immobilisation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 mousse si nécessaire</w:t>
            </w:r>
          </w:p>
        </w:tc>
      </w:tr>
    </w:tbl>
    <w:p>
      <w:pPr>
        <w:pStyle w:val="BodyText"/>
      </w:pPr>
      <w:r>
        <w:rPr>
          <w:bCs/>
          <w:b/>
        </w:rPr>
        <w:t xml:space="preserve">Point d’attention vulve/vagin:</w:t>
      </w:r>
      <w:r>
        <w:t xml:space="preserve"> </w:t>
      </w:r>
      <w:r>
        <w:t xml:space="preserve">Vérifier positionnement des membres inférieurs pour éviter artefacts</w:t>
      </w:r>
    </w:p>
    <w:p>
      <w:r>
        <w:pict>
          <v:rect style="width:0;height:1.5pt" o:hralign="center" o:hrstd="t" o:hr="t"/>
        </w:pict>
      </w:r>
    </w:p>
    <w:bookmarkEnd w:id="47"/>
    <w:bookmarkStart w:id="50" w:name="gestion-des-incidents"/>
    <w:p>
      <w:pPr>
        <w:pStyle w:val="Heading2"/>
      </w:pPr>
      <w:r>
        <w:t xml:space="preserve">2.6 Gestion des Incidents</w:t>
      </w:r>
    </w:p>
    <w:bookmarkStart w:id="48" w:name="extravasation-pci-esur-2025"/>
    <w:p>
      <w:pPr>
        <w:pStyle w:val="Heading3"/>
      </w:pPr>
      <w:r>
        <w:t xml:space="preserve">2.6.1 Extravasation PCI (ESUR 2025)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2436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Sévérité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Légère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Douleur locale, gonflement &lt;50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Élévation membre + glace, surveillance 2-4h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Modérée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Gonflement 50-150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+ évaluation neurovasculaire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Sévère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&gt;150 mL ou signes neurovasculaires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AVIS CHIRURGICAL URGENT</w:t>
            </w:r>
          </w:p>
        </w:tc>
      </w:tr>
    </w:tbl>
    <w:bookmarkEnd w:id="48"/>
    <w:bookmarkStart w:id="49" w:name="réaction-allergique-esur-2025"/>
    <w:p>
      <w:pPr>
        <w:pStyle w:val="Heading3"/>
      </w:pPr>
      <w:r>
        <w:t xml:space="preserve">2.6.2 Réaction Allergique (ESUR 2025)</w:t>
      </w:r>
    </w:p>
    <w:p>
      <w:pPr>
        <w:pStyle w:val="FirstParagraph"/>
      </w:pPr>
      <w:r>
        <w:rPr>
          <w:bCs/>
          <w:b/>
        </w:rPr>
        <w:t xml:space="preserve">Réaction légère (urticaire localisée, prurit):</w:t>
      </w:r>
      <w:r>
        <w:t xml:space="preserve"> </w:t>
      </w:r>
      <w:r>
        <w:t xml:space="preserve">- Surveillance</w:t>
      </w:r>
      <w:r>
        <w:t xml:space="preserve"> </w:t>
      </w:r>
      <w:r>
        <w:t xml:space="preserve">- Antihistaminique PO si besoin</w:t>
      </w:r>
    </w:p>
    <w:p>
      <w:pPr>
        <w:pStyle w:val="BodyText"/>
      </w:pPr>
      <w:r>
        <w:rPr>
          <w:bCs/>
          <w:b/>
        </w:rPr>
        <w:t xml:space="preserve">Réaction modérée-sévère (dyspnée, œdème, hypotension):</w:t>
      </w:r>
    </w:p>
    <w:p>
      <w:pPr>
        <w:pStyle w:val="SourceCode"/>
      </w:pPr>
      <w:r>
        <w:rPr>
          <w:rStyle w:val="VerbatimChar"/>
        </w:rPr>
        <w:t xml:space="preserve">1. APPELER ÉQUIPE URGENCE</w:t>
      </w:r>
      <w:r>
        <w:br/>
      </w:r>
      <w:r>
        <w:rPr>
          <w:rStyle w:val="VerbatimChar"/>
        </w:rPr>
        <w:t xml:space="preserve">2. Oxygène 10-15 L/min</w:t>
      </w:r>
      <w:r>
        <w:br/>
      </w:r>
      <w:r>
        <w:rPr>
          <w:rStyle w:val="VerbatimChar"/>
        </w:rPr>
        <w:t xml:space="preserve">3. Adrénaline 0.5 mg IM (face latérale cuisse)</w:t>
      </w:r>
      <w:r>
        <w:br/>
      </w:r>
      <w:r>
        <w:rPr>
          <w:rStyle w:val="VerbatimChar"/>
        </w:rPr>
        <w:t xml:space="preserve">   → Répéter toutes les 5 min si besoin</w:t>
      </w:r>
      <w:r>
        <w:br/>
      </w:r>
      <w:r>
        <w:rPr>
          <w:rStyle w:val="VerbatimChar"/>
        </w:rPr>
        <w:t xml:space="preserve">4. Remplissage NaCl 500 mL en 10 min</w:t>
      </w:r>
      <w:r>
        <w:br/>
      </w:r>
      <w:r>
        <w:rPr>
          <w:rStyle w:val="VerbatimChar"/>
        </w:rPr>
        <w:t xml:space="preserve">5. Antihistaminique IV</w:t>
      </w:r>
      <w:r>
        <w:br/>
      </w:r>
      <w:r>
        <w:rPr>
          <w:rStyle w:val="VerbatimChar"/>
        </w:rPr>
        <w:t xml:space="preserve">6. ± Corticoïde (prednisolone 50 mg IV)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8" w:name="section-physicien-médical"/>
    <w:p>
      <w:pPr>
        <w:pStyle w:val="Heading1"/>
      </w:pPr>
      <w:r>
        <w:t xml:space="preserve">3. Section Physicien Médical</w:t>
      </w:r>
    </w:p>
    <w:bookmarkStart w:id="55" w:name="paramètres-dacquisition-tep"/>
    <w:p>
      <w:pPr>
        <w:pStyle w:val="Heading2"/>
      </w:pPr>
      <w:r>
        <w:t xml:space="preserve">3.1 Paramètres d’Acquisition TEP</w:t>
      </w:r>
    </w:p>
    <w:bookmarkStart w:id="52" w:name="activité-fdg"/>
    <w:p>
      <w:pPr>
        <w:pStyle w:val="Heading3"/>
      </w:pPr>
      <w:r>
        <w:t xml:space="preserve">3.1.1 Activité FDG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MBq/kg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pratique locale</w:t>
            </w:r>
          </w:p>
        </w:tc>
      </w:tr>
    </w:tbl>
    <w:bookmarkEnd w:id="52"/>
    <w:bookmarkStart w:id="53" w:name="champ-de-vue"/>
    <w:p>
      <w:pPr>
        <w:pStyle w:val="Heading3"/>
      </w:pPr>
      <w:r>
        <w:t xml:space="preserve">3.1.3 Champ de Vue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Étendue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Vertex (ou base crâne) → mi-cuisses</w:t>
            </w:r>
          </w:p>
        </w:tc>
      </w:tr>
    </w:tbl>
    <w:bookmarkEnd w:id="53"/>
    <w:bookmarkStart w:id="54" w:name="ordre-dacquisition"/>
    <w:p>
      <w:pPr>
        <w:pStyle w:val="Heading3"/>
      </w:pPr>
      <w:r>
        <w:t xml:space="preserve">3.1.4 Ordre d’Acquisition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54"/>
        <w:gridCol w:w="3852"/>
        <w:gridCol w:w="17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Ordre recommandé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Sans furosémide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Pelvis → Thorax → Tête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Minimiser remplissage vésical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Avec furosémide/sonde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(Tête → Pelvis)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Drainage continu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paramètres-ct-diagnostique-injecté"/>
    <w:p>
      <w:pPr>
        <w:pStyle w:val="Heading2"/>
      </w:pPr>
      <w:r>
        <w:t xml:space="preserve">3.2 Paramètres CT Diagnostique Injecté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22"/>
        <w:gridCol w:w="1980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kV 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Adapter poids 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Selon protocole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Modulation dose si disponible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Reconstructions fines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Inspiration bloquée (thorax)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Expiration douce (abdomen-pelvis)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dose-effective"/>
    <w:p>
      <w:pPr>
        <w:pStyle w:val="Heading2"/>
      </w:pPr>
      <w:r>
        <w:t xml:space="preserve">3.5 Dose Effective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Composante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 estimée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mSv pour 185 MBq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EANM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 très bas dose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mSv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EANM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 diagnostique injecté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10-20 mSv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EANM 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typique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13-23 mSv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lockText"/>
      </w:pPr>
      <w:r>
        <w:t xml:space="preserve">Coefficient FDG : 1.7 × 10⁻² mSv/MBq (EANM v3.0)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8" w:name="section-médecin-interprétant"/>
    <w:p>
      <w:pPr>
        <w:pStyle w:val="Heading1"/>
      </w:pPr>
      <w:r>
        <w:t xml:space="preserve">4. Section Médecin Interprétant</w:t>
      </w:r>
    </w:p>
    <w:bookmarkStart w:id="61" w:name="pièges-et-faux-positifs-pmid-28287942"/>
    <w:p>
      <w:pPr>
        <w:pStyle w:val="Heading2"/>
      </w:pPr>
      <w:r>
        <w:t xml:space="preserve">4.1 Pièges et Faux Positifs (PMID 28287942)</w:t>
      </w:r>
    </w:p>
    <w:bookmarkStart w:id="59" w:name="uptake-physiologique"/>
    <w:p>
      <w:pPr>
        <w:pStyle w:val="Heading3"/>
      </w:pPr>
      <w:r>
        <w:t xml:space="preserve">4.1.1 Uptake Physiologique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3"/>
        <w:gridCol w:w="3315"/>
        <w:gridCol w:w="3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Caractéristiques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Différentiation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Endomètre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selon cycle (pic ovulatoire/sécrétoire)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Documenter DDR, corrélation 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Corps jaune fonctionnel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Aspect typique, régression au cycle suivant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Uretères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Activité linéaire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Trajet anatomique, NAC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Vessie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Intense,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Protocole furosémide/miction</w:t>
            </w:r>
          </w:p>
        </w:tc>
      </w:tr>
    </w:tbl>
    <w:bookmarkEnd w:id="59"/>
    <w:bookmarkStart w:id="60" w:name="pathologies-bénignes"/>
    <w:p>
      <w:pPr>
        <w:pStyle w:val="Heading3"/>
      </w:pPr>
      <w:r>
        <w:t xml:space="preserve">4.1.2 Pathologies Bénignes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540"/>
        <w:gridCol w:w="37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Piège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Différentiation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Fibromes utérins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Uptake variable (surtout si dégénérescence)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Aspect CT typique, 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Endométriose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Hypermétabolisme inflammatoire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Contexte clinique, 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PID (infection pelvienne)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Uptake intense diffus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Clinique, marqueurs inflammatoires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Kyste fonctionnel hémorragique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Uptake modéré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Aspect CT liquidien, suivi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pièges-et-faux-négatifs-pmid-28287942"/>
    <w:p>
      <w:pPr>
        <w:pStyle w:val="Heading2"/>
      </w:pPr>
      <w:r>
        <w:t xml:space="preserve">4.2 Pièges et Faux Négatifs (PMID 28287942)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04"/>
        <w:gridCol w:w="2184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Tumeurs mucineuses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Faible métabolisme glucidique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fier au CT, 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Tumeurs kystiques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Composante liquidienne non avide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Analyse paroi, nodules muraux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Petites lésions péritonéales (&lt;1 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Résolution spatiale limitée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 injecté, IRM diffusion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Tumeurs de bas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Métabolisme glucidique moindre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Corrélation histologie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Lésions nécrotiques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Centre non viable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Hypermétabolisme périphérique en anneau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Masquage par vessie/intestin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Activité physiologique adjacente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Furosémide, acquisition tardive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71" w:name="interprétation-par-localisation-tumorale"/>
    <w:p>
      <w:pPr>
        <w:pStyle w:val="Heading2"/>
      </w:pPr>
      <w:r>
        <w:t xml:space="preserve">4.3 Interprétation par Localisation Tumorale</w:t>
      </w:r>
    </w:p>
    <w:bookmarkStart w:id="65" w:name="cancer-du-col-utérin-pmid-33275178"/>
    <w:p>
      <w:pPr>
        <w:pStyle w:val="Heading3"/>
      </w:pPr>
      <w:r>
        <w:t xml:space="preserve">4.3.1 Cancer du Col Utérin (PMID 33275178)</w:t>
      </w:r>
    </w:p>
    <w:bookmarkStart w:id="63" w:name="points-dattention-staging"/>
    <w:p>
      <w:pPr>
        <w:pStyle w:val="Heading4"/>
      </w:pPr>
      <w:r>
        <w:t xml:space="preserve">Points d’attention staging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4"/>
        <w:gridCol w:w="2568"/>
        <w:gridCol w:w="40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 ajoutée PCI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Tumeur 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 locale, taille, paramètres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Délimitation vs vessie/rectum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Paramètres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Envahissement latéral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Différentiation vaisseaux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Ganglions pelviens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Iliaques internes/externes, obturateurs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Localisation anatomique précise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Ganglions para-aortiques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Jusqu’aux vaisseaux rénaux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Différentiation ganglion/vaisseau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Envahissement vésical/rectal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Contact, envahissement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Rehaussement des parois</w:t>
            </w:r>
          </w:p>
        </w:tc>
      </w:tr>
    </w:tbl>
    <w:bookmarkEnd w:id="63"/>
    <w:bookmarkStart w:id="64" w:name="acquisition-vessie-vide"/>
    <w:p>
      <w:pPr>
        <w:pStyle w:val="Heading4"/>
      </w:pPr>
      <w:r>
        <w:t xml:space="preserve">Acquisition vessie vide</w:t>
      </w:r>
    </w:p>
    <w:p>
      <w:pPr>
        <w:pStyle w:val="BlockText"/>
      </w:pPr>
      <w:r>
        <w:t xml:space="preserve">“</w:t>
      </w:r>
      <w:r>
        <w:t xml:space="preserve">Acquisition should be performed with an</w:t>
      </w:r>
      <w:r>
        <w:t xml:space="preserve"> </w:t>
      </w:r>
      <w:r>
        <w:rPr>
          <w:bCs/>
          <w:b/>
        </w:rPr>
        <w:t xml:space="preserve">empty bladder</w:t>
      </w:r>
      <w:r>
        <w:t xml:space="preserve">. Patients should void just prior to the [18F]FDG PET/CT.</w:t>
      </w:r>
      <w:r>
        <w:t xml:space="preserve">”</w:t>
      </w:r>
      <w:r>
        <w:t xml:space="preserve"> </w:t>
      </w:r>
      <w:r>
        <w:t xml:space="preserve">(PMID 33275178)</w:t>
      </w:r>
    </w:p>
    <w:bookmarkEnd w:id="64"/>
    <w:bookmarkEnd w:id="65"/>
    <w:bookmarkStart w:id="67" w:name="cancer-de-lovaire-pmid-34215923"/>
    <w:p>
      <w:pPr>
        <w:pStyle w:val="Heading3"/>
      </w:pPr>
      <w:r>
        <w:t xml:space="preserve">4.3.2 Cancer de l’Ovaire (PMID 34215923)</w:t>
      </w:r>
    </w:p>
    <w:bookmarkStart w:id="66" w:name="points-dattention-staging-1"/>
    <w:p>
      <w:pPr>
        <w:pStyle w:val="Heading4"/>
      </w:pPr>
      <w:r>
        <w:t xml:space="preserve">Points d’attention staging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4"/>
        <w:gridCol w:w="2568"/>
        <w:gridCol w:w="40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 ajoutée PCI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Masse ovarienne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Caractérisation (kystique, solide, mixte)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Rehaussement composantes solides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Carcinose péritonéale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Nodules, épaississement péritonéal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Différentiation anses intestinales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Épiploon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Gâteau épiploïque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Délimitation anatomique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Coupoles diaphragmatiques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Implants sous-phréniques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Différentiation ascite/implant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Ganglions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Pelviens et rétropéritonéaux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Localisation précise</w:t>
            </w:r>
          </w:p>
        </w:tc>
      </w:tr>
    </w:tbl>
    <w:p>
      <w:pPr>
        <w:pStyle w:val="BlockText"/>
      </w:pPr>
      <w:r>
        <w:rPr>
          <w:bCs/>
          <w:b/>
        </w:rPr>
        <w:t xml:space="preserve">Limite connue:</w:t>
      </w:r>
      <w:r>
        <w:t xml:space="preserve"> </w:t>
      </w:r>
      <w:r>
        <w:t xml:space="preserve">Faible sensibilité pour carcinose microscopique (&lt;1 cm) (PMID 34215923)</w:t>
      </w:r>
    </w:p>
    <w:bookmarkEnd w:id="66"/>
    <w:bookmarkEnd w:id="67"/>
    <w:bookmarkStart w:id="69" w:name="cancer-de-lendomètre"/>
    <w:p>
      <w:pPr>
        <w:pStyle w:val="Heading3"/>
      </w:pPr>
      <w:r>
        <w:t xml:space="preserve">4.3.3 Cancer de l’Endomètre</w:t>
      </w:r>
    </w:p>
    <w:p>
      <w:pPr>
        <w:pStyle w:val="BlockText"/>
      </w:pPr>
      <w:r>
        <w:rPr>
          <w:bCs/>
          <w:b/>
        </w:rPr>
        <w:t xml:space="preserve">Pas de guideline EANM spécifique.</w:t>
      </w:r>
    </w:p>
    <w:bookmarkStart w:id="68" w:name="uptake-endométrial-physiologique"/>
    <w:p>
      <w:pPr>
        <w:pStyle w:val="Heading4"/>
      </w:pPr>
      <w:r>
        <w:t xml:space="preserve">Uptake endométrial physiologique</w:t>
      </w:r>
    </w:p>
    <w:p>
      <w:pPr>
        <w:pStyle w:val="BlockText"/>
      </w:pPr>
      <w:r>
        <w:t xml:space="preserve">“</w:t>
      </w:r>
      <w:r>
        <w:t xml:space="preserve">Endometrial uptake […] varies during the menstrual cycle, with peak uptake during the ovulatory and secretory phases.</w:t>
      </w:r>
      <w:r>
        <w:t xml:space="preserve">”</w:t>
      </w:r>
      <w:r>
        <w:t xml:space="preserve"> </w:t>
      </w:r>
      <w:r>
        <w:t xml:space="preserve">(PMID 28287942)</w:t>
      </w:r>
    </w:p>
    <w:p>
      <w:pPr>
        <w:pStyle w:val="FirstParagraph"/>
      </w:pPr>
      <w:r>
        <w:rPr>
          <w:bCs/>
          <w:b/>
        </w:rPr>
        <w:t xml:space="preserve">Interprétation:</w:t>
      </w:r>
      <w:r>
        <w:t xml:space="preserve"> </w:t>
      </w:r>
      <w:r>
        <w:t xml:space="preserve">Documenter DDR, prudence en préménopause.</w:t>
      </w:r>
    </w:p>
    <w:bookmarkEnd w:id="68"/>
    <w:bookmarkEnd w:id="69"/>
    <w:bookmarkStart w:id="70" w:name="cancer-vulvevagin"/>
    <w:p>
      <w:pPr>
        <w:pStyle w:val="Heading3"/>
      </w:pPr>
      <w:r>
        <w:t xml:space="preserve">4.4.4 Cancer Vulve/Vagin</w:t>
      </w:r>
    </w:p>
    <w:bookmarkEnd w:id="70"/>
    <w:bookmarkEnd w:id="71"/>
    <w:bookmarkStart w:id="72" w:name="pas-de-guideline-eanm-spécifique."/>
    <w:p>
      <w:pPr>
        <w:pStyle w:val="Heading2"/>
      </w:pPr>
      <w:r>
        <w:t xml:space="preserve">&gt;</w:t>
      </w:r>
      <w:r>
        <w:t xml:space="preserve"> </w:t>
      </w:r>
      <w:r>
        <w:rPr>
          <w:bCs/>
          <w:b/>
        </w:rPr>
        <w:t xml:space="preserve">Pas de guideline EANM spécifique.</w:t>
      </w:r>
    </w:p>
    <w:bookmarkEnd w:id="72"/>
    <w:bookmarkStart w:id="75" w:name="artefacts-liés-au-contraste-eanm-v3.0"/>
    <w:p>
      <w:pPr>
        <w:pStyle w:val="Heading2"/>
      </w:pPr>
      <w:r>
        <w:t xml:space="preserve">4.5 Artefacts liés au Contraste (EANM v3.0)</w:t>
      </w:r>
    </w:p>
    <w:bookmarkStart w:id="73" w:name="artefacts-de-correction-datténuation"/>
    <w:p>
      <w:pPr>
        <w:pStyle w:val="Heading3"/>
      </w:pPr>
      <w:r>
        <w:t xml:space="preserve">4.5.1 Artefacts de Correction d’Atténuation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11"/>
        <w:gridCol w:w="1980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Haute concentration PCI (bolus veineux)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Surestimation SUV focale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images NAC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Contraste oral (baryum)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Artefacts intestinaux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Préférer eau/agents hydrosolubles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Implants métalliques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Hyperfixation artéfactuelle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NAC</w:t>
            </w:r>
          </w:p>
        </w:tc>
      </w:tr>
    </w:tbl>
    <w:bookmarkEnd w:id="73"/>
    <w:bookmarkStart w:id="74" w:name="conduite-à-tenir"/>
    <w:p>
      <w:pPr>
        <w:pStyle w:val="Heading3"/>
      </w:pPr>
      <w:r>
        <w:t xml:space="preserve">4.5.2 Conduite à tenir</w:t>
      </w:r>
    </w:p>
    <w:p>
      <w:pPr>
        <w:pStyle w:val="BlockText"/>
      </w:pPr>
      <w:r>
        <w:t xml:space="preserve">“</w:t>
      </w:r>
      <w:r>
        <w:t xml:space="preserve">Lesions found on AC-PET images should be checked on NAC-PET images if located adjacent to highly attenuating material.</w:t>
      </w:r>
      <w:r>
        <w:t xml:space="preserve">”</w:t>
      </w:r>
      <w:r>
        <w:t xml:space="preserve"> </w:t>
      </w:r>
      <w:r>
        <w:t xml:space="preserve">(EANM v3.0)</w:t>
      </w:r>
    </w:p>
    <w:p>
      <w:pPr>
        <w:pStyle w:val="FirstParagraph"/>
      </w:pPr>
      <w:r>
        <w:rPr>
          <w:bCs/>
          <w:b/>
        </w:rPr>
        <w:t xml:space="preserve">Pratique:</w:t>
      </w:r>
      <w:r>
        <w:t xml:space="preserve"> </w:t>
      </w:r>
      <w:r>
        <w:t xml:space="preserve">1. Lésion suspecte adjacente à structure hyperatténuante → vérifier NAC</w:t>
      </w:r>
      <w:r>
        <w:t xml:space="preserve"> </w:t>
      </w:r>
      <w:r>
        <w:t xml:space="preserve">2. Si présente sur NAC → vraie lésion</w:t>
      </w:r>
      <w:r>
        <w:t xml:space="preserve"> </w:t>
      </w:r>
      <w:r>
        <w:t xml:space="preserve">3. Si absente sur NAC → artefact probable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quantification-impact-du-pci-sur-suv"/>
    <w:p>
      <w:pPr>
        <w:pStyle w:val="Heading2"/>
      </w:pPr>
      <w:r>
        <w:t xml:space="preserve">4.6 Quantification : Impact du PCI sur SUV</w:t>
      </w:r>
    </w:p>
    <w:p>
      <w:pPr>
        <w:pStyle w:val="BlockText"/>
      </w:pPr>
      <w:r>
        <w:t xml:space="preserve">“</w:t>
      </w:r>
      <w:r>
        <w:t xml:space="preserve">Administering intravenous or diluted oral contrast media</w:t>
      </w:r>
      <w:r>
        <w:t xml:space="preserve"> </w:t>
      </w:r>
      <w:r>
        <w:rPr>
          <w:bCs/>
          <w:b/>
        </w:rPr>
        <w:t xml:space="preserve">does not affect visual assessment</w:t>
      </w:r>
      <w:r>
        <w:t xml:space="preserve"> </w:t>
      </w:r>
      <w:r>
        <w:t xml:space="preserve">of PET/CT in an oncological setting.</w:t>
      </w:r>
      <w:r>
        <w:t xml:space="preserve">”</w:t>
      </w:r>
      <w:r>
        <w:t xml:space="preserve"> </w:t>
      </w:r>
      <w:r>
        <w:t xml:space="preserve">(PMID 33275178)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Interprétation visuelle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 d’impact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SUV absolu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Légère surestimation possible aux sites de fort rehaussement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Comparaison inter-examens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Utiliser même protocole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Xb10e5bcd1436dd3945e77d28874bf27baef33a8"/>
    <w:p>
      <w:pPr>
        <w:pStyle w:val="Heading2"/>
      </w:pPr>
      <w:r>
        <w:t xml:space="preserve">4.7 Compte-Rendu, Partie Technique : Éléments à Mentionner</w:t>
      </w:r>
    </w:p>
    <w:p>
      <w:pPr>
        <w:numPr>
          <w:ilvl w:val="0"/>
          <w:numId w:val="1003"/>
        </w:numPr>
        <w:pStyle w:val="Compact"/>
      </w:pPr>
      <w:r>
        <w:t xml:space="preserve">Type d’examen : TEP CT FDG corps entier</w:t>
      </w:r>
    </w:p>
    <w:p>
      <w:pPr>
        <w:numPr>
          <w:ilvl w:val="0"/>
          <w:numId w:val="1003"/>
        </w:numPr>
        <w:pStyle w:val="Compact"/>
      </w:pPr>
      <w:r>
        <w:t xml:space="preserve">Activité injectée (MBq) et heure</w:t>
      </w:r>
    </w:p>
    <w:p>
      <w:pPr>
        <w:numPr>
          <w:ilvl w:val="0"/>
          <w:numId w:val="1003"/>
        </w:numPr>
        <w:pStyle w:val="Compact"/>
      </w:pPr>
      <w:r>
        <w:t xml:space="preserve">Délai injection-acquisition</w:t>
      </w:r>
    </w:p>
    <w:p>
      <w:pPr>
        <w:numPr>
          <w:ilvl w:val="0"/>
          <w:numId w:val="1003"/>
        </w:numPr>
        <w:pStyle w:val="Compact"/>
      </w:pPr>
      <w:r>
        <w:t xml:space="preserve">Injection PCI : type, volume, phase</w:t>
      </w:r>
    </w:p>
    <w:p>
      <w:pPr>
        <w:numPr>
          <w:ilvl w:val="0"/>
          <w:numId w:val="1003"/>
        </w:numPr>
        <w:pStyle w:val="Compact"/>
      </w:pPr>
      <w:r>
        <w:t xml:space="preserve">Protocole vésical : standard / furosémide / sonde</w:t>
      </w:r>
    </w:p>
    <w:p>
      <w:pPr>
        <w:numPr>
          <w:ilvl w:val="0"/>
          <w:numId w:val="1003"/>
        </w:numPr>
        <w:pStyle w:val="Compact"/>
      </w:pPr>
      <w:r>
        <w:t xml:space="preserve">Glycémie pré-injection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annexes-et-fiches-pratiques"/>
    <w:p>
      <w:pPr>
        <w:pStyle w:val="Heading1"/>
      </w:pPr>
      <w:r>
        <w:t xml:space="preserve">5. Annexes et Fiches Pratiques</w:t>
      </w:r>
    </w:p>
    <w:bookmarkStart w:id="79" w:name="fiche-synthèse-manipulateur"/>
    <w:p>
      <w:pPr>
        <w:pStyle w:val="Heading2"/>
      </w:pPr>
      <w:r>
        <w:t xml:space="preserve">5.1 Fiche Synthèse Manipulateur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TEP CT FDG GYNÉCO - FICHE MANIPULATEUR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 VÉRIFICATIONS ARRIVÉE                                       ║</w:t>
      </w:r>
      <w:r>
        <w:br/>
      </w:r>
      <w:r>
        <w:rPr>
          <w:rStyle w:val="VerbatimChar"/>
        </w:rPr>
        <w:t xml:space="preserve">║  □ Jeûne ≥6h                                                 ║</w:t>
      </w:r>
      <w:r>
        <w:br/>
      </w:r>
      <w:r>
        <w:rPr>
          <w:rStyle w:val="VerbatimChar"/>
        </w:rPr>
        <w:t xml:space="preserve">║  □ Glycémie &lt;11 mmol/L                                       ║</w:t>
      </w:r>
      <w:r>
        <w:br/>
      </w:r>
      <w:r>
        <w:rPr>
          <w:rStyle w:val="VerbatimChar"/>
        </w:rPr>
        <w:t xml:space="preserve">║  □ eGFR vérifié si FDR (&gt;30 OK pour PCI)                     ║</w:t>
      </w:r>
      <w:r>
        <w:br/>
      </w:r>
      <w:r>
        <w:rPr>
          <w:rStyle w:val="VerbatimChar"/>
        </w:rPr>
        <w:t xml:space="preserve">║  □ Grossesse exclue                                          ║</w:t>
      </w:r>
      <w:r>
        <w:br/>
      </w:r>
      <w:r>
        <w:rPr>
          <w:rStyle w:val="VerbatimChar"/>
        </w:rPr>
        <w:t xml:space="preserve">║  □ DDR notée (si préménopause)                               ║</w:t>
      </w:r>
      <w:r>
        <w:br/>
      </w:r>
      <w:r>
        <w:rPr>
          <w:rStyle w:val="VerbatimChar"/>
        </w:rPr>
        <w:t xml:space="preserve">║  □ Allergie PCI questionnée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 MATÉRIEL                                                    ║</w:t>
      </w:r>
      <w:r>
        <w:br/>
      </w:r>
      <w:r>
        <w:rPr>
          <w:rStyle w:val="VerbatimChar"/>
        </w:rPr>
        <w:t xml:space="preserve">║  □ VVP 20G minimum                                           ║</w:t>
      </w:r>
      <w:r>
        <w:br/>
      </w:r>
      <w:r>
        <w:rPr>
          <w:rStyle w:val="VerbatimChar"/>
        </w:rPr>
        <w:t xml:space="preserve">║  □ Kit urgence vérifié (adrénaline ++)                       ║</w:t>
      </w:r>
      <w:r>
        <w:br/>
      </w:r>
      <w:r>
        <w:rPr>
          <w:rStyle w:val="VerbatimChar"/>
        </w:rPr>
        <w:t xml:space="preserve">║  □ PCI réchauffé 37°C                                        ║</w:t>
      </w:r>
      <w:r>
        <w:br/>
      </w:r>
      <w:r>
        <w:rPr>
          <w:rStyle w:val="VerbatimChar"/>
        </w:rPr>
        <w:t xml:space="preserve">║  □ [FUROSÉMIDE] Sonde Foley + poche                          ║</w:t>
      </w:r>
      <w:r>
        <w:br/>
      </w:r>
      <w:r>
        <w:rPr>
          <w:rStyle w:val="VerbatimChar"/>
        </w:rPr>
        <w:t xml:space="preserve">║  □ [FUROSÉMIDE] Perfusion NaCl 0.9% 1L        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 CHRONOLOGIE                                                 ║</w:t>
      </w:r>
      <w:r>
        <w:br/>
      </w:r>
      <w:r>
        <w:rPr>
          <w:rStyle w:val="VerbatimChar"/>
        </w:rPr>
        <w:t xml:space="preserve">║  T-10    [FURO] Pose sonde Foley                             ║</w:t>
      </w:r>
      <w:r>
        <w:br/>
      </w:r>
      <w:r>
        <w:rPr>
          <w:rStyle w:val="VerbatimChar"/>
        </w:rPr>
        <w:t xml:space="preserve">║  T0      Injection FDG _____ MBq à _____h_____               ║</w:t>
      </w:r>
      <w:r>
        <w:br/>
      </w:r>
      <w:r>
        <w:rPr>
          <w:rStyle w:val="VerbatimChar"/>
        </w:rPr>
        <w:t xml:space="preserve">║  T+5     [FURO] Furosémide _____ mg IV                       ║</w:t>
      </w:r>
      <w:r>
        <w:br/>
      </w:r>
      <w:r>
        <w:rPr>
          <w:rStyle w:val="VerbatimChar"/>
        </w:rPr>
        <w:t xml:space="preserve">║  T0→T60  Repos + [FURO] perfusion                            ║</w:t>
      </w:r>
      <w:r>
        <w:br/>
      </w:r>
      <w:r>
        <w:rPr>
          <w:rStyle w:val="VerbatimChar"/>
        </w:rPr>
        <w:t xml:space="preserve">║  T58     Miction (si pas sonde)                              ║</w:t>
      </w:r>
      <w:r>
        <w:br/>
      </w:r>
      <w:r>
        <w:rPr>
          <w:rStyle w:val="VerbatimChar"/>
        </w:rPr>
        <w:t xml:space="preserve">║  T60     Installation table                                  ║</w:t>
      </w:r>
      <w:r>
        <w:br/>
      </w:r>
      <w:r>
        <w:rPr>
          <w:rStyle w:val="VerbatimChar"/>
        </w:rPr>
        <w:t xml:space="preserve">║          Injection PCI: ____ mL à 2.5 mL/s                   ║</w:t>
      </w:r>
      <w:r>
        <w:br/>
      </w:r>
      <w:r>
        <w:rPr>
          <w:rStyle w:val="VerbatimChar"/>
        </w:rPr>
        <w:t xml:space="preserve">║          Délai 50-70 sec → CT                                ║</w:t>
      </w:r>
      <w:r>
        <w:br/>
      </w:r>
      <w:r>
        <w:rPr>
          <w:rStyle w:val="VerbatimChar"/>
        </w:rPr>
        <w:t xml:space="preserve">║          Acquisition TEP                      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║  SURVEILLANCE POST                                           ║</w:t>
      </w:r>
      <w:r>
        <w:br/>
      </w:r>
      <w:r>
        <w:rPr>
          <w:rStyle w:val="VerbatimChar"/>
        </w:rPr>
        <w:t xml:space="preserve">║  □ 15-30 min surveillance                                    ║</w:t>
      </w:r>
      <w:r>
        <w:br/>
      </w:r>
      <w:r>
        <w:rPr>
          <w:rStyle w:val="VerbatimChar"/>
        </w:rPr>
        <w:t xml:space="preserve">║  □ [FURO] Retrait sonde, vérifier miction                    ║</w:t>
      </w:r>
      <w:r>
        <w:br/>
      </w:r>
      <w:r>
        <w:rPr>
          <w:rStyle w:val="VerbatimChar"/>
        </w:rPr>
        <w:t xml:space="preserve">║       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79"/>
    <w:bookmarkStart w:id="82" w:name="arbres-décisionnels"/>
    <w:p>
      <w:pPr>
        <w:pStyle w:val="Heading2"/>
      </w:pPr>
      <w:r>
        <w:t xml:space="preserve">5.2 Arbres Décisionnels</w:t>
      </w:r>
    </w:p>
    <w:bookmarkStart w:id="80" w:name="éligibilité-injection-pci"/>
    <w:p>
      <w:pPr>
        <w:pStyle w:val="Heading3"/>
      </w:pPr>
      <w:r>
        <w:t xml:space="preserve">5.2.1 Éligibilité Injection PCI</w:t>
      </w:r>
    </w:p>
    <w:p>
      <w:pPr>
        <w:pStyle w:val="SourceCode"/>
      </w:pPr>
      <w:r>
        <w:rPr>
          <w:rStyle w:val="VerbatimChar"/>
        </w:rPr>
        <w:t xml:space="preserve">                    PATIENT ÉLIGIBLE AU PCI ?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 │                           │</w:t>
      </w:r>
      <w:r>
        <w:br/>
      </w:r>
      <w:r>
        <w:rPr>
          <w:rStyle w:val="VerbatimChar"/>
        </w:rPr>
        <w:t xml:space="preserve">      Allergie sévère PCI ?         Hyperthyroïdie</w:t>
      </w:r>
      <w:r>
        <w:br/>
      </w:r>
      <w:r>
        <w:rPr>
          <w:rStyle w:val="VerbatimChar"/>
        </w:rPr>
        <w:t xml:space="preserve">              │                     non contrôlée ?</w:t>
      </w:r>
      <w:r>
        <w:br/>
      </w:r>
      <w:r>
        <w:rPr>
          <w:rStyle w:val="VerbatimChar"/>
        </w:rPr>
        <w:t xml:space="preserve">       ┌──────┴──────┐                    │</w:t>
      </w:r>
      <w:r>
        <w:br/>
      </w:r>
      <w:r>
        <w:rPr>
          <w:rStyle w:val="VerbatimChar"/>
        </w:rPr>
        <w:t xml:space="preserve">      OUI           NON             ┌─────┴─────┐</w:t>
      </w:r>
      <w:r>
        <w:br/>
      </w:r>
      <w:r>
        <w:rPr>
          <w:rStyle w:val="VerbatimChar"/>
        </w:rPr>
        <w:t xml:space="preserve">       │             │             OUI         NON</w:t>
      </w:r>
      <w:r>
        <w:br/>
      </w:r>
      <w:r>
        <w:rPr>
          <w:rStyle w:val="VerbatimChar"/>
        </w:rPr>
        <w:t xml:space="preserve">       ▼             │              │           │</w:t>
      </w:r>
      <w:r>
        <w:br/>
      </w:r>
      <w:r>
        <w:rPr>
          <w:rStyle w:val="VerbatimChar"/>
        </w:rPr>
        <w:t xml:space="preserve">   CONTRE-INDIQUÉ    │              ▼           │</w:t>
      </w:r>
      <w:r>
        <w:br/>
      </w:r>
      <w:r>
        <w:rPr>
          <w:rStyle w:val="VerbatimChar"/>
        </w:rPr>
        <w:t xml:space="preserve">   (discuter avis    │         REPORTER         │</w:t>
      </w:r>
      <w:r>
        <w:br/>
      </w:r>
      <w:r>
        <w:rPr>
          <w:rStyle w:val="VerbatimChar"/>
        </w:rPr>
        <w:t xml:space="preserve">    allergologue)    │                          │</w:t>
      </w:r>
      <w:r>
        <w:br/>
      </w:r>
      <w:r>
        <w:rPr>
          <w:rStyle w:val="VerbatimChar"/>
        </w:rPr>
        <w:t xml:space="preserve">                     └──────────┬───────────────┘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Facteur de risque rénal ?</w:t>
      </w:r>
      <w:r>
        <w:br/>
      </w:r>
      <w:r>
        <w:rPr>
          <w:rStyle w:val="VerbatimChar"/>
        </w:rPr>
        <w:t xml:space="preserve">                    (questionnaire ESUR)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┌──────┴──────┐</w:t>
      </w:r>
      <w:r>
        <w:br/>
      </w:r>
      <w:r>
        <w:rPr>
          <w:rStyle w:val="VerbatimChar"/>
        </w:rPr>
        <w:t xml:space="preserve">                        OUI           NON</w:t>
      </w:r>
      <w:r>
        <w:br/>
      </w:r>
      <w:r>
        <w:rPr>
          <w:rStyle w:val="VerbatimChar"/>
        </w:rPr>
        <w:t xml:space="preserve">                         │             │</w:t>
      </w:r>
      <w:r>
        <w:br/>
      </w:r>
      <w:r>
        <w:rPr>
          <w:rStyle w:val="VerbatimChar"/>
        </w:rPr>
        <w:t xml:space="preserve">                         ▼             ▼</w:t>
      </w:r>
      <w:r>
        <w:br/>
      </w:r>
      <w:r>
        <w:rPr>
          <w:rStyle w:val="VerbatimChar"/>
        </w:rPr>
        <w:t xml:space="preserve">                    Vérifier eGFR   ÉLIGIBLE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┌──────────┼──────────┐</w:t>
      </w:r>
      <w:r>
        <w:br/>
      </w:r>
      <w:r>
        <w:rPr>
          <w:rStyle w:val="VerbatimChar"/>
        </w:rPr>
        <w:t xml:space="preserve">              │          │          │</w:t>
      </w:r>
      <w:r>
        <w:br/>
      </w:r>
      <w:r>
        <w:rPr>
          <w:rStyle w:val="VerbatimChar"/>
        </w:rPr>
        <w:t xml:space="preserve">           ≥45        30-44        &lt;30</w:t>
      </w:r>
      <w:r>
        <w:br/>
      </w:r>
      <w:r>
        <w:rPr>
          <w:rStyle w:val="VerbatimChar"/>
        </w:rPr>
        <w:t xml:space="preserve">              │          │          │</w:t>
      </w:r>
      <w:r>
        <w:br/>
      </w:r>
      <w:r>
        <w:rPr>
          <w:rStyle w:val="VerbatimChar"/>
        </w:rPr>
        <w:t xml:space="preserve">              ▼          ▼          ▼</w:t>
      </w:r>
      <w:r>
        <w:br/>
      </w:r>
      <w:r>
        <w:rPr>
          <w:rStyle w:val="VerbatimChar"/>
        </w:rPr>
        <w:t xml:space="preserve">         ÉLIGIBLE   ÉLIGIBLE +   Discussion</w:t>
      </w:r>
      <w:r>
        <w:br/>
      </w:r>
      <w:r>
        <w:rPr>
          <w:rStyle w:val="VerbatimChar"/>
        </w:rPr>
        <w:t xml:space="preserve">                    Hydratation  bénéfice/</w:t>
      </w:r>
      <w:r>
        <w:br/>
      </w:r>
      <w:r>
        <w:rPr>
          <w:rStyle w:val="VerbatimChar"/>
        </w:rPr>
        <w:t xml:space="preserve">                    préventive   risque</w:t>
      </w:r>
    </w:p>
    <w:bookmarkEnd w:id="80"/>
    <w:bookmarkStart w:id="81" w:name="choix-protocole-vésical"/>
    <w:p>
      <w:pPr>
        <w:pStyle w:val="Heading3"/>
      </w:pPr>
      <w:r>
        <w:t xml:space="preserve">5.2.2 Choix Protocole Vésical</w:t>
      </w:r>
    </w:p>
    <w:p>
      <w:pPr>
        <w:pStyle w:val="SourceCode"/>
      </w:pPr>
      <w:r>
        <w:rPr>
          <w:rStyle w:val="VerbatimChar"/>
        </w:rPr>
        <w:t xml:space="preserve">              CANCER GYNÉCOLOGIQUE PELVIEN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Tumeur proche vessie / paramètres ?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┌──────┴──────┐</w:t>
      </w:r>
      <w:r>
        <w:br/>
      </w:r>
      <w:r>
        <w:rPr>
          <w:rStyle w:val="VerbatimChar"/>
        </w:rPr>
        <w:t xml:space="preserve">                 OUI           NON</w:t>
      </w:r>
      <w:r>
        <w:br/>
      </w:r>
      <w:r>
        <w:rPr>
          <w:rStyle w:val="VerbatimChar"/>
        </w:rPr>
        <w:t xml:space="preserve">                  │             │</w:t>
      </w:r>
      <w:r>
        <w:br/>
      </w:r>
      <w:r>
        <w:rPr>
          <w:rStyle w:val="VerbatimChar"/>
        </w:rPr>
        <w:t xml:space="preserve">                  ▼             ▼</w:t>
      </w:r>
      <w:r>
        <w:br/>
      </w:r>
      <w:r>
        <w:rPr>
          <w:rStyle w:val="VerbatimChar"/>
        </w:rPr>
        <w:t xml:space="preserve">         Contre-indication    PROTOCOLE</w:t>
      </w:r>
      <w:r>
        <w:br/>
      </w:r>
      <w:r>
        <w:rPr>
          <w:rStyle w:val="VerbatimChar"/>
        </w:rPr>
        <w:t xml:space="preserve">            furosémide ?      STANDARD</w:t>
      </w:r>
      <w:r>
        <w:br/>
      </w:r>
      <w:r>
        <w:rPr>
          <w:rStyle w:val="VerbatimChar"/>
        </w:rPr>
        <w:t xml:space="preserve">                  │           (miction</w:t>
      </w:r>
      <w:r>
        <w:br/>
      </w:r>
      <w:r>
        <w:rPr>
          <w:rStyle w:val="VerbatimChar"/>
        </w:rPr>
        <w:t xml:space="preserve">           ┌──────┴──────┐    pré-acquisition)</w:t>
      </w:r>
      <w:r>
        <w:br/>
      </w:r>
      <w:r>
        <w:rPr>
          <w:rStyle w:val="VerbatimChar"/>
        </w:rPr>
        <w:t xml:space="preserve">          OUI           NON</w:t>
      </w:r>
      <w:r>
        <w:br/>
      </w:r>
      <w:r>
        <w:rPr>
          <w:rStyle w:val="VerbatimChar"/>
        </w:rPr>
        <w:t xml:space="preserve">           │             │</w:t>
      </w:r>
      <w:r>
        <w:br/>
      </w:r>
      <w:r>
        <w:rPr>
          <w:rStyle w:val="VerbatimChar"/>
        </w:rPr>
        <w:t xml:space="preserve">           ▼             ▼</w:t>
      </w:r>
      <w:r>
        <w:br/>
      </w:r>
      <w:r>
        <w:rPr>
          <w:rStyle w:val="VerbatimChar"/>
        </w:rPr>
        <w:t xml:space="preserve">     ACQUISITION      PROTOCOLE</w:t>
      </w:r>
      <w:r>
        <w:br/>
      </w:r>
      <w:r>
        <w:rPr>
          <w:rStyle w:val="VerbatimChar"/>
        </w:rPr>
        <w:t xml:space="preserve">     TARDIVE          FUROSÉMIDE</w:t>
      </w:r>
      <w:r>
        <w:br/>
      </w:r>
      <w:r>
        <w:rPr>
          <w:rStyle w:val="VerbatimChar"/>
        </w:rPr>
        <w:t xml:space="preserve">     (90-120 min)     + SONDE</w:t>
      </w:r>
      <w:r>
        <w:br/>
      </w:r>
      <w:r>
        <w:rPr>
          <w:rStyle w:val="VerbatimChar"/>
        </w:rPr>
        <w:t xml:space="preserve">       OU</w:t>
      </w:r>
      <w:r>
        <w:br/>
      </w:r>
      <w:r>
        <w:rPr>
          <w:rStyle w:val="VerbatimChar"/>
        </w:rPr>
        <w:t xml:space="preserve">     Protocole</w:t>
      </w:r>
      <w:r>
        <w:br/>
      </w:r>
      <w:r>
        <w:rPr>
          <w:rStyle w:val="VerbatimChar"/>
        </w:rPr>
        <w:t xml:space="preserve">     patient-friendly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6" w:name="références"/>
    <w:p>
      <w:pPr>
        <w:pStyle w:val="Heading1"/>
      </w:pPr>
      <w:r>
        <w:t xml:space="preserve">6. Références</w:t>
      </w:r>
    </w:p>
    <w:bookmarkStart w:id="84" w:name="guidelines-principales"/>
    <w:p>
      <w:pPr>
        <w:pStyle w:val="Heading2"/>
      </w:pPr>
      <w:r>
        <w:t xml:space="preserve">6.1 Guidelines Principales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Adam JA et al.</w:t>
      </w:r>
      <w:r>
        <w:t xml:space="preserve"> </w:t>
      </w:r>
      <w:r>
        <w:t xml:space="preserve">EANM/SNMMI practice guideline for [18F]FDG PET/CT external beam radiotherapy treatment planning in uterine cervical cancer v1.0. Eur J Nucl Med Mol Imaging. 2021.</w:t>
      </w:r>
      <w:r>
        <w:t xml:space="preserve"> </w:t>
      </w:r>
      <w:r>
        <w:rPr>
          <w:bCs/>
          <w:b/>
        </w:rPr>
        <w:t xml:space="preserve">PMID 33275178</w:t>
      </w:r>
      <w:r>
        <w:t xml:space="preserve"> </w:t>
      </w:r>
      <w:r>
        <w:t xml:space="preserve">- DOI: 10.1093/rpd/ncl141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Delgado Bolton RC et al.</w:t>
      </w:r>
      <w:r>
        <w:t xml:space="preserve"> </w:t>
      </w:r>
      <w:r>
        <w:t xml:space="preserve">EANM guideline on the role of 2-[18F]FDG PET/CT in diagnosis, staging, prognostic value, therapy assessment and restaging of ovarian cancer. Eur J Nucl Med Mol Imaging. 2021.</w:t>
      </w:r>
      <w:r>
        <w:t xml:space="preserve"> </w:t>
      </w:r>
      <w:r>
        <w:rPr>
          <w:bCs/>
          <w:b/>
        </w:rPr>
        <w:t xml:space="preserve">PMID 34215923</w:t>
      </w:r>
      <w:r>
        <w:t xml:space="preserve"> </w:t>
      </w:r>
      <w:r>
        <w:t xml:space="preserve">- DOI: 10.1002/cncr.24000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Boellaard R et al.</w:t>
      </w:r>
      <w:r>
        <w:t xml:space="preserve"> </w:t>
      </w:r>
      <w:r>
        <w:t xml:space="preserve">[18F]FDG PET/CT: EANM procedure guidelines for tumour imaging: version 3.0. The EANM Journal. 2025. DOI: 10.1016/j.eanmj.2025.100006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ESUR Contrast Media Safety Committee.</w:t>
      </w:r>
      <w:r>
        <w:t xml:space="preserve"> </w:t>
      </w:r>
      <w:r>
        <w:t xml:space="preserve">Guidelines on Contrast Agents. 2025. https://www.esur.org/esur-guidelines-2025/</w:t>
      </w:r>
    </w:p>
    <w:bookmarkEnd w:id="84"/>
    <w:bookmarkStart w:id="85" w:name="articles-de-référence"/>
    <w:p>
      <w:pPr>
        <w:pStyle w:val="Heading2"/>
      </w:pPr>
      <w:r>
        <w:t xml:space="preserve">6.2 Articles de Référence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Antoch G et al.</w:t>
      </w:r>
      <w:r>
        <w:t xml:space="preserve"> </w:t>
      </w:r>
      <w:r>
        <w:t xml:space="preserve">To enhance or not to enhance? 18F-FDG and CT contrast agents in dual-modality 18F-FDG PET/CT. J Nucl Med. 2004.</w:t>
      </w:r>
      <w:r>
        <w:t xml:space="preserve"> </w:t>
      </w:r>
      <w:r>
        <w:rPr>
          <w:bCs/>
          <w:b/>
        </w:rPr>
        <w:t xml:space="preserve">PMID 14736836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Lakhani A et al.</w:t>
      </w:r>
      <w:r>
        <w:t xml:space="preserve"> </w:t>
      </w:r>
      <w:r>
        <w:t xml:space="preserve">FDG PET/CT Pitfalls in Gynecologic and Genitourinary Oncologic Imaging. Radiographics. 2017.</w:t>
      </w:r>
      <w:r>
        <w:t xml:space="preserve"> </w:t>
      </w:r>
      <w:r>
        <w:rPr>
          <w:bCs/>
          <w:b/>
        </w:rPr>
        <w:t xml:space="preserve">PMID 28287942</w:t>
      </w:r>
      <w:r>
        <w:t xml:space="preserve"> </w:t>
      </w:r>
      <w:r>
        <w:t xml:space="preserve">- DOI: 10.1148/rg.2017160059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Tsai SC et al.</w:t>
      </w:r>
      <w:r>
        <w:t xml:space="preserve"> </w:t>
      </w:r>
      <w:r>
        <w:t xml:space="preserve">Reduction of bladder activity on FDG PET/CT scan: a patient-friendly protocol. Nuklearmedizin. 2015.</w:t>
      </w:r>
      <w:r>
        <w:t xml:space="preserve"> </w:t>
      </w:r>
      <w:r>
        <w:rPr>
          <w:bCs/>
          <w:b/>
        </w:rPr>
        <w:t xml:space="preserve">PMID 25345433</w:t>
      </w:r>
      <w:r>
        <w:t xml:space="preserve"> </w:t>
      </w:r>
      <w:r>
        <w:t xml:space="preserve">- DOI: 10.3413/Nukmed-0652-14-03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Rosenkrantz AB et al.</w:t>
      </w:r>
      <w:r>
        <w:t xml:space="preserve"> </w:t>
      </w:r>
      <w:r>
        <w:t xml:space="preserve">Prospective Pilot Study to Evaluate the Incremental Value of PET Information in Patients With Bladder Cancer Undergoing 18F-FDG Simultaneous PET/MRI. Clin Nucl Med. 2017.</w:t>
      </w:r>
      <w:r>
        <w:t xml:space="preserve"> </w:t>
      </w:r>
      <w:r>
        <w:rPr>
          <w:bCs/>
          <w:b/>
        </w:rPr>
        <w:t xml:space="preserve">PMID 27775939</w:t>
      </w:r>
      <w:r>
        <w:t xml:space="preserve"> </w:t>
      </w:r>
      <w:r>
        <w:t xml:space="preserve">- DOI: 10.1097/RLU.0000000000001432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créé le 2026-01-28</w:t>
      </w:r>
      <w:r>
        <w:t xml:space="preserve"> </w:t>
      </w:r>
      <w:r>
        <w:rPr>
          <w:iCs/>
          <w:i/>
        </w:rPr>
        <w:t xml:space="preserve">Projet PET IV - Protocole d’Acquisition Cancers Gynécologiques</w:t>
      </w:r>
      <w:r>
        <w:t xml:space="preserve"> </w:t>
      </w:r>
      <w:r>
        <w:rPr>
          <w:iCs/>
          <w:i/>
        </w:rPr>
        <w:t xml:space="preserve">Version 1.0</w:t>
      </w:r>
    </w:p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2026-01-29T12:23:20Z</dcterms:created>
  <dcterms:modified xsi:type="dcterms:W3CDTF">2026-01-29T12:23:20Z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