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proofErr w:type="spellStart"/>
            <w:r w:rsidRPr="00A2502F">
              <w:rPr>
                <w:rFonts w:cstheme="minorHAnsi"/>
              </w:rPr>
              <w:t>Willian</w:t>
            </w:r>
            <w:proofErr w:type="spellEnd"/>
            <w:r w:rsidRPr="00A2502F">
              <w:rPr>
                <w:rFonts w:cstheme="minorHAnsi"/>
              </w:rPr>
              <w:t xml:space="preserve"> Alejandro </w:t>
            </w:r>
            <w:proofErr w:type="spellStart"/>
            <w:r w:rsidRPr="00A2502F">
              <w:rPr>
                <w:rFonts w:cstheme="minorHAnsi"/>
              </w:rPr>
              <w:t>Idrobo</w:t>
            </w:r>
            <w:proofErr w:type="spellEnd"/>
            <w:r w:rsidRPr="00A2502F">
              <w:rPr>
                <w:rFonts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A2502F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A2502F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 w:rsidR="008A1270">
          <w:rPr>
            <w:noProof/>
            <w:webHidden/>
          </w:rPr>
          <w:fldChar w:fldCharType="end"/>
        </w:r>
      </w:hyperlink>
    </w:p>
    <w:p w:rsidR="00191679" w:rsidRDefault="00F059F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 w:rsidR="008A1270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 w:rsidR="008A1270">
          <w:rPr>
            <w:noProof/>
            <w:webHidden/>
          </w:rPr>
        </w:r>
        <w:r w:rsidR="008A1270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 w:rsidR="008A1270">
          <w:rPr>
            <w:noProof/>
            <w:webHidden/>
          </w:rPr>
          <w:fldChar w:fldCharType="end"/>
        </w:r>
      </w:hyperlink>
    </w:p>
    <w:p w:rsidR="008A42E7" w:rsidRPr="00A2502F" w:rsidRDefault="008A1270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="008A1270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="008A1270" w:rsidRPr="00783AF8">
          <w:rPr>
            <w:b/>
            <w:noProof/>
            <w:webHidden/>
          </w:rPr>
        </w:r>
        <w:r w:rsidR="008A1270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="008A1270"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8A1270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F059F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8A1270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="008A1270" w:rsidRPr="00783AF8">
          <w:rPr>
            <w:rFonts w:cstheme="minorHAnsi"/>
            <w:b/>
            <w:noProof/>
            <w:webHidden/>
          </w:rPr>
        </w:r>
        <w:r w:rsidR="008A1270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="008A1270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8A1270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F86CF9" w:rsidRDefault="00F86CF9" w:rsidP="00373B7F">
      <w:pPr>
        <w:jc w:val="both"/>
        <w:rPr>
          <w:rFonts w:cstheme="minorHAnsi"/>
          <w:szCs w:val="22"/>
        </w:rPr>
      </w:pPr>
      <w:proofErr w:type="spellStart"/>
      <w:r w:rsidRPr="00F86CF9">
        <w:rPr>
          <w:rFonts w:cstheme="minorHAnsi"/>
          <w:szCs w:val="22"/>
          <w:highlight w:val="yellow"/>
        </w:rPr>
        <w:t>Willian</w:t>
      </w:r>
      <w:proofErr w:type="spellEnd"/>
    </w:p>
    <w:p w:rsidR="00F86CF9" w:rsidRPr="00A2502F" w:rsidRDefault="00F86CF9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6B3F8F" w:rsidRPr="004D5D7E" w:rsidRDefault="006B3F8F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Pr="00430B11" w:rsidRDefault="00F86CF9" w:rsidP="00430B11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DE091A">
      <w:pPr>
        <w:pStyle w:val="Prrafodelista"/>
        <w:ind w:left="709"/>
        <w:contextualSpacing w:val="0"/>
        <w:jc w:val="both"/>
        <w:outlineLvl w:val="1"/>
        <w:rPr>
          <w:szCs w:val="22"/>
        </w:rPr>
      </w:pPr>
    </w:p>
    <w:p w:rsidR="00DE091A" w:rsidRPr="008029AF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D43C5E" w:rsidP="00D75B62">
      <w:pPr>
        <w:jc w:val="center"/>
      </w:pPr>
      <w:r w:rsidRPr="00D75B62">
        <w:rPr>
          <w:noProof/>
          <w:lang w:val="en-US" w:eastAsia="en-US"/>
        </w:rPr>
        <w:drawing>
          <wp:inline distT="0" distB="0" distL="0" distR="0">
            <wp:extent cx="4677418" cy="3629653"/>
            <wp:effectExtent l="0" t="0" r="88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F86CF9" w:rsidP="00D75B62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D70E25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</w:t>
            </w:r>
            <w:r>
              <w:rPr>
                <w:sz w:val="20"/>
              </w:rPr>
              <w:t>salas de cine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</w:t>
            </w:r>
            <w:r>
              <w:rPr>
                <w:sz w:val="20"/>
              </w:rPr>
              <w:t xml:space="preserve">las funciones 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</w:t>
            </w:r>
            <w:r>
              <w:rPr>
                <w:sz w:val="20"/>
              </w:rPr>
              <w:t>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</w:t>
            </w:r>
            <w:r>
              <w:rPr>
                <w:sz w:val="20"/>
              </w:rPr>
              <w:t>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8739B4" w:rsidRPr="00FA7B6A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lastRenderedPageBreak/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2C214D" w:rsidRPr="00FA7B6A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FA7B6A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lastRenderedPageBreak/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382F81" w:rsidP="00E117F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6332220" cy="4150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  <w:bookmarkStart w:id="50" w:name="_GoBack"/>
            <w:bookmarkEnd w:id="50"/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dela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4"/>
      <w:footerReference w:type="default" r:id="rId2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0DA" w:rsidRDefault="00F210DA" w:rsidP="00AA0662">
      <w:r>
        <w:separator/>
      </w:r>
    </w:p>
  </w:endnote>
  <w:endnote w:type="continuationSeparator" w:id="0">
    <w:p w:rsidR="00F210DA" w:rsidRDefault="00F210DA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9F2" w:rsidRPr="00982FEA" w:rsidRDefault="00F059F2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F059F2" w:rsidRPr="00C8221D" w:rsidRDefault="00F059F2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F059F2" w:rsidRPr="00C8221D" w:rsidRDefault="00F059F2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C9659B">
      <w:rPr>
        <w:rFonts w:ascii="Calibri" w:hAnsi="Calibri"/>
        <w:noProof/>
        <w:sz w:val="20"/>
      </w:rPr>
      <w:t>24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0DA" w:rsidRDefault="00F210DA" w:rsidP="00AA0662">
      <w:r>
        <w:separator/>
      </w:r>
    </w:p>
  </w:footnote>
  <w:footnote w:type="continuationSeparator" w:id="0">
    <w:p w:rsidR="00F210DA" w:rsidRDefault="00F210DA" w:rsidP="00AA0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9F2" w:rsidRPr="00982FEA" w:rsidRDefault="00F059F2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F059F2" w:rsidRPr="00982FEA" w:rsidRDefault="00F059F2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F059F2" w:rsidRPr="00982FEA" w:rsidRDefault="00F059F2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F059F2" w:rsidRPr="00982FEA" w:rsidRDefault="00F059F2" w:rsidP="00AA0662">
    <w:pP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8"/>
  </w:num>
  <w:num w:numId="3">
    <w:abstractNumId w:val="4"/>
  </w:num>
  <w:num w:numId="4">
    <w:abstractNumId w:val="29"/>
  </w:num>
  <w:num w:numId="5">
    <w:abstractNumId w:val="5"/>
  </w:num>
  <w:num w:numId="6">
    <w:abstractNumId w:val="3"/>
  </w:num>
  <w:num w:numId="7">
    <w:abstractNumId w:val="25"/>
  </w:num>
  <w:num w:numId="8">
    <w:abstractNumId w:val="15"/>
  </w:num>
  <w:num w:numId="9">
    <w:abstractNumId w:val="23"/>
  </w:num>
  <w:num w:numId="10">
    <w:abstractNumId w:val="16"/>
  </w:num>
  <w:num w:numId="11">
    <w:abstractNumId w:val="6"/>
  </w:num>
  <w:num w:numId="12">
    <w:abstractNumId w:val="0"/>
  </w:num>
  <w:num w:numId="13">
    <w:abstractNumId w:val="7"/>
  </w:num>
  <w:num w:numId="14">
    <w:abstractNumId w:val="21"/>
  </w:num>
  <w:num w:numId="15">
    <w:abstractNumId w:val="1"/>
  </w:num>
  <w:num w:numId="16">
    <w:abstractNumId w:val="12"/>
  </w:num>
  <w:num w:numId="17">
    <w:abstractNumId w:val="30"/>
  </w:num>
  <w:num w:numId="18">
    <w:abstractNumId w:val="10"/>
  </w:num>
  <w:num w:numId="19">
    <w:abstractNumId w:val="2"/>
  </w:num>
  <w:num w:numId="20">
    <w:abstractNumId w:val="34"/>
  </w:num>
  <w:num w:numId="21">
    <w:abstractNumId w:val="14"/>
  </w:num>
  <w:num w:numId="22">
    <w:abstractNumId w:val="32"/>
  </w:num>
  <w:num w:numId="23">
    <w:abstractNumId w:val="13"/>
  </w:num>
  <w:num w:numId="24">
    <w:abstractNumId w:val="33"/>
  </w:num>
  <w:num w:numId="25">
    <w:abstractNumId w:val="31"/>
  </w:num>
  <w:num w:numId="26">
    <w:abstractNumId w:val="18"/>
  </w:num>
  <w:num w:numId="27">
    <w:abstractNumId w:val="11"/>
  </w:num>
  <w:num w:numId="28">
    <w:abstractNumId w:val="19"/>
  </w:num>
  <w:num w:numId="29">
    <w:abstractNumId w:val="26"/>
  </w:num>
  <w:num w:numId="30">
    <w:abstractNumId w:val="22"/>
  </w:num>
  <w:num w:numId="31">
    <w:abstractNumId w:val="27"/>
  </w:num>
  <w:num w:numId="32">
    <w:abstractNumId w:val="17"/>
  </w:num>
  <w:num w:numId="33">
    <w:abstractNumId w:val="9"/>
  </w:num>
  <w:num w:numId="34">
    <w:abstractNumId w:val="20"/>
  </w:num>
  <w:num w:numId="35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27CF"/>
    <w:rsid w:val="00112962"/>
    <w:rsid w:val="0011379A"/>
    <w:rsid w:val="00116717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C42"/>
    <w:rsid w:val="002E15CD"/>
    <w:rsid w:val="002E6B48"/>
    <w:rsid w:val="002F2395"/>
    <w:rsid w:val="002F2477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352F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169A-1DC4-40A5-8CD8-5824C841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28</Pages>
  <Words>3851</Words>
  <Characters>21952</Characters>
  <Application>Microsoft Office Word</Application>
  <DocSecurity>0</DocSecurity>
  <Lines>182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TOSHIBA</cp:lastModifiedBy>
  <cp:revision>39</cp:revision>
  <cp:lastPrinted>2011-11-01T04:21:00Z</cp:lastPrinted>
  <dcterms:created xsi:type="dcterms:W3CDTF">2011-11-01T04:21:00Z</dcterms:created>
  <dcterms:modified xsi:type="dcterms:W3CDTF">2011-11-14T02:57:00Z</dcterms:modified>
</cp:coreProperties>
</file>