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center"/>
      </w:pPr>
      <w:r>
        <w:rPr>
          <w:rFonts w:ascii="Arial" w:cs="Arial" w:eastAsia="Arial" w:hAnsi="Arial"/>
          <w:b/>
          <w:bCs/>
          <w:color w:val="1F3864"/>
          <w:sz w:val="36"/>
          <w:szCs w:val="36"/>
        </w:rPr>
        <w:t>THÉMATIQUE, DROM-COM ET OUTRE-MER</w:t>
      </w:r>
    </w:p>
    <w:p>
      <w:pPr>
        <w:pStyle w:val="Heading1"/>
        <w:spacing w:after="180" w:before="360"/>
      </w:pPr>
      <w:r>
        <w:rPr>
          <w:rFonts w:ascii="Arial" w:cs="Arial" w:eastAsia="Arial" w:hAnsi="Arial"/>
          <w:b/>
          <w:bCs/>
          <w:sz w:val="32"/>
          <w:szCs w:val="32"/>
        </w:rPr>
        <w:t xml:space="preserve">Positionnement fondateur</w:t>
      </w:r>
    </w:p>
    <w:p>
      <w:pPr>
        <w:spacing w:after="120" w:before="120"/>
      </w:pPr>
      <w:r>
        <w:rPr>
          <w:rFonts w:ascii="Arial" w:cs="Arial" w:eastAsia="Arial" w:hAnsi="Arial"/>
          <w:sz w:val="24"/>
          <w:szCs w:val="24"/>
        </w:rPr>
        <w:t>Les territoires d'Outre-mer ne sont pas des charges pour la République, ce sont des atouts stratégiques, économiques, maritimes et diplomatiques de premier ordre. La France est la deuxième puissance maritime mondiale grâce à ses DROM-COM. Elle possède la deuxième ZEE mondiale, des ressources naturelles considérables, des positions géostratégiques dans tous les océans. En retour, la République a des obligations envers ces territoires qu'elle n'a pas toujours honorées.</w:t>
      </w:r>
    </w:p>
    <w:p>
      <w:pPr>
        <w:spacing w:after="120" w:before="120"/>
      </w:pPr>
      <w:r>
        <w:rPr>
          <w:rFonts w:ascii="Arial" w:cs="Arial" w:eastAsia="Arial" w:hAnsi="Arial"/>
          <w:sz w:val="24"/>
          <w:szCs w:val="24"/>
        </w:rPr>
        <w:t>Les LFP proposent des politiques adaptées à la réalité de chaque territoire, pas un copier-coller du programme hexagonal. Chaque territoire a ses spécificités, ses ressources, ses défis. Nous les traitons comme tels.</w:t>
      </w:r>
    </w:p>
    <w:p>
      <w:pPr>
        <w:spacing w:after="120" w:before="120"/>
      </w:pPr>
      <w:r>
        <w:rPr>
          <w:rFonts w:ascii="Arial" w:cs="Arial" w:eastAsia="Arial" w:hAnsi="Arial"/>
          <w:i/>
          <w:iCs/>
          <w:sz w:val="24"/>
          <w:szCs w:val="24"/>
        </w:rPr>
        <w:t>« La République est une et indivisible, mais ses territoires sont divers et irréductibles à un modèle unique. »</w:t>
      </w:r>
    </w:p>
    <w:p>
      <w:pPr>
        <w:pStyle w:val="Heading1"/>
        <w:spacing w:after="180" w:before="360"/>
      </w:pPr>
      <w:r>
        <w:rPr>
          <w:rFonts w:ascii="Arial" w:cs="Arial" w:eastAsia="Arial" w:hAnsi="Arial"/>
          <w:b/>
          <w:bCs/>
          <w:sz w:val="32"/>
          <w:szCs w:val="32"/>
        </w:rPr>
        <w:t>1, Mesures transversales, applicables à tous les DROM-COM</w:t>
      </w:r>
    </w:p>
    <w:p>
      <w:pPr>
        <w:pStyle w:val="Heading2"/>
        <w:spacing w:after="120" w:before="240"/>
      </w:pPr>
      <w:r>
        <w:rPr>
          <w:rFonts w:ascii="Arial" w:cs="Arial" w:eastAsia="Arial" w:hAnsi="Arial"/>
          <w:b/>
          <w:bCs/>
          <w:sz w:val="28"/>
          <w:szCs w:val="28"/>
        </w:rPr>
        <w:t>Union douanière interne, donnant-donnant</w:t>
      </w:r>
    </w:p>
    <w:p>
      <w:pPr>
        <w:spacing w:after="120" w:before="120"/>
      </w:pPr>
      <w:r>
        <w:rPr>
          <w:rFonts w:ascii="Arial" w:cs="Arial" w:eastAsia="Arial" w:hAnsi="Arial"/>
          <w:sz w:val="24"/>
          <w:szCs w:val="24"/>
        </w:rPr>
        <w:t xml:space="preserve">L'accord commercial bilatéral entre l'hexagone et les DROM-COM fonctionne dans les deux sens :</w:t>
      </w:r>
    </w:p>
    <w:p>
      <w:pPr>
        <w:pStyle w:val="ListParagraph"/>
        <w:numPr>
          <w:ilvl w:val="0"/>
          <w:numId w:val="2"/>
        </w:numPr>
        <w:spacing w:after="60" w:before="60"/>
      </w:pPr>
      <w:r>
        <w:rPr>
          <w:rFonts w:ascii="Arial" w:cs="Arial" w:eastAsia="Arial" w:hAnsi="Arial"/>
          <w:sz w:val="24"/>
          <w:szCs w:val="24"/>
        </w:rPr>
        <w:t>L'hexagone réduit de 30% les droits d'importation sur les produits DROM-COM, fruits tropicaux, poissons, rhum, spécialités locales, pour faciliter leur accès au marché métropolitain</w:t>
      </w:r>
    </w:p>
    <w:p>
      <w:pPr>
        <w:pStyle w:val="ListParagraph"/>
        <w:numPr>
          <w:ilvl w:val="0"/>
          <w:numId w:val="2"/>
        </w:numPr>
        <w:spacing w:after="60" w:before="60"/>
      </w:pPr>
      <w:r>
        <w:rPr>
          <w:rFonts w:ascii="Arial" w:cs="Arial" w:eastAsia="Arial" w:hAnsi="Arial"/>
          <w:sz w:val="24"/>
          <w:szCs w:val="24"/>
        </w:rPr>
        <w:t>Les DROM-COM réduisent de 30% l'octroi de mer sur les produits essentiels métropolitains, alimentation de base, médicaments, matériaux de construction</w:t>
      </w:r>
    </w:p>
    <w:p>
      <w:pPr>
        <w:pStyle w:val="ListParagraph"/>
        <w:numPr>
          <w:ilvl w:val="0"/>
          <w:numId w:val="2"/>
        </w:numPr>
        <w:spacing w:after="60" w:before="60"/>
      </w:pPr>
      <w:r>
        <w:rPr>
          <w:rFonts w:ascii="Arial" w:cs="Arial" w:eastAsia="Arial" w:hAnsi="Arial"/>
          <w:sz w:val="24"/>
          <w:szCs w:val="24"/>
        </w:rPr>
        <w:t xml:space="preserve">Priorité commerciale à trois niveaux dans les grandes surfaces : produits locaux DROM-COM en priorité absolue, puis produits de métropole française, puis produits d'importation étrangère</w:t>
      </w:r>
    </w:p>
    <w:p>
      <w:pPr>
        <w:pStyle w:val="ListParagraph"/>
        <w:numPr>
          <w:ilvl w:val="0"/>
          <w:numId w:val="2"/>
        </w:numPr>
        <w:spacing w:after="60" w:before="60"/>
      </w:pPr>
      <w:r>
        <w:rPr>
          <w:rFonts w:ascii="Arial" w:cs="Arial" w:eastAsia="Arial" w:hAnsi="Arial"/>
          <w:sz w:val="24"/>
          <w:szCs w:val="24"/>
        </w:rPr>
        <w:t>Ce n'est pas de l'aide unilatérale, c'est un partenariat commercial équitable entre territoires de la même République</w:t>
      </w:r>
    </w:p>
    <w:p>
      <w:pPr>
        <w:pStyle w:val="Heading2"/>
        <w:spacing w:after="120" w:before="240"/>
      </w:pPr>
      <w:r>
        <w:rPr>
          <w:rFonts w:ascii="Arial" w:cs="Arial" w:eastAsia="Arial" w:hAnsi="Arial"/>
          <w:b/>
          <w:bCs/>
          <w:sz w:val="28"/>
          <w:szCs w:val="28"/>
        </w:rPr>
        <w:t>Plan médical, deux dispositifs complémentaires</w:t>
      </w:r>
    </w:p>
    <w:p>
      <w:pPr>
        <w:spacing w:after="100" w:before="200"/>
      </w:pPr>
      <w:r>
        <w:rPr>
          <w:rFonts w:ascii="Arial" w:cs="Arial" w:eastAsia="Arial" w:hAnsi="Arial"/>
          <w:b/>
          <w:bCs/>
          <w:sz w:val="24"/>
          <w:szCs w:val="24"/>
        </w:rPr>
        <w:t>Plan définitif, installation durable</w:t>
      </w:r>
    </w:p>
    <w:p>
      <w:pPr>
        <w:spacing w:after="120" w:before="120"/>
      </w:pPr>
      <w:r>
        <w:rPr>
          <w:rFonts w:ascii="Arial" w:cs="Arial" w:eastAsia="Arial" w:hAnsi="Arial"/>
          <w:sz w:val="24"/>
          <w:szCs w:val="24"/>
        </w:rPr>
        <w:t>Pour les médecins et professionnels de santé qui souhaitent s'installer durablement dans les DROM-COM, mêmes mesures qu'en hexagone mais majorées :</w:t>
      </w:r>
    </w:p>
    <w:p>
      <w:pPr>
        <w:pStyle w:val="ListParagraph"/>
        <w:numPr>
          <w:ilvl w:val="0"/>
          <w:numId w:val="2"/>
        </w:numPr>
        <w:spacing w:after="60" w:before="60"/>
      </w:pPr>
      <w:r>
        <w:rPr>
          <w:rFonts w:ascii="Arial" w:cs="Arial" w:eastAsia="Arial" w:hAnsi="Arial"/>
          <w:sz w:val="24"/>
          <w:szCs w:val="24"/>
        </w:rPr>
        <w:t>Aide au logement bonifiée, prise en charge à 80% du loyer pendant les 3 premières années contre 50% en hexagone</w:t>
      </w:r>
    </w:p>
    <w:p>
      <w:pPr>
        <w:pStyle w:val="ListParagraph"/>
        <w:numPr>
          <w:ilvl w:val="0"/>
          <w:numId w:val="2"/>
        </w:numPr>
        <w:spacing w:after="60" w:before="60"/>
      </w:pPr>
      <w:r>
        <w:rPr>
          <w:rFonts w:ascii="Arial" w:cs="Arial" w:eastAsia="Arial" w:hAnsi="Arial"/>
          <w:sz w:val="24"/>
          <w:szCs w:val="24"/>
        </w:rPr>
        <w:t xml:space="preserve">Prime d'installation doublée par rapport au barème hexagonal</w:t>
      </w:r>
    </w:p>
    <w:p>
      <w:pPr>
        <w:pStyle w:val="ListParagraph"/>
        <w:numPr>
          <w:ilvl w:val="0"/>
          <w:numId w:val="2"/>
        </w:numPr>
        <w:spacing w:after="60" w:before="60"/>
      </w:pPr>
      <w:r>
        <w:rPr>
          <w:rFonts w:ascii="Arial" w:cs="Arial" w:eastAsia="Arial" w:hAnsi="Arial"/>
          <w:sz w:val="24"/>
          <w:szCs w:val="24"/>
        </w:rPr>
        <w:t>Allégement fiscal total les 5 premières années, zéro impôt sur le revenu</w:t>
      </w:r>
    </w:p>
    <w:p>
      <w:pPr>
        <w:pStyle w:val="ListParagraph"/>
        <w:numPr>
          <w:ilvl w:val="0"/>
          <w:numId w:val="2"/>
        </w:numPr>
        <w:spacing w:after="60" w:before="60"/>
      </w:pPr>
      <w:r>
        <w:rPr>
          <w:rFonts w:ascii="Arial" w:cs="Arial" w:eastAsia="Arial" w:hAnsi="Arial"/>
          <w:sz w:val="24"/>
          <w:szCs w:val="24"/>
        </w:rPr>
        <w:t>Prise en charge d'un aller-retour annuel vers la métropole, maintien du lien familial et professionnel</w:t>
      </w:r>
    </w:p>
    <w:p>
      <w:pPr>
        <w:pStyle w:val="ListParagraph"/>
        <w:numPr>
          <w:ilvl w:val="0"/>
          <w:numId w:val="2"/>
        </w:numPr>
        <w:spacing w:after="60" w:before="60"/>
      </w:pPr>
      <w:r>
        <w:rPr>
          <w:rFonts w:ascii="Arial" w:cs="Arial" w:eastAsia="Arial" w:hAnsi="Arial"/>
          <w:sz w:val="24"/>
          <w:szCs w:val="24"/>
        </w:rPr>
        <w:t>Réseau de soutien professionnel, téléexpertise avec les CHU métropolitains pour éviter l'isolement clinique</w:t>
      </w:r>
    </w:p>
    <w:p>
      <w:pPr>
        <w:spacing w:after="100" w:before="200"/>
      </w:pPr>
      <w:r>
        <w:rPr>
          <w:rFonts w:ascii="Arial" w:cs="Arial" w:eastAsia="Arial" w:hAnsi="Arial"/>
          <w:b/>
          <w:bCs/>
          <w:sz w:val="24"/>
          <w:szCs w:val="24"/>
        </w:rPr>
        <w:t>Plan rotatif, missions d'un an nourri-logé</w:t>
      </w:r>
    </w:p>
    <w:p>
      <w:pPr>
        <w:spacing w:after="120" w:before="120"/>
      </w:pPr>
      <w:r>
        <w:rPr>
          <w:rFonts w:ascii="Arial" w:cs="Arial" w:eastAsia="Arial" w:hAnsi="Arial"/>
          <w:sz w:val="24"/>
          <w:szCs w:val="24"/>
        </w:rPr>
        <w:t xml:space="preserve">Pour les médecins qui souhaitent effectuer une mission sans s'installer définitivement :</w:t>
      </w:r>
    </w:p>
    <w:p>
      <w:pPr>
        <w:pStyle w:val="ListParagraph"/>
        <w:numPr>
          <w:ilvl w:val="0"/>
          <w:numId w:val="2"/>
        </w:numPr>
        <w:spacing w:after="60" w:before="60"/>
      </w:pPr>
      <w:r>
        <w:rPr>
          <w:rFonts w:ascii="Arial" w:cs="Arial" w:eastAsia="Arial" w:hAnsi="Arial"/>
          <w:sz w:val="24"/>
          <w:szCs w:val="24"/>
        </w:rPr>
        <w:t>Durée d'un an renouvelable, assez long pour créer une vraie continuité des soins</w:t>
      </w:r>
    </w:p>
    <w:p>
      <w:pPr>
        <w:pStyle w:val="ListParagraph"/>
        <w:numPr>
          <w:ilvl w:val="0"/>
          <w:numId w:val="2"/>
        </w:numPr>
        <w:spacing w:after="60" w:before="60"/>
      </w:pPr>
      <w:r>
        <w:rPr>
          <w:rFonts w:ascii="Arial" w:cs="Arial" w:eastAsia="Arial" w:hAnsi="Arial"/>
          <w:sz w:val="24"/>
          <w:szCs w:val="24"/>
        </w:rPr>
        <w:t xml:space="preserve">Logement et nourriture intégralement pris en charge par l'État</w:t>
      </w:r>
    </w:p>
    <w:p>
      <w:pPr>
        <w:pStyle w:val="ListParagraph"/>
        <w:numPr>
          <w:ilvl w:val="0"/>
          <w:numId w:val="2"/>
        </w:numPr>
        <w:spacing w:after="60" w:before="60"/>
      </w:pPr>
      <w:r>
        <w:rPr>
          <w:rFonts w:ascii="Arial" w:cs="Arial" w:eastAsia="Arial" w:hAnsi="Arial"/>
          <w:sz w:val="24"/>
          <w:szCs w:val="24"/>
        </w:rPr>
        <w:t>Plafond de 45 médecins supplémentaires par île en régime normal, en plus des médecins déjà en place, pas un plafond total</w:t>
      </w:r>
    </w:p>
    <w:p>
      <w:pPr>
        <w:pStyle w:val="ListParagraph"/>
        <w:numPr>
          <w:ilvl w:val="0"/>
          <w:numId w:val="2"/>
        </w:numPr>
        <w:spacing w:after="60" w:before="60"/>
      </w:pPr>
      <w:r>
        <w:rPr>
          <w:rFonts w:ascii="Arial" w:cs="Arial" w:eastAsia="Arial" w:hAnsi="Arial"/>
          <w:sz w:val="24"/>
          <w:szCs w:val="24"/>
        </w:rPr>
        <w:t>Levée automatique du plafond sur décision du préfet de santé en cas d'épidémie déclarée, retour au plafond 3 mois après la fin de l'épidémie</w:t>
      </w:r>
    </w:p>
    <w:p>
      <w:pPr>
        <w:pStyle w:val="Heading2"/>
        <w:spacing w:after="120" w:before="240"/>
      </w:pPr>
      <w:r>
        <w:rPr>
          <w:rFonts w:ascii="Arial" w:cs="Arial" w:eastAsia="Arial" w:hAnsi="Arial"/>
          <w:b/>
          <w:bCs/>
          <w:sz w:val="28"/>
          <w:szCs w:val="28"/>
        </w:rPr>
        <w:t>Logement étudiant, mobilité sans barrière financière</w:t>
      </w:r>
    </w:p>
    <w:p>
      <w:pPr>
        <w:spacing w:after="120" w:before="120"/>
      </w:pPr>
      <w:r>
        <w:rPr>
          <w:rFonts w:ascii="Arial" w:cs="Arial" w:eastAsia="Arial" w:hAnsi="Arial"/>
          <w:sz w:val="24"/>
          <w:szCs w:val="24"/>
        </w:rPr>
        <w:t xml:space="preserve">L'État met à disposition des logements dédiés pour trois catégories d'étudiants en mobilité académique :</w:t>
      </w:r>
    </w:p>
    <w:p>
      <w:pPr>
        <w:pStyle w:val="ListParagraph"/>
        <w:numPr>
          <w:ilvl w:val="0"/>
          <w:numId w:val="2"/>
        </w:numPr>
        <w:spacing w:after="60" w:before="60"/>
      </w:pPr>
      <w:r>
        <w:rPr>
          <w:rFonts w:ascii="Arial" w:cs="Arial" w:eastAsia="Arial" w:hAnsi="Arial"/>
          <w:sz w:val="24"/>
          <w:szCs w:val="24"/>
        </w:rPr>
        <w:t xml:space="preserve">Étudiants des DROM-COM rejoignant une université ou grande école en métropole</w:t>
      </w:r>
    </w:p>
    <w:p>
      <w:pPr>
        <w:pStyle w:val="ListParagraph"/>
        <w:numPr>
          <w:ilvl w:val="0"/>
          <w:numId w:val="2"/>
        </w:numPr>
        <w:spacing w:after="60" w:before="60"/>
      </w:pPr>
      <w:r>
        <w:rPr>
          <w:rFonts w:ascii="Arial" w:cs="Arial" w:eastAsia="Arial" w:hAnsi="Arial"/>
          <w:sz w:val="24"/>
          <w:szCs w:val="24"/>
        </w:rPr>
        <w:t xml:space="preserve">Étudiants étrangers en mobilité académique en France</w:t>
      </w:r>
    </w:p>
    <w:p>
      <w:pPr>
        <w:pStyle w:val="ListParagraph"/>
        <w:numPr>
          <w:ilvl w:val="0"/>
          <w:numId w:val="2"/>
        </w:numPr>
        <w:spacing w:after="60" w:before="60"/>
      </w:pPr>
      <w:r>
        <w:rPr>
          <w:rFonts w:ascii="Arial" w:cs="Arial" w:eastAsia="Arial" w:hAnsi="Arial"/>
          <w:sz w:val="24"/>
          <w:szCs w:val="24"/>
        </w:rPr>
        <w:t xml:space="preserve">Étudiants de l'hexagone en mobilité interrégionale</w:t>
      </w:r>
    </w:p>
    <w:p>
      <w:pPr>
        <w:spacing w:after="60" w:before="60"/>
      </w:pPr>
      <w:r>
        <w:t xml:space="preserve"/>
      </w:r>
    </w:p>
    <w:p>
      <w:pPr>
        <w:spacing w:after="120" w:before="120"/>
      </w:pPr>
      <w:r>
        <w:rPr>
          <w:rFonts w:ascii="Arial" w:cs="Arial" w:eastAsia="Arial" w:hAnsi="Arial"/>
          <w:sz w:val="24"/>
          <w:szCs w:val="24"/>
        </w:rPr>
        <w:t xml:space="preserve">Ces logements sont gérés par le CROUS et financés par le FNDR. La géographie ne doit jamais être un obstacle à l'excellence académique.</w:t>
      </w:r>
    </w:p>
    <w:p>
      <w:pPr>
        <w:pStyle w:val="Heading2"/>
        <w:spacing w:after="120" w:before="240"/>
      </w:pPr>
      <w:r>
        <w:rPr>
          <w:rFonts w:ascii="Arial" w:cs="Arial" w:eastAsia="Arial" w:hAnsi="Arial"/>
          <w:b/>
          <w:bCs/>
          <w:sz w:val="28"/>
          <w:szCs w:val="28"/>
        </w:rPr>
        <w:t>Pass Culture, rétablissement des plafonds d'avant Dati</w:t>
      </w:r>
    </w:p>
    <w:p>
      <w:pPr>
        <w:spacing w:after="120" w:before="120"/>
      </w:pPr>
      <w:r>
        <w:rPr>
          <w:rFonts w:ascii="Arial" w:cs="Arial" w:eastAsia="Arial" w:hAnsi="Arial"/>
          <w:sz w:val="24"/>
          <w:szCs w:val="24"/>
        </w:rPr>
        <w:t>Rachida Dati a réduit le Pass Culture de moitié, de 300€ à 150€, l'éligibilité repoussée de 15 à 17 ans, le budget collectif des établissements réduit de 72 à 61,8 millions€. Les LFP rétablissent intégralement les plafonds d'avant :</w:t>
      </w:r>
    </w:p>
    <w:p>
      <w:pPr>
        <w:pStyle w:val="ListParagraph"/>
        <w:numPr>
          <w:ilvl w:val="0"/>
          <w:numId w:val="2"/>
        </w:numPr>
        <w:spacing w:after="60" w:before="60"/>
      </w:pPr>
      <w:r>
        <w:rPr>
          <w:rFonts w:ascii="Arial" w:cs="Arial" w:eastAsia="Arial" w:hAnsi="Arial"/>
          <w:sz w:val="24"/>
          <w:szCs w:val="24"/>
        </w:rPr>
        <w:t xml:space="preserve">Crédit individuel rétabli à 300€ pour les 18 ans</w:t>
      </w:r>
    </w:p>
    <w:p>
      <w:pPr>
        <w:pStyle w:val="ListParagraph"/>
        <w:numPr>
          <w:ilvl w:val="0"/>
          <w:numId w:val="2"/>
        </w:numPr>
        <w:spacing w:after="60" w:before="60"/>
      </w:pPr>
      <w:r>
        <w:rPr>
          <w:rFonts w:ascii="Arial" w:cs="Arial" w:eastAsia="Arial" w:hAnsi="Arial"/>
          <w:sz w:val="24"/>
          <w:szCs w:val="24"/>
        </w:rPr>
        <w:t xml:space="preserve">Éligibilité rétablie à 15 ans</w:t>
      </w:r>
    </w:p>
    <w:p>
      <w:pPr>
        <w:pStyle w:val="ListParagraph"/>
        <w:numPr>
          <w:ilvl w:val="0"/>
          <w:numId w:val="2"/>
        </w:numPr>
        <w:spacing w:after="60" w:before="60"/>
      </w:pPr>
      <w:r>
        <w:rPr>
          <w:rFonts w:ascii="Arial" w:cs="Arial" w:eastAsia="Arial" w:hAnsi="Arial"/>
          <w:sz w:val="24"/>
          <w:szCs w:val="24"/>
        </w:rPr>
        <w:t xml:space="preserve">Budget de la part collective rétabli à 72 millions€ pour les établissements scolaires</w:t>
      </w:r>
    </w:p>
    <w:p>
      <w:pPr>
        <w:pStyle w:val="ListParagraph"/>
        <w:numPr>
          <w:ilvl w:val="0"/>
          <w:numId w:val="2"/>
        </w:numPr>
        <w:spacing w:after="60" w:before="60"/>
      </w:pPr>
      <w:r>
        <w:rPr>
          <w:rFonts w:ascii="Arial" w:cs="Arial" w:eastAsia="Arial" w:hAnsi="Arial"/>
          <w:sz w:val="24"/>
          <w:szCs w:val="24"/>
        </w:rPr>
        <w:t>Application spécifique dans les DROM-COM, ateliers de lecture et d'écriture financés par la part collective pendant les après-midis libres du nouveau rythme scolaire pour lutter contre l'illettrisme</w:t>
      </w:r>
    </w:p>
    <w:p>
      <w:pPr>
        <w:pStyle w:val="ListParagraph"/>
        <w:numPr>
          <w:ilvl w:val="0"/>
          <w:numId w:val="2"/>
        </w:numPr>
        <w:spacing w:after="60" w:before="60"/>
      </w:pPr>
      <w:r>
        <w:rPr>
          <w:rFonts w:ascii="Arial" w:cs="Arial" w:eastAsia="Arial" w:hAnsi="Arial"/>
          <w:sz w:val="24"/>
          <w:szCs w:val="24"/>
        </w:rPr>
        <w:t>Le livre reste la première dépense du Pass Culture, 38% des dépenses en 2024. Financer des ateliers lecture/écriture c'est renforcer ce qui fonctionne déjà</w:t>
      </w:r>
    </w:p>
    <w:p>
      <w:pPr>
        <w:pStyle w:val="Heading2"/>
        <w:spacing w:after="120" w:before="240"/>
      </w:pPr>
      <w:r>
        <w:rPr>
          <w:rFonts w:ascii="Arial" w:cs="Arial" w:eastAsia="Arial" w:hAnsi="Arial"/>
          <w:b/>
          <w:bCs/>
          <w:sz w:val="28"/>
          <w:szCs w:val="28"/>
        </w:rPr>
        <w:t xml:space="preserve">Alignement progressif des salaires du secteur privé</w:t>
      </w:r>
    </w:p>
    <w:p>
      <w:pPr>
        <w:spacing w:after="120" w:before="120"/>
      </w:pPr>
      <w:r>
        <w:rPr>
          <w:rFonts w:ascii="Arial" w:cs="Arial" w:eastAsia="Arial" w:hAnsi="Arial"/>
          <w:sz w:val="24"/>
          <w:szCs w:val="24"/>
        </w:rPr>
        <w:t>Plan progressif sur 5 ans d'alignement des salaires du secteur privé sur les niveaux métropolitains dans tous les DROM-COM. Les fonctionnaires bénéficient déjà d'une sur-rémunération de 20 à 40%, le secteur privé suit. Financé par la dynamique économique créée par l'union douanière interne et le développement local spécifique à chaque territoire.</w:t>
      </w:r>
    </w:p>
    <w:p>
      <w:pPr>
        <w:pStyle w:val="Heading2"/>
        <w:spacing w:after="120" w:before="240"/>
      </w:pPr>
      <w:r>
        <w:rPr>
          <w:rFonts w:ascii="Arial" w:cs="Arial" w:eastAsia="Arial" w:hAnsi="Arial"/>
          <w:b/>
          <w:bCs/>
          <w:sz w:val="28"/>
          <w:szCs w:val="28"/>
        </w:rPr>
        <w:t>Tarifs EDF, retour aux tarifs 2009</w:t>
      </w:r>
    </w:p>
    <w:p>
      <w:pPr>
        <w:spacing w:after="120" w:before="120"/>
      </w:pPr>
      <w:r>
        <w:rPr>
          <w:rFonts w:ascii="Arial" w:cs="Arial" w:eastAsia="Arial" w:hAnsi="Arial"/>
          <w:sz w:val="24"/>
          <w:szCs w:val="24"/>
        </w:rPr>
        <w:t>La nationalisation d'EDF permet un retour aux tarifs de 2009 pour toute la France et tous les DROM-COM. La France arrête d'exporter son électricité verte vers les pays voisins, les communes acceptent visuellement et financièrement les équipements renouvelables sur leur territoire, il est juste qu'elles en conservent la production. EDF nationalisée priorise la consommation française, DROM-COM inclus, avant toute exportation.</w:t>
      </w:r>
    </w:p>
    <w:p>
      <w:pPr>
        <w:pStyle w:val="Heading1"/>
        <w:spacing w:after="180" w:before="360"/>
      </w:pPr>
      <w:r>
        <w:rPr>
          <w:rFonts w:ascii="Arial" w:cs="Arial" w:eastAsia="Arial" w:hAnsi="Arial"/>
          <w:b/>
          <w:bCs/>
          <w:sz w:val="32"/>
          <w:szCs w:val="32"/>
        </w:rPr>
        <w:t>2, Martinique et Guadeloupe</w:t>
      </w:r>
    </w:p>
    <w:p>
      <w:pPr>
        <w:pStyle w:val="Heading2"/>
        <w:spacing w:after="120" w:before="240"/>
      </w:pPr>
      <w:r>
        <w:rPr>
          <w:rFonts w:ascii="Arial" w:cs="Arial" w:eastAsia="Arial" w:hAnsi="Arial"/>
          <w:b/>
          <w:bCs/>
          <w:sz w:val="28"/>
          <w:szCs w:val="28"/>
        </w:rPr>
        <w:t>Le chlordécone, un scandale sanitaire non soldé</w:t>
      </w:r>
    </w:p>
    <w:p>
      <w:pPr>
        <w:spacing w:after="120" w:before="120"/>
      </w:pPr>
      <w:r>
        <w:rPr>
          <w:rFonts w:ascii="Arial" w:cs="Arial" w:eastAsia="Arial" w:hAnsi="Arial"/>
          <w:sz w:val="24"/>
          <w:szCs w:val="24"/>
        </w:rPr>
        <w:t>Le chlordécone est un pesticide organochloré utilisé de 1972 à 1993 dans les bananeraies de Martinique et Guadeloupe pour lutter contre le charançon du bananier. Il avait été identifié comme nocif dès la fin des années 1960. La France a continué à l'autoriser à titre dérogatoire pendant 30 ans. Plus de 90% des adultes de Martinique et Guadeloupe présentent des traces de contamination. Le chlordécone traverse la barrière placentaire, il augmente le risque de prématurité et expose les enfants nés de mères contaminées à des risques sanitaires transgénérationnels.</w:t>
      </w:r>
    </w:p>
    <w:p>
      <w:pPr>
        <w:spacing w:after="120" w:before="120"/>
      </w:pPr>
      <w:r>
        <w:rPr>
          <w:rFonts w:ascii="Arial" w:cs="Arial" w:eastAsia="Arial" w:hAnsi="Arial"/>
          <w:sz w:val="24"/>
          <w:szCs w:val="24"/>
        </w:rPr>
        <w:t>La justice a reconnu les fautes de l'État mais la portée des indemnisations reste scandaleusement limitée, seulement 9 victimes indemnisées sur 1 286 plaignants initiaux. C'est le même schéma qu'en Polynésie avec les essais nucléaires, une faute reconnue, des réparations minimes.</w:t>
      </w:r>
    </w:p>
    <w:p>
      <w:pPr>
        <w:spacing w:after="120" w:before="120"/>
      </w:pPr>
      <w:r>
        <w:rPr>
          <w:rFonts w:ascii="Arial" w:cs="Arial" w:eastAsia="Arial" w:hAnsi="Arial"/>
          <w:i/>
          <w:iCs/>
          <w:sz w:val="24"/>
          <w:szCs w:val="24"/>
        </w:rPr>
        <w:t xml:space="preserve">« Le chlordécone est le scandale sanitaire le plus grave des Outre-mer français. Il ne peut plus être minimisé. »</w:t>
      </w:r>
    </w:p>
    <w:p>
      <w:pPr>
        <w:pStyle w:val="Heading2"/>
        <w:spacing w:after="120" w:before="240"/>
      </w:pPr>
      <w:r>
        <w:rPr>
          <w:rFonts w:ascii="Arial" w:cs="Arial" w:eastAsia="Arial" w:hAnsi="Arial"/>
          <w:b/>
          <w:bCs/>
          <w:sz w:val="28"/>
          <w:szCs w:val="28"/>
        </w:rPr>
        <w:t xml:space="preserve">Mesures LFP sur le chlordécone</w:t>
      </w:r>
    </w:p>
    <w:p>
      <w:pPr>
        <w:pStyle w:val="ListParagraph"/>
        <w:numPr>
          <w:ilvl w:val="0"/>
          <w:numId w:val="2"/>
        </w:numPr>
        <w:spacing w:after="60" w:before="60"/>
      </w:pPr>
      <w:r>
        <w:rPr>
          <w:rFonts w:ascii="Arial" w:cs="Arial" w:eastAsia="Arial" w:hAnsi="Arial"/>
          <w:sz w:val="24"/>
          <w:szCs w:val="24"/>
        </w:rPr>
        <w:t>Indemnisation universelle de toutes les victimes, pas 9 sur 1 286. L'État a été reconnu fautif, il indemnise tous ceux qui ont été exposés pendant la période d'utilisation</w:t>
      </w:r>
    </w:p>
    <w:p>
      <w:pPr>
        <w:pStyle w:val="ListParagraph"/>
        <w:numPr>
          <w:ilvl w:val="0"/>
          <w:numId w:val="2"/>
        </w:numPr>
        <w:spacing w:after="60" w:before="60"/>
      </w:pPr>
      <w:r>
        <w:rPr>
          <w:rFonts w:ascii="Arial" w:cs="Arial" w:eastAsia="Arial" w:hAnsi="Arial"/>
          <w:sz w:val="24"/>
          <w:szCs w:val="24"/>
        </w:rPr>
        <w:t>Extension de la reconnaissance aux femmes et aux enfants, exclus des indemnisations actuelles</w:t>
      </w:r>
    </w:p>
    <w:p>
      <w:pPr>
        <w:pStyle w:val="ListParagraph"/>
        <w:numPr>
          <w:ilvl w:val="0"/>
          <w:numId w:val="2"/>
        </w:numPr>
        <w:spacing w:after="60" w:before="60"/>
      </w:pPr>
      <w:r>
        <w:rPr>
          <w:rFonts w:ascii="Arial" w:cs="Arial" w:eastAsia="Arial" w:hAnsi="Arial"/>
          <w:sz w:val="24"/>
          <w:szCs w:val="24"/>
        </w:rPr>
        <w:t>Recherche financée par le FNDR sur les effets transgénérationnels, les enfants nés de parents exposés sont potentiellement à risque</w:t>
      </w:r>
    </w:p>
    <w:p>
      <w:pPr>
        <w:pStyle w:val="ListParagraph"/>
        <w:numPr>
          <w:ilvl w:val="0"/>
          <w:numId w:val="2"/>
        </w:numPr>
        <w:spacing w:after="60" w:before="60"/>
      </w:pPr>
      <w:r>
        <w:rPr>
          <w:rFonts w:ascii="Arial" w:cs="Arial" w:eastAsia="Arial" w:hAnsi="Arial"/>
          <w:sz w:val="24"/>
          <w:szCs w:val="24"/>
        </w:rPr>
        <w:t>Dépollution des terres, objectif national prioritaire financé par le FNDR. Les terres agricoles contaminées doivent être décontaminées ou converties</w:t>
      </w:r>
    </w:p>
    <w:p>
      <w:pPr>
        <w:pStyle w:val="ListParagraph"/>
        <w:numPr>
          <w:ilvl w:val="0"/>
          <w:numId w:val="2"/>
        </w:numPr>
        <w:spacing w:after="60" w:before="60"/>
      </w:pPr>
      <w:r>
        <w:rPr>
          <w:rFonts w:ascii="Arial" w:cs="Arial" w:eastAsia="Arial" w:hAnsi="Arial"/>
          <w:sz w:val="24"/>
          <w:szCs w:val="24"/>
        </w:rPr>
        <w:t>Suivi médical systématique et gratuit de toute la population, dépistage prostate, suivi grossesse, bilan sanguin chlordéconémie, cohérent avec nos dépistages obligatoires du volet Santé</w:t>
      </w:r>
    </w:p>
    <w:p>
      <w:pPr>
        <w:pStyle w:val="Heading2"/>
        <w:spacing w:after="120" w:before="240"/>
      </w:pPr>
      <w:r>
        <w:rPr>
          <w:rFonts w:ascii="Arial" w:cs="Arial" w:eastAsia="Arial" w:hAnsi="Arial"/>
          <w:b/>
          <w:bCs/>
          <w:sz w:val="28"/>
          <w:szCs w:val="28"/>
        </w:rPr>
        <w:t>Inégalités structurelles, la double peine</w:t>
      </w:r>
    </w:p>
    <w:p>
      <w:pPr>
        <w:spacing w:after="120" w:before="120"/>
      </w:pPr>
      <w:r>
        <w:rPr>
          <w:rFonts w:ascii="Arial" w:cs="Arial" w:eastAsia="Arial" w:hAnsi="Arial"/>
          <w:sz w:val="24"/>
          <w:szCs w:val="24"/>
        </w:rPr>
        <w:t xml:space="preserve">Le PIB par habitant s'élève à 36 000€ dans l'Hexagone contre 28 600€ en Martinique et 27 400€ en Guadeloupe. Le taux de pauvreté atteint 26,8% en Martinique et 34,5% en Guadeloupe contre 14,4% nationalement. Le chômage est de 11% en Martinique et 16,8% en Guadeloupe. Les prix sont supérieurs de 14 à 16% à la métropole. Les natifs des Antilles ont 20 à 25% de chances en moins d'obtenir un diplôme du supérieur et 45% de chances en moins d'occuper un poste de cadre. (Sources : INSEE, IEDOM 2025)</w:t>
      </w:r>
    </w:p>
    <w:p>
      <w:pPr>
        <w:spacing w:after="120" w:before="120"/>
      </w:pPr>
      <w:r>
        <w:rPr>
          <w:rFonts w:ascii="Arial" w:cs="Arial" w:eastAsia="Arial" w:hAnsi="Arial"/>
          <w:sz w:val="24"/>
          <w:szCs w:val="24"/>
        </w:rPr>
        <w:t>C'est la double peine, revenus inférieurs et prix supérieurs simultanément.</w:t>
      </w:r>
    </w:p>
    <w:p>
      <w:pPr>
        <w:pStyle w:val="ListParagraph"/>
        <w:numPr>
          <w:ilvl w:val="0"/>
          <w:numId w:val="2"/>
        </w:numPr>
        <w:spacing w:after="60" w:before="60"/>
      </w:pPr>
      <w:r>
        <w:rPr>
          <w:rFonts w:ascii="Arial" w:cs="Arial" w:eastAsia="Arial" w:hAnsi="Arial"/>
          <w:sz w:val="24"/>
          <w:szCs w:val="24"/>
        </w:rPr>
        <w:t>Union douanière interne, réduction de 30% des prix des produits essentiels importés de métropole</w:t>
      </w:r>
    </w:p>
    <w:p>
      <w:pPr>
        <w:pStyle w:val="ListParagraph"/>
        <w:numPr>
          <w:ilvl w:val="0"/>
          <w:numId w:val="2"/>
        </w:numPr>
        <w:spacing w:after="60" w:before="60"/>
      </w:pPr>
      <w:r>
        <w:rPr>
          <w:rFonts w:ascii="Arial" w:cs="Arial" w:eastAsia="Arial" w:hAnsi="Arial"/>
          <w:sz w:val="24"/>
          <w:szCs w:val="24"/>
        </w:rPr>
        <w:t>Plan attractivité médicale, 81 médecins pour 100 000 habitants en Martinique contre 93 nationalement, deux plans médical définitif et rotatif avec 45 médecins supplémentaires</w:t>
      </w:r>
    </w:p>
    <w:p>
      <w:pPr>
        <w:pStyle w:val="ListParagraph"/>
        <w:numPr>
          <w:ilvl w:val="0"/>
          <w:numId w:val="2"/>
        </w:numPr>
        <w:spacing w:after="60" w:before="60"/>
      </w:pPr>
      <w:r>
        <w:rPr>
          <w:rFonts w:ascii="Arial" w:cs="Arial" w:eastAsia="Arial" w:hAnsi="Arial"/>
          <w:sz w:val="24"/>
          <w:szCs w:val="24"/>
        </w:rPr>
        <w:t>GAUS adapté au bassin d'emploi insulaire, insertion professionnelle ancrée dans les secteurs en tension locaux</w:t>
      </w:r>
    </w:p>
    <w:p>
      <w:pPr>
        <w:pStyle w:val="ListParagraph"/>
        <w:numPr>
          <w:ilvl w:val="0"/>
          <w:numId w:val="2"/>
        </w:numPr>
        <w:spacing w:after="60" w:before="60"/>
      </w:pPr>
      <w:r>
        <w:rPr>
          <w:rFonts w:ascii="Arial" w:cs="Arial" w:eastAsia="Arial" w:hAnsi="Arial"/>
          <w:sz w:val="24"/>
          <w:szCs w:val="24"/>
        </w:rPr>
        <w:t>Développement économique diversifié, tourisme, numérique, agriculture innovante, pour créer des emplois qualifiés sur place et arrêter l'exode des jeunes diplômés</w:t>
      </w:r>
    </w:p>
    <w:p>
      <w:pPr>
        <w:pStyle w:val="ListParagraph"/>
        <w:numPr>
          <w:ilvl w:val="0"/>
          <w:numId w:val="2"/>
        </w:numPr>
        <w:spacing w:after="60" w:before="60"/>
      </w:pPr>
      <w:r>
        <w:rPr>
          <w:rFonts w:ascii="Arial" w:cs="Arial" w:eastAsia="Arial" w:hAnsi="Arial"/>
          <w:sz w:val="24"/>
          <w:szCs w:val="24"/>
        </w:rPr>
        <w:t>Développement des structures d'enseignement supérieur locales, former sur place plutôt que de former des gens qui partent</w:t>
      </w:r>
    </w:p>
    <w:p>
      <w:pPr>
        <w:pStyle w:val="Heading1"/>
        <w:spacing w:after="180" w:before="360"/>
      </w:pPr>
      <w:r>
        <w:rPr>
          <w:rFonts w:ascii="Arial" w:cs="Arial" w:eastAsia="Arial" w:hAnsi="Arial"/>
          <w:b/>
          <w:bCs/>
          <w:sz w:val="32"/>
          <w:szCs w:val="32"/>
        </w:rPr>
        <w:t>3, Guyane</w:t>
      </w:r>
    </w:p>
    <w:p>
      <w:pPr>
        <w:pStyle w:val="Heading2"/>
        <w:spacing w:after="120" w:before="240"/>
      </w:pPr>
      <w:r>
        <w:rPr>
          <w:rFonts w:ascii="Arial" w:cs="Arial" w:eastAsia="Arial" w:hAnsi="Arial"/>
          <w:b/>
          <w:bCs/>
          <w:sz w:val="28"/>
          <w:szCs w:val="28"/>
        </w:rPr>
        <w:t>L'orpaillage illégal, changer de paradigme</w:t>
      </w:r>
    </w:p>
    <w:p>
      <w:pPr>
        <w:spacing w:after="120" w:before="120"/>
      </w:pPr>
      <w:r>
        <w:rPr>
          <w:rFonts w:ascii="Arial" w:cs="Arial" w:eastAsia="Arial" w:hAnsi="Arial"/>
          <w:sz w:val="24"/>
          <w:szCs w:val="24"/>
        </w:rPr>
        <w:t>En 2025, environ 8 000 orpailleurs illégaux travaillent sur 591 sites et ont extrait 6 tonnes d'or, soit 678 millions d'euros qui échappent à l'État et détruisent l'environnement au mercure. Le cours de l'or à 113€/gramme et sa hausse de 50% depuis 2022 ont alimenté une explosion des sites illégaux. 700 militaires sont mobilisés en permanence pour une opération Harpie qui ne produit aucun résultat durable depuis 17 ans. (Source : rapport parlementaire Guyane, orpaillage 2025)</w:t>
      </w:r>
    </w:p>
    <w:p>
      <w:pPr>
        <w:spacing w:after="120" w:before="120"/>
      </w:pPr>
      <w:r>
        <w:rPr>
          <w:rFonts w:ascii="Arial" w:cs="Arial" w:eastAsia="Arial" w:hAnsi="Arial"/>
          <w:sz w:val="24"/>
          <w:szCs w:val="24"/>
        </w:rPr>
        <w:t>Les LFP changent de paradigme, on ne persécute pas des gens qui agissent par pauvreté, on les intègre dans un cadre légal exigeant.</w:t>
      </w:r>
    </w:p>
    <w:p>
      <w:pPr>
        <w:pStyle w:val="Heading2"/>
        <w:spacing w:after="120" w:before="240"/>
      </w:pPr>
      <w:r>
        <w:rPr>
          <w:rFonts w:ascii="Arial" w:cs="Arial" w:eastAsia="Arial" w:hAnsi="Arial"/>
          <w:b/>
          <w:bCs/>
          <w:sz w:val="28"/>
          <w:szCs w:val="28"/>
        </w:rPr>
        <w:t xml:space="preserve">Légalisation encadrée de l'orpaillage</w:t>
      </w:r>
    </w:p>
    <w:p>
      <w:pPr>
        <w:pStyle w:val="ListParagraph"/>
        <w:numPr>
          <w:ilvl w:val="0"/>
          <w:numId w:val="2"/>
        </w:numPr>
        <w:spacing w:after="60" w:before="60"/>
      </w:pPr>
      <w:r>
        <w:rPr>
          <w:rFonts w:ascii="Arial" w:cs="Arial" w:eastAsia="Arial" w:hAnsi="Arial"/>
          <w:sz w:val="24"/>
          <w:szCs w:val="24"/>
        </w:rPr>
        <w:t>Licence de mine légale accordée aux orpailleurs qui acceptent le cadre strict, zéro mercure, équipements modernes de séparation gravimétrique fournis par l'État</w:t>
      </w:r>
    </w:p>
    <w:p>
      <w:pPr>
        <w:pStyle w:val="ListParagraph"/>
        <w:numPr>
          <w:ilvl w:val="0"/>
          <w:numId w:val="2"/>
        </w:numPr>
        <w:spacing w:after="60" w:before="60"/>
      </w:pPr>
      <w:r>
        <w:rPr>
          <w:rFonts w:ascii="Arial" w:cs="Arial" w:eastAsia="Arial" w:hAnsi="Arial"/>
          <w:sz w:val="24"/>
          <w:szCs w:val="24"/>
        </w:rPr>
        <w:t>Zones d'extraction définies en concertation avec les peuples Wayana, aucune extraction possible sans leur accord sur leurs terres ancestrales</w:t>
      </w:r>
    </w:p>
    <w:p>
      <w:pPr>
        <w:pStyle w:val="ListParagraph"/>
        <w:numPr>
          <w:ilvl w:val="0"/>
          <w:numId w:val="2"/>
        </w:numPr>
        <w:spacing w:after="60" w:before="60"/>
      </w:pPr>
      <w:r>
        <w:rPr>
          <w:rFonts w:ascii="Arial" w:cs="Arial" w:eastAsia="Arial" w:hAnsi="Arial"/>
          <w:sz w:val="24"/>
          <w:szCs w:val="24"/>
        </w:rPr>
        <w:t xml:space="preserve">Obligation de reforestation progressive des zones exploitées</w:t>
      </w:r>
    </w:p>
    <w:p>
      <w:pPr>
        <w:pStyle w:val="ListParagraph"/>
        <w:numPr>
          <w:ilvl w:val="0"/>
          <w:numId w:val="2"/>
        </w:numPr>
        <w:spacing w:after="60" w:before="60"/>
      </w:pPr>
      <w:r>
        <w:rPr>
          <w:rFonts w:ascii="Arial" w:cs="Arial" w:eastAsia="Arial" w:hAnsi="Arial"/>
          <w:sz w:val="24"/>
          <w:szCs w:val="24"/>
        </w:rPr>
        <w:t>Décontamination active des fleuves Maroni et Oyapock et de leurs rives, financée par le fonds de décontamination</w:t>
      </w:r>
    </w:p>
    <w:p>
      <w:pPr>
        <w:pStyle w:val="ListParagraph"/>
        <w:numPr>
          <w:ilvl w:val="0"/>
          <w:numId w:val="2"/>
        </w:numPr>
        <w:spacing w:after="60" w:before="60"/>
      </w:pPr>
      <w:r>
        <w:rPr>
          <w:rFonts w:ascii="Arial" w:cs="Arial" w:eastAsia="Arial" w:hAnsi="Arial"/>
          <w:sz w:val="24"/>
          <w:szCs w:val="24"/>
        </w:rPr>
        <w:t>Suivi médical systématique et gratuit des populations riveraines contaminées au mercure, traité comme le chlordécone aux Antilles</w:t>
      </w:r>
    </w:p>
    <w:p>
      <w:pPr>
        <w:pStyle w:val="Heading2"/>
        <w:spacing w:after="120" w:before="240"/>
      </w:pPr>
      <w:r>
        <w:rPr>
          <w:rFonts w:ascii="Arial" w:cs="Arial" w:eastAsia="Arial" w:hAnsi="Arial"/>
          <w:b/>
          <w:bCs/>
          <w:sz w:val="28"/>
          <w:szCs w:val="28"/>
        </w:rPr>
        <w:t xml:space="preserve">Reconnaissance constitutionnelle et civile des peuples autochtones</w:t>
      </w:r>
    </w:p>
    <w:p>
      <w:pPr>
        <w:spacing w:after="120" w:before="120"/>
      </w:pPr>
      <w:r>
        <w:rPr>
          <w:rFonts w:ascii="Arial" w:cs="Arial" w:eastAsia="Arial" w:hAnsi="Arial"/>
          <w:sz w:val="24"/>
          <w:szCs w:val="24"/>
        </w:rPr>
        <w:t>L'État français ne reconnaît aujourd'hui aucun statut propre aux peuples autochtones de Guyane, Wayana, Teko, Wayampi. Les LFP créent ce statut pour la première fois dans l'histoire de la République française.</w:t>
      </w:r>
    </w:p>
    <w:p>
      <w:pPr>
        <w:pStyle w:val="ListParagraph"/>
        <w:numPr>
          <w:ilvl w:val="0"/>
          <w:numId w:val="2"/>
        </w:numPr>
        <w:spacing w:after="60" w:before="60"/>
      </w:pPr>
      <w:r>
        <w:rPr>
          <w:rFonts w:ascii="Arial" w:cs="Arial" w:eastAsia="Arial" w:hAnsi="Arial"/>
          <w:sz w:val="24"/>
          <w:szCs w:val="24"/>
        </w:rPr>
        <w:t xml:space="preserve">Droit de regard et de veto des peuples Wayana sur toute licence d'extraction dans leurs territoires ancestraux</w:t>
      </w:r>
    </w:p>
    <w:p>
      <w:pPr>
        <w:pStyle w:val="ListParagraph"/>
        <w:numPr>
          <w:ilvl w:val="0"/>
          <w:numId w:val="2"/>
        </w:numPr>
        <w:spacing w:after="60" w:before="60"/>
      </w:pPr>
      <w:r>
        <w:rPr>
          <w:rFonts w:ascii="Arial" w:cs="Arial" w:eastAsia="Arial" w:hAnsi="Arial"/>
          <w:sz w:val="24"/>
          <w:szCs w:val="24"/>
        </w:rPr>
        <w:t>Emplois de contrôleurs environnementaux rémunérés par l'État, les Wayana supervisent légitimement leur territoire</w:t>
      </w:r>
    </w:p>
    <w:p>
      <w:pPr>
        <w:pStyle w:val="ListParagraph"/>
        <w:numPr>
          <w:ilvl w:val="0"/>
          <w:numId w:val="2"/>
        </w:numPr>
        <w:spacing w:after="60" w:before="60"/>
      </w:pPr>
      <w:r>
        <w:rPr>
          <w:rFonts w:ascii="Arial" w:cs="Arial" w:eastAsia="Arial" w:hAnsi="Arial"/>
          <w:sz w:val="24"/>
          <w:szCs w:val="24"/>
        </w:rPr>
        <w:t>Reconnaissance constitutionnelle et civile formelle des peuples autochtones de Guyane, première en France</w:t>
      </w:r>
    </w:p>
    <w:p>
      <w:pPr>
        <w:pStyle w:val="ListParagraph"/>
        <w:numPr>
          <w:ilvl w:val="0"/>
          <w:numId w:val="2"/>
        </w:numPr>
        <w:spacing w:after="60" w:before="60"/>
      </w:pPr>
      <w:r>
        <w:rPr>
          <w:rFonts w:ascii="Arial" w:cs="Arial" w:eastAsia="Arial" w:hAnsi="Arial"/>
          <w:sz w:val="24"/>
          <w:szCs w:val="24"/>
        </w:rPr>
        <w:t xml:space="preserve">Ce rôle de superviseurs crée de facto une reconnaissance de leurs droits territoriaux qui aboutit à la reconnaissance formelle</w:t>
      </w:r>
    </w:p>
    <w:p>
      <w:pPr>
        <w:pStyle w:val="Heading2"/>
        <w:spacing w:after="120" w:before="240"/>
      </w:pPr>
      <w:r>
        <w:rPr>
          <w:rFonts w:ascii="Arial" w:cs="Arial" w:eastAsia="Arial" w:hAnsi="Arial"/>
          <w:b/>
          <w:bCs/>
          <w:sz w:val="28"/>
          <w:szCs w:val="28"/>
        </w:rPr>
        <w:t xml:space="preserve">Répartition des recettes de l'or légalisé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Bénéficiaire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Revalorisation salaires Guyane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Alignement progressif sur la métropole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Décontamination environnementale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Fleuves, sols, suivi médical populations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État français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Fonds souverain de réserve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Brésil + Suriname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Conditionnés à l'acceptation du cadre légal</w:t>
            </w:r>
          </w:p>
        </w:tc>
      </w:tr>
    </w:tbl>
    <w:p>
      <w:pPr>
        <w:spacing w:after="60" w:before="60"/>
      </w:pPr>
      <w:r>
        <w:t xml:space="preserve"/>
      </w:r>
    </w:p>
    <w:p>
      <w:pPr>
        <w:pStyle w:val="Heading2"/>
        <w:spacing w:after="120" w:before="240"/>
      </w:pPr>
      <w:r>
        <w:rPr>
          <w:rFonts w:ascii="Arial" w:cs="Arial" w:eastAsia="Arial" w:hAnsi="Arial"/>
          <w:b/>
          <w:bCs/>
          <w:sz w:val="28"/>
          <w:szCs w:val="28"/>
        </w:rPr>
        <w:t>Intégration régionale, main dans la main avec le Brésil et le Suriname</w:t>
      </w:r>
    </w:p>
    <w:p>
      <w:pPr>
        <w:spacing w:after="120" w:before="120"/>
      </w:pPr>
      <w:r>
        <w:rPr>
          <w:rFonts w:ascii="Arial" w:cs="Arial" w:eastAsia="Arial" w:hAnsi="Arial"/>
          <w:sz w:val="24"/>
          <w:szCs w:val="24"/>
        </w:rPr>
        <w:t>Les garimpeiros brésiliens et surinamais viennent par pauvreté, pas par malice. La France leur propose une intégration dans le cadre légal plutôt que la persécution :</w:t>
      </w:r>
    </w:p>
    <w:p>
      <w:pPr>
        <w:pStyle w:val="ListParagraph"/>
        <w:numPr>
          <w:ilvl w:val="0"/>
          <w:numId w:val="2"/>
        </w:numPr>
        <w:spacing w:after="60" w:before="60"/>
      </w:pPr>
      <w:r>
        <w:rPr>
          <w:rFonts w:ascii="Arial" w:cs="Arial" w:eastAsia="Arial" w:hAnsi="Arial"/>
          <w:sz w:val="24"/>
          <w:szCs w:val="24"/>
        </w:rPr>
        <w:t>Intégration dans le cadre légal français s'ils respectent les standards environnementaux, zéro mercure, reforestation</w:t>
      </w:r>
    </w:p>
    <w:p>
      <w:pPr>
        <w:pStyle w:val="ListParagraph"/>
        <w:numPr>
          <w:ilvl w:val="0"/>
          <w:numId w:val="2"/>
        </w:numPr>
        <w:spacing w:after="60" w:before="60"/>
      </w:pPr>
      <w:r>
        <w:rPr>
          <w:rFonts w:ascii="Arial" w:cs="Arial" w:eastAsia="Arial" w:hAnsi="Arial"/>
          <w:sz w:val="24"/>
          <w:szCs w:val="24"/>
        </w:rPr>
        <w:t xml:space="preserve">Titre de séjour de travailleur minier légal en Guyane</w:t>
      </w:r>
    </w:p>
    <w:p>
      <w:pPr>
        <w:pStyle w:val="ListParagraph"/>
        <w:numPr>
          <w:ilvl w:val="0"/>
          <w:numId w:val="2"/>
        </w:numPr>
        <w:spacing w:after="60" w:before="60"/>
      </w:pPr>
      <w:r>
        <w:rPr>
          <w:rFonts w:ascii="Arial" w:cs="Arial" w:eastAsia="Arial" w:hAnsi="Arial"/>
          <w:sz w:val="24"/>
          <w:szCs w:val="24"/>
        </w:rPr>
        <w:t>Ouverture économique, accès préférentiel des spécialités brésiliennes et surinamiennes au marché français dans le cadre d'un accord bilatéral</w:t>
      </w:r>
    </w:p>
    <w:p>
      <w:pPr>
        <w:pStyle w:val="ListParagraph"/>
        <w:numPr>
          <w:ilvl w:val="0"/>
          <w:numId w:val="2"/>
        </w:numPr>
        <w:spacing w:after="60" w:before="60"/>
      </w:pPr>
      <w:r>
        <w:rPr>
          <w:rFonts w:ascii="Arial" w:cs="Arial" w:eastAsia="Arial" w:hAnsi="Arial"/>
          <w:sz w:val="24"/>
          <w:szCs w:val="24"/>
        </w:rPr>
        <w:t>En contrepartie, coopération diplomatique totale sur la lutte contre les réseaux qui refusent le cadre légal</w:t>
      </w:r>
    </w:p>
    <w:p>
      <w:pPr>
        <w:pStyle w:val="ListParagraph"/>
        <w:numPr>
          <w:ilvl w:val="0"/>
          <w:numId w:val="2"/>
        </w:numPr>
        <w:spacing w:after="60" w:before="60"/>
      </w:pPr>
      <w:r>
        <w:rPr>
          <w:rFonts w:ascii="Arial" w:cs="Arial" w:eastAsia="Arial" w:hAnsi="Arial"/>
          <w:sz w:val="24"/>
          <w:szCs w:val="24"/>
        </w:rPr>
        <w:t>Les 15% des recettes reversés au Brésil et au Suriname créent un intérêt financier direct dans la légalité, ils sont partenaires du système, pas ennemis</w:t>
      </w:r>
    </w:p>
    <w:p>
      <w:pPr>
        <w:spacing w:after="60" w:before="60"/>
      </w:pPr>
      <w:r>
        <w:t xml:space="preserve"/>
      </w:r>
    </w:p>
    <w:p>
      <w:pPr>
        <w:spacing w:after="120" w:before="120"/>
      </w:pPr>
      <w:r>
        <w:rPr>
          <w:rFonts w:ascii="Arial" w:cs="Arial" w:eastAsia="Arial" w:hAnsi="Arial"/>
          <w:i/>
          <w:iCs/>
          <w:sz w:val="24"/>
          <w:szCs w:val="24"/>
        </w:rPr>
        <w:t>« On ne résout pas la pauvreté par la persécution. La Guyane a de l'or, faisons en sorte qu'il profite à ceux qui vivent sur cette terre depuis des siècles. »</w:t>
      </w:r>
    </w:p>
    <w:p>
      <w:pPr>
        <w:pStyle w:val="Heading1"/>
        <w:spacing w:after="180" w:before="360"/>
      </w:pPr>
      <w:r>
        <w:rPr>
          <w:rFonts w:ascii="Arial" w:cs="Arial" w:eastAsia="Arial" w:hAnsi="Arial"/>
          <w:b/>
          <w:bCs/>
          <w:sz w:val="32"/>
          <w:szCs w:val="32"/>
        </w:rPr>
        <w:t>4, La Réunion</w:t>
      </w:r>
    </w:p>
    <w:p>
      <w:pPr>
        <w:pStyle w:val="Heading2"/>
        <w:spacing w:after="120" w:before="240"/>
      </w:pPr>
      <w:r>
        <w:rPr>
          <w:rFonts w:ascii="Arial" w:cs="Arial" w:eastAsia="Arial" w:hAnsi="Arial"/>
          <w:b/>
          <w:bCs/>
          <w:sz w:val="28"/>
          <w:szCs w:val="28"/>
        </w:rPr>
        <w:t xml:space="preserve">Constat</w:t>
      </w:r>
    </w:p>
    <w:p>
      <w:pPr>
        <w:spacing w:after="120" w:before="120"/>
      </w:pPr>
      <w:r>
        <w:rPr>
          <w:rFonts w:ascii="Arial" w:cs="Arial" w:eastAsia="Arial" w:hAnsi="Arial"/>
          <w:sz w:val="24"/>
          <w:szCs w:val="24"/>
        </w:rPr>
        <w:t>Le taux de chômage des jeunes atteint 39,3% à La Réunion. 25% des 15-29 ans ne sont ni en emploi, ni en études, ni en formation. L'illettrisme est un frein structurel majeur à l'insertion professionnelle. Pourtant La Réunion est la deuxième région française où la croissance est la plus forte en 2025, la dynamique économique existe mais ne profite pas assez aux jeunes. (Source : INSEE La Réunion, bilan économique 2025)</w:t>
      </w:r>
    </w:p>
    <w:p>
      <w:pPr>
        <w:pStyle w:val="Heading2"/>
        <w:spacing w:after="120" w:before="240"/>
      </w:pPr>
      <w:r>
        <w:rPr>
          <w:rFonts w:ascii="Arial" w:cs="Arial" w:eastAsia="Arial" w:hAnsi="Arial"/>
          <w:b/>
          <w:bCs/>
          <w:sz w:val="28"/>
          <w:szCs w:val="28"/>
        </w:rPr>
        <w:t>Lutte contre l'illettrisme, ateliers lecture et écriture</w:t>
      </w:r>
    </w:p>
    <w:p>
      <w:pPr>
        <w:spacing w:after="120" w:before="120"/>
      </w:pPr>
      <w:r>
        <w:rPr>
          <w:rFonts w:ascii="Arial" w:cs="Arial" w:eastAsia="Arial" w:hAnsi="Arial"/>
          <w:sz w:val="24"/>
          <w:szCs w:val="24"/>
        </w:rPr>
        <w:t>Dans le cadre du nouveau rythme scolaire posé dans le volet Éducation, après-midis libérés, La Réunion et tout territoire à fort taux d'illettrisme organisent des ateliers de lecture et d'écriture obligatoires à partir du primaire. Financés par la part collective du Pass Culture rétabli à 72 millions€. Ces ateliers sont animés par des professionnels formés et des associations locales partenaires.</w:t>
      </w:r>
    </w:p>
    <w:p>
      <w:pPr>
        <w:pStyle w:val="Heading2"/>
        <w:spacing w:after="120" w:before="240"/>
      </w:pPr>
      <w:r>
        <w:rPr>
          <w:rFonts w:ascii="Arial" w:cs="Arial" w:eastAsia="Arial" w:hAnsi="Arial"/>
          <w:b/>
          <w:bCs/>
          <w:sz w:val="28"/>
          <w:szCs w:val="28"/>
        </w:rPr>
        <w:t>Chômage des jeunes, GAUS insulaire</w:t>
      </w:r>
    </w:p>
    <w:p>
      <w:pPr>
        <w:pStyle w:val="ListParagraph"/>
        <w:numPr>
          <w:ilvl w:val="0"/>
          <w:numId w:val="2"/>
        </w:numPr>
        <w:spacing w:after="60" w:before="60"/>
      </w:pPr>
      <w:r>
        <w:rPr>
          <w:rFonts w:ascii="Arial" w:cs="Arial" w:eastAsia="Arial" w:hAnsi="Arial"/>
          <w:sz w:val="24"/>
          <w:szCs w:val="24"/>
        </w:rPr>
        <w:t>GAUS adapté au bassin d'emploi réunionnais, avec accent sur les secteurs en tension locaux</w:t>
      </w:r>
    </w:p>
    <w:p>
      <w:pPr>
        <w:pStyle w:val="ListParagraph"/>
        <w:numPr>
          <w:ilvl w:val="0"/>
          <w:numId w:val="2"/>
        </w:numPr>
        <w:spacing w:after="60" w:before="60"/>
      </w:pPr>
      <w:r>
        <w:rPr>
          <w:rFonts w:ascii="Arial" w:cs="Arial" w:eastAsia="Arial" w:hAnsi="Arial"/>
          <w:sz w:val="24"/>
          <w:szCs w:val="24"/>
        </w:rPr>
        <w:t>Tourisme haut de gamme, La Réunion a un potentiel naturel exceptionnel, volcan, lagon, forêts, sous-exploité pour le tourisme premium</w:t>
      </w:r>
    </w:p>
    <w:p>
      <w:pPr>
        <w:pStyle w:val="ListParagraph"/>
        <w:numPr>
          <w:ilvl w:val="0"/>
          <w:numId w:val="2"/>
        </w:numPr>
        <w:spacing w:after="60" w:before="60"/>
      </w:pPr>
      <w:r>
        <w:rPr>
          <w:rFonts w:ascii="Arial" w:cs="Arial" w:eastAsia="Arial" w:hAnsi="Arial"/>
          <w:sz w:val="24"/>
          <w:szCs w:val="24"/>
        </w:rPr>
        <w:t>Énergies renouvelables, fort potentiel géothermique, solaire et hydroélectrique, La Réunion peut viser l'autonomie énergétique</w:t>
      </w:r>
    </w:p>
    <w:p>
      <w:pPr>
        <w:pStyle w:val="ListParagraph"/>
        <w:numPr>
          <w:ilvl w:val="0"/>
          <w:numId w:val="2"/>
        </w:numPr>
        <w:spacing w:after="60" w:before="60"/>
      </w:pPr>
      <w:r>
        <w:rPr>
          <w:rFonts w:ascii="Arial" w:cs="Arial" w:eastAsia="Arial" w:hAnsi="Arial"/>
          <w:sz w:val="24"/>
          <w:szCs w:val="24"/>
        </w:rPr>
        <w:t>Agriculture innovante, diversification au-delà de la canne à sucre, hydroponique adapté au contexte tropical</w:t>
      </w:r>
    </w:p>
    <w:p>
      <w:pPr>
        <w:pStyle w:val="ListParagraph"/>
        <w:numPr>
          <w:ilvl w:val="0"/>
          <w:numId w:val="2"/>
        </w:numPr>
        <w:spacing w:after="60" w:before="60"/>
      </w:pPr>
      <w:r>
        <w:rPr>
          <w:rFonts w:ascii="Arial" w:cs="Arial" w:eastAsia="Arial" w:hAnsi="Arial"/>
          <w:sz w:val="24"/>
          <w:szCs w:val="24"/>
        </w:rPr>
        <w:t>Hub numérique régional de l'Océan Indien, La Réunion comme porte d'entrée française dans l'Océan Indien</w:t>
      </w:r>
    </w:p>
    <w:p>
      <w:pPr>
        <w:pStyle w:val="Heading2"/>
        <w:spacing w:after="120" w:before="240"/>
      </w:pPr>
      <w:r>
        <w:rPr>
          <w:rFonts w:ascii="Arial" w:cs="Arial" w:eastAsia="Arial" w:hAnsi="Arial"/>
          <w:b/>
          <w:bCs/>
          <w:sz w:val="28"/>
          <w:szCs w:val="28"/>
        </w:rPr>
        <w:t xml:space="preserve">Développement des structures éducatives locales</w:t>
      </w:r>
    </w:p>
    <w:p>
      <w:pPr>
        <w:pStyle w:val="ListParagraph"/>
        <w:numPr>
          <w:ilvl w:val="0"/>
          <w:numId w:val="2"/>
        </w:numPr>
        <w:spacing w:after="60" w:before="60"/>
      </w:pPr>
      <w:r>
        <w:rPr>
          <w:rFonts w:ascii="Arial" w:cs="Arial" w:eastAsia="Arial" w:hAnsi="Arial"/>
          <w:sz w:val="24"/>
          <w:szCs w:val="24"/>
        </w:rPr>
        <w:t>Universités et formations supérieures développées sur l'île, former sur place pour que les diplômés restent et contribuent au développement local</w:t>
      </w:r>
    </w:p>
    <w:p>
      <w:pPr>
        <w:pStyle w:val="ListParagraph"/>
        <w:numPr>
          <w:ilvl w:val="0"/>
          <w:numId w:val="2"/>
        </w:numPr>
        <w:spacing w:after="60" w:before="60"/>
      </w:pPr>
      <w:r>
        <w:rPr>
          <w:rFonts w:ascii="Arial" w:cs="Arial" w:eastAsia="Arial" w:hAnsi="Arial"/>
          <w:sz w:val="24"/>
          <w:szCs w:val="24"/>
        </w:rPr>
        <w:t>Accès facilité aux structures métropolitaines, bourses bonifiées pour les étudiants réunionnais qui rejoignent une université ou grande école en métropole</w:t>
      </w:r>
    </w:p>
    <w:p>
      <w:pPr>
        <w:pStyle w:val="ListParagraph"/>
        <w:numPr>
          <w:ilvl w:val="0"/>
          <w:numId w:val="2"/>
        </w:numPr>
        <w:spacing w:after="60" w:before="60"/>
      </w:pPr>
      <w:r>
        <w:rPr>
          <w:rFonts w:ascii="Arial" w:cs="Arial" w:eastAsia="Arial" w:hAnsi="Arial"/>
          <w:sz w:val="24"/>
          <w:szCs w:val="24"/>
        </w:rPr>
        <w:t>Logements étudiants dédiés via le CROUS, financement FNDR</w:t>
      </w:r>
    </w:p>
    <w:p>
      <w:pPr>
        <w:pStyle w:val="Heading2"/>
        <w:spacing w:after="120" w:before="240"/>
      </w:pPr>
      <w:r>
        <w:rPr>
          <w:rFonts w:ascii="Arial" w:cs="Arial" w:eastAsia="Arial" w:hAnsi="Arial"/>
          <w:b/>
          <w:bCs/>
          <w:sz w:val="28"/>
          <w:szCs w:val="28"/>
        </w:rPr>
        <w:t xml:space="preserve">Plan de résilience cyclonique</w:t>
      </w:r>
    </w:p>
    <w:p>
      <w:pPr>
        <w:pStyle w:val="ListParagraph"/>
        <w:numPr>
          <w:ilvl w:val="0"/>
          <w:numId w:val="2"/>
        </w:numPr>
        <w:spacing w:after="60" w:before="60"/>
      </w:pPr>
      <w:r>
        <w:rPr>
          <w:rFonts w:ascii="Arial" w:cs="Arial" w:eastAsia="Arial" w:hAnsi="Arial"/>
          <w:sz w:val="24"/>
          <w:szCs w:val="24"/>
        </w:rPr>
        <w:t>Renforcement des infrastructures dans les zones à risque, financé par le FNDR</w:t>
      </w:r>
    </w:p>
    <w:p>
      <w:pPr>
        <w:pStyle w:val="ListParagraph"/>
        <w:numPr>
          <w:ilvl w:val="0"/>
          <w:numId w:val="2"/>
        </w:numPr>
        <w:spacing w:after="60" w:before="60"/>
      </w:pPr>
      <w:r>
        <w:rPr>
          <w:rFonts w:ascii="Arial" w:cs="Arial" w:eastAsia="Arial" w:hAnsi="Arial"/>
          <w:sz w:val="24"/>
          <w:szCs w:val="24"/>
        </w:rPr>
        <w:t>Logements construits aux normes anticycloniques, priorité dans les programmes de rénovation</w:t>
      </w:r>
    </w:p>
    <w:p>
      <w:pPr>
        <w:pStyle w:val="Heading1"/>
        <w:spacing w:after="180" w:before="360"/>
      </w:pPr>
      <w:r>
        <w:rPr>
          <w:rFonts w:ascii="Arial" w:cs="Arial" w:eastAsia="Arial" w:hAnsi="Arial"/>
          <w:b/>
          <w:bCs/>
          <w:sz w:val="32"/>
          <w:szCs w:val="32"/>
        </w:rPr>
        <w:t>5, Mayotte</w:t>
      </w:r>
    </w:p>
    <w:p>
      <w:pPr>
        <w:pStyle w:val="Heading2"/>
        <w:spacing w:after="120" w:before="240"/>
      </w:pPr>
      <w:r>
        <w:rPr>
          <w:rFonts w:ascii="Arial" w:cs="Arial" w:eastAsia="Arial" w:hAnsi="Arial"/>
          <w:b/>
          <w:bCs/>
          <w:sz w:val="28"/>
          <w:szCs w:val="28"/>
        </w:rPr>
        <w:t>Constat, la priorité absolue des Outre-mer</w:t>
      </w:r>
    </w:p>
    <w:p>
      <w:pPr>
        <w:spacing w:after="120" w:before="120"/>
      </w:pPr>
      <w:r>
        <w:rPr>
          <w:rFonts w:ascii="Arial" w:cs="Arial" w:eastAsia="Arial" w:hAnsi="Arial"/>
          <w:sz w:val="24"/>
          <w:szCs w:val="24"/>
        </w:rPr>
        <w:t>Mayotte est le territoire le plus fragile de la République française. 77,3% de la population vit sous le seuil de pauvreté. Le cyclone Chido du 14 décembre 2024 a endommagé ou détruit 36 000 logements soit 60% de l'habitat. L'État a promis 4 milliards€ de reconstruction, seulement 25 millions€ ont été dépensés soit 0,6% de l'enveloppe. C'est un abandon de la République envers l'un de ses territoires. (Sources : Ministère des Outre-mers, rapport CGAAER 2025)</w:t>
      </w:r>
    </w:p>
    <w:p>
      <w:pPr>
        <w:pStyle w:val="Heading2"/>
        <w:spacing w:after="120" w:before="240"/>
      </w:pPr>
      <w:r>
        <w:rPr>
          <w:rFonts w:ascii="Arial" w:cs="Arial" w:eastAsia="Arial" w:hAnsi="Arial"/>
          <w:b/>
          <w:bCs/>
          <w:sz w:val="28"/>
          <w:szCs w:val="28"/>
        </w:rPr>
        <w:t>Plan de reconstruction, mobilisation nationale</w:t>
      </w:r>
    </w:p>
    <w:p>
      <w:pPr>
        <w:spacing w:after="120" w:before="120"/>
      </w:pPr>
      <w:r>
        <w:rPr>
          <w:rFonts w:ascii="Arial" w:cs="Arial" w:eastAsia="Arial" w:hAnsi="Arial"/>
          <w:sz w:val="24"/>
          <w:szCs w:val="24"/>
        </w:rPr>
        <w:t xml:space="preserve">La reconstruction de Mayotte est une priorité nationale qui mobilise tous les leviers disponibles simultanément.</w:t>
      </w:r>
    </w:p>
    <w:p>
      <w:pPr>
        <w:spacing w:after="100" w:before="200"/>
      </w:pPr>
      <w:r>
        <w:rPr>
          <w:rFonts w:ascii="Arial" w:cs="Arial" w:eastAsia="Arial" w:hAnsi="Arial"/>
          <w:b/>
          <w:bCs/>
          <w:sz w:val="24"/>
          <w:szCs w:val="24"/>
        </w:rPr>
        <w:t xml:space="preserve">Appel aux dons matériels et financiers</w:t>
      </w:r>
    </w:p>
    <w:p>
      <w:pPr>
        <w:pStyle w:val="ListParagraph"/>
        <w:numPr>
          <w:ilvl w:val="0"/>
          <w:numId w:val="2"/>
        </w:numPr>
        <w:spacing w:after="60" w:before="60"/>
      </w:pPr>
      <w:r>
        <w:rPr>
          <w:rFonts w:ascii="Arial" w:cs="Arial" w:eastAsia="Arial" w:hAnsi="Arial"/>
          <w:sz w:val="24"/>
          <w:szCs w:val="24"/>
        </w:rPr>
        <w:t>Négociations directes État-enseignes, Leroy Merlin, Castorama, Saint-Gobain, Vinci, Bouygues, pour dons de matériaux de construction à tarifs solidaires</w:t>
      </w:r>
    </w:p>
    <w:p>
      <w:pPr>
        <w:pStyle w:val="ListParagraph"/>
        <w:numPr>
          <w:ilvl w:val="0"/>
          <w:numId w:val="2"/>
        </w:numPr>
        <w:spacing w:after="60" w:before="60"/>
      </w:pPr>
      <w:r>
        <w:rPr>
          <w:rFonts w:ascii="Arial" w:cs="Arial" w:eastAsia="Arial" w:hAnsi="Arial"/>
          <w:sz w:val="24"/>
          <w:szCs w:val="24"/>
        </w:rPr>
        <w:t xml:space="preserve">Déduction fiscale de 20% sur tous les dons matériels ou financiers pour la reconstruction de Mayotte</w:t>
      </w:r>
    </w:p>
    <w:p>
      <w:pPr>
        <w:pStyle w:val="ListParagraph"/>
        <w:numPr>
          <w:ilvl w:val="0"/>
          <w:numId w:val="2"/>
        </w:numPr>
        <w:spacing w:after="60" w:before="60"/>
      </w:pPr>
      <w:r>
        <w:rPr>
          <w:rFonts w:ascii="Arial" w:cs="Arial" w:eastAsia="Arial" w:hAnsi="Arial"/>
          <w:sz w:val="24"/>
          <w:szCs w:val="24"/>
        </w:rPr>
        <w:t xml:space="preserve">Crédit d'impôt de 25% sur le coût de la main d'œuvre pour les entreprises qui envoient des équipes de reconstruction à Mayotte</w:t>
      </w:r>
    </w:p>
    <w:p>
      <w:pPr>
        <w:pStyle w:val="ListParagraph"/>
        <w:numPr>
          <w:ilvl w:val="0"/>
          <w:numId w:val="2"/>
        </w:numPr>
        <w:spacing w:after="60" w:before="60"/>
      </w:pPr>
      <w:r>
        <w:rPr>
          <w:rFonts w:ascii="Arial" w:cs="Arial" w:eastAsia="Arial" w:hAnsi="Arial"/>
          <w:sz w:val="24"/>
          <w:szCs w:val="24"/>
        </w:rPr>
        <w:t>Label 'Entreprise citoyenne de la République' pour les contributeurs, visibilité nationale garantie</w:t>
      </w:r>
    </w:p>
    <w:p>
      <w:pPr>
        <w:spacing w:after="100" w:before="200"/>
      </w:pPr>
      <w:r>
        <w:rPr>
          <w:rFonts w:ascii="Arial" w:cs="Arial" w:eastAsia="Arial" w:hAnsi="Arial"/>
          <w:b/>
          <w:bCs/>
          <w:sz w:val="24"/>
          <w:szCs w:val="24"/>
        </w:rPr>
        <w:t xml:space="preserve">Redirection de 5% des budgets régionaux hexagonaux</w:t>
      </w:r>
    </w:p>
    <w:p>
      <w:pPr>
        <w:spacing w:after="120" w:before="120"/>
      </w:pPr>
      <w:r>
        <w:rPr>
          <w:rFonts w:ascii="Arial" w:cs="Arial" w:eastAsia="Arial" w:hAnsi="Arial"/>
          <w:sz w:val="24"/>
          <w:szCs w:val="24"/>
        </w:rPr>
        <w:t>Mesure exceptionnelle et temporaire, 3 ans maximum. Sur environ 35 milliards€ de budgets régionaux totaux, 5% représente 1,75 milliard€ par an soit 5,25 milliards€ sur 3 ans. Compensation partielle aux régions hexagonales par une dotation État sur 5 ans. La solidarité républicaine s'exerce concrètement.</w:t>
      </w:r>
    </w:p>
    <w:p>
      <w:pPr>
        <w:spacing w:after="100" w:before="200"/>
      </w:pPr>
      <w:r>
        <w:rPr>
          <w:rFonts w:ascii="Arial" w:cs="Arial" w:eastAsia="Arial" w:hAnsi="Arial"/>
          <w:b/>
          <w:bCs/>
          <w:sz w:val="24"/>
          <w:szCs w:val="24"/>
        </w:rPr>
        <w:t xml:space="preserve">PTZ Reconstruction maintenu et élargi</w:t>
      </w:r>
    </w:p>
    <w:p>
      <w:pPr>
        <w:spacing w:after="120" w:before="120"/>
      </w:pPr>
      <w:r>
        <w:rPr>
          <w:rFonts w:ascii="Arial" w:cs="Arial" w:eastAsia="Arial" w:hAnsi="Arial"/>
          <w:sz w:val="24"/>
          <w:szCs w:val="24"/>
        </w:rPr>
        <w:t>Le prêt à taux zéro de 50 000€ par logement est maintenu et rendu accessible à tous les propriétaires concernés, remboursable sur 20 ans. Ce n'est pas une dépense sèche mais un prêt qui revient dans les caisses.</w:t>
      </w:r>
    </w:p>
    <w:p>
      <w:pPr>
        <w:spacing w:after="100" w:before="200"/>
      </w:pPr>
      <w:r>
        <w:rPr>
          <w:rFonts w:ascii="Arial" w:cs="Arial" w:eastAsia="Arial" w:hAnsi="Arial"/>
          <w:b/>
          <w:bCs/>
          <w:sz w:val="24"/>
          <w:szCs w:val="24"/>
        </w:rPr>
        <w:t xml:space="preserve">Bilan financier de la reconstruction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50"/>
        <w:gridCol w:w="351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Montant estimé</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5% budgets régionaux hexagonaux, 3 ans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5,25 Mds€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PTZ reconstruction, 36 000 logements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 Md€ (prêt remboursé)</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Dons matériels et financiers privés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 à 500 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 d'œuvre volontaire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 M€ valeur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FNDR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 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MOBILISABLE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~7,7 Mds€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BESOIN ESTIMÉ</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~3,6 Mds€</w:t>
            </w:r>
          </w:p>
        </w:tc>
      </w:tr>
    </w:tbl>
    <w:p>
      <w:pPr>
        <w:spacing w:after="60" w:before="60"/>
      </w:pPr>
      <w:r>
        <w:t xml:space="preserve"/>
      </w:r>
    </w:p>
    <w:p>
      <w:pPr>
        <w:spacing w:after="120" w:before="120"/>
      </w:pPr>
      <w:r>
        <w:rPr>
          <w:rFonts w:ascii="Arial" w:cs="Arial" w:eastAsia="Arial" w:hAnsi="Arial"/>
          <w:sz w:val="24"/>
          <w:szCs w:val="24"/>
        </w:rPr>
        <w:t xml:space="preserve">On est largement au-dessus des besoins. L'excédent finance les usines numériques et les infrastructures long terme.</w:t>
      </w:r>
    </w:p>
    <w:p>
      <w:pPr>
        <w:pStyle w:val="Heading2"/>
        <w:spacing w:after="120" w:before="240"/>
      </w:pPr>
      <w:r>
        <w:rPr>
          <w:rFonts w:ascii="Arial" w:cs="Arial" w:eastAsia="Arial" w:hAnsi="Arial"/>
          <w:b/>
          <w:bCs/>
          <w:sz w:val="28"/>
          <w:szCs w:val="28"/>
        </w:rPr>
        <w:t>Mayotte, île de l'ingénierie numérique</w:t>
      </w:r>
    </w:p>
    <w:p>
      <w:pPr>
        <w:spacing w:after="120" w:before="120"/>
      </w:pPr>
      <w:r>
        <w:rPr>
          <w:rFonts w:ascii="Arial" w:cs="Arial" w:eastAsia="Arial" w:hAnsi="Arial"/>
          <w:sz w:val="24"/>
          <w:szCs w:val="24"/>
        </w:rPr>
        <w:t>Au-delà de la reconstruction immédiate, Mayotte devient le bastion technologique français dans l'Océan Indien. Sa position géostratégique au carrefour des routes maritimes reliant l'Afrique, le Moyen-Orient et l'Asie en fait le site idéal pour la fonderie franco-chinoise posée dans le volet International.</w:t>
      </w:r>
    </w:p>
    <w:p>
      <w:pPr>
        <w:pStyle w:val="ListParagraph"/>
        <w:numPr>
          <w:ilvl w:val="0"/>
          <w:numId w:val="2"/>
        </w:numPr>
        <w:spacing w:after="60" w:before="60"/>
      </w:pPr>
      <w:r>
        <w:rPr>
          <w:rFonts w:ascii="Arial" w:cs="Arial" w:eastAsia="Arial" w:hAnsi="Arial"/>
          <w:sz w:val="24"/>
          <w:szCs w:val="24"/>
        </w:rPr>
        <w:t>Fonderie franco-chinoise installée à Mayotte, production de semi-conducteurs sur sol français</w:t>
      </w:r>
    </w:p>
    <w:p>
      <w:pPr>
        <w:pStyle w:val="ListParagraph"/>
        <w:numPr>
          <w:ilvl w:val="0"/>
          <w:numId w:val="2"/>
        </w:numPr>
        <w:spacing w:after="60" w:before="60"/>
      </w:pPr>
      <w:r>
        <w:rPr>
          <w:rFonts w:ascii="Arial" w:cs="Arial" w:eastAsia="Arial" w:hAnsi="Arial"/>
          <w:sz w:val="24"/>
          <w:szCs w:val="24"/>
        </w:rPr>
        <w:t>Usines de production technologique, smartphones, cartes graphiques, processeurs, RAM, écrans, Plan Calcul 2.0 ancré à Mayotte</w:t>
      </w:r>
    </w:p>
    <w:p>
      <w:pPr>
        <w:pStyle w:val="ListParagraph"/>
        <w:numPr>
          <w:ilvl w:val="0"/>
          <w:numId w:val="2"/>
        </w:numPr>
        <w:spacing w:after="60" w:before="60"/>
      </w:pPr>
      <w:r>
        <w:rPr>
          <w:rFonts w:ascii="Arial" w:cs="Arial" w:eastAsia="Arial" w:hAnsi="Arial"/>
          <w:sz w:val="24"/>
          <w:szCs w:val="24"/>
        </w:rPr>
        <w:t>Création de milliers d'emplois qualifiés sur place, ingénieurs, techniciens, opérateurs formés localement</w:t>
      </w:r>
    </w:p>
    <w:p>
      <w:pPr>
        <w:pStyle w:val="ListParagraph"/>
        <w:numPr>
          <w:ilvl w:val="0"/>
          <w:numId w:val="2"/>
        </w:numPr>
        <w:spacing w:after="60" w:before="60"/>
      </w:pPr>
      <w:r>
        <w:rPr>
          <w:rFonts w:ascii="Arial" w:cs="Arial" w:eastAsia="Arial" w:hAnsi="Arial"/>
          <w:sz w:val="24"/>
          <w:szCs w:val="24"/>
        </w:rPr>
        <w:t>Mayotte comme hub technologique de l'Océan Indien, ce que Taïwan est à l'Asie, Mayotte peut l'être pour la France et l'Afrique</w:t>
      </w:r>
    </w:p>
    <w:p>
      <w:pPr>
        <w:pStyle w:val="Heading2"/>
        <w:spacing w:after="120" w:before="240"/>
      </w:pPr>
      <w:r>
        <w:rPr>
          <w:rFonts w:ascii="Arial" w:cs="Arial" w:eastAsia="Arial" w:hAnsi="Arial"/>
          <w:b/>
          <w:bCs/>
          <w:sz w:val="28"/>
          <w:szCs w:val="28"/>
        </w:rPr>
        <w:t xml:space="preserve">Reconstruction aux normes anticycloniques</w:t>
      </w:r>
    </w:p>
    <w:p>
      <w:pPr>
        <w:pStyle w:val="ListParagraph"/>
        <w:numPr>
          <w:ilvl w:val="0"/>
          <w:numId w:val="2"/>
        </w:numPr>
        <w:spacing w:after="60" w:before="60"/>
      </w:pPr>
      <w:r>
        <w:rPr>
          <w:rFonts w:ascii="Arial" w:cs="Arial" w:eastAsia="Arial" w:hAnsi="Arial"/>
          <w:sz w:val="24"/>
          <w:szCs w:val="24"/>
        </w:rPr>
        <w:t>Jamais plus de cases en tôle, tous les nouveaux logements sont construits aux normes anticycloniques</w:t>
      </w:r>
    </w:p>
    <w:p>
      <w:pPr>
        <w:pStyle w:val="ListParagraph"/>
        <w:numPr>
          <w:ilvl w:val="0"/>
          <w:numId w:val="2"/>
        </w:numPr>
        <w:spacing w:after="60" w:before="60"/>
      </w:pPr>
      <w:r>
        <w:rPr>
          <w:rFonts w:ascii="Arial" w:cs="Arial" w:eastAsia="Arial" w:hAnsi="Arial"/>
          <w:sz w:val="24"/>
          <w:szCs w:val="24"/>
        </w:rPr>
        <w:t>Deuxième hôpital dans le sud de l'île, le CHM de Mamoudzou seul est insuffisant pour 350 000 habitants</w:t>
      </w:r>
    </w:p>
    <w:p>
      <w:pPr>
        <w:pStyle w:val="ListParagraph"/>
        <w:numPr>
          <w:ilvl w:val="0"/>
          <w:numId w:val="2"/>
        </w:numPr>
        <w:spacing w:after="60" w:before="60"/>
      </w:pPr>
      <w:r>
        <w:rPr>
          <w:rFonts w:ascii="Arial" w:cs="Arial" w:eastAsia="Arial" w:hAnsi="Arial"/>
          <w:sz w:val="24"/>
          <w:szCs w:val="24"/>
        </w:rPr>
        <w:t>Écoles construites aux normes, fin du système de rotation des classes</w:t>
      </w:r>
    </w:p>
    <w:p>
      <w:pPr>
        <w:pStyle w:val="ListParagraph"/>
        <w:numPr>
          <w:ilvl w:val="0"/>
          <w:numId w:val="2"/>
        </w:numPr>
        <w:spacing w:after="60" w:before="60"/>
      </w:pPr>
      <w:r>
        <w:rPr>
          <w:rFonts w:ascii="Arial" w:cs="Arial" w:eastAsia="Arial" w:hAnsi="Arial"/>
          <w:sz w:val="24"/>
          <w:szCs w:val="24"/>
        </w:rPr>
        <w:t>Infrastructure eau potable, priorité absolue post-Chido</w:t>
      </w:r>
    </w:p>
    <w:p>
      <w:pPr>
        <w:pStyle w:val="Heading2"/>
        <w:spacing w:after="120" w:before="240"/>
      </w:pPr>
      <w:r>
        <w:rPr>
          <w:rFonts w:ascii="Arial" w:cs="Arial" w:eastAsia="Arial" w:hAnsi="Arial"/>
          <w:b/>
          <w:bCs/>
          <w:sz w:val="28"/>
          <w:szCs w:val="28"/>
        </w:rPr>
        <w:t>Crise migratoire, accord bilatéral France-Comores</w:t>
      </w:r>
    </w:p>
    <w:p>
      <w:pPr>
        <w:pStyle w:val="ListParagraph"/>
        <w:numPr>
          <w:ilvl w:val="0"/>
          <w:numId w:val="2"/>
        </w:numPr>
        <w:spacing w:after="60" w:before="60"/>
      </w:pPr>
      <w:r>
        <w:rPr>
          <w:rFonts w:ascii="Arial" w:cs="Arial" w:eastAsia="Arial" w:hAnsi="Arial"/>
          <w:sz w:val="24"/>
          <w:szCs w:val="24"/>
        </w:rPr>
        <w:t>Accord donnant-donnant avec les Comores, aide au développement économique conditionnée à la coopération migratoire totale, modèle levier algérien</w:t>
      </w:r>
    </w:p>
    <w:p>
      <w:pPr>
        <w:pStyle w:val="ListParagraph"/>
        <w:numPr>
          <w:ilvl w:val="0"/>
          <w:numId w:val="2"/>
        </w:numPr>
        <w:spacing w:after="60" w:before="60"/>
      </w:pPr>
      <w:r>
        <w:rPr>
          <w:rFonts w:ascii="Arial" w:cs="Arial" w:eastAsia="Arial" w:hAnsi="Arial"/>
          <w:sz w:val="24"/>
          <w:szCs w:val="24"/>
        </w:rPr>
        <w:t>Si les Comores choisissent une intégration économique profonde, accès au marché européen, investissements, en échange de l'abandon de la revendication sur Mayotte et de la coopération migratoire, extension de la ZEE française dans l'Océan Indien</w:t>
      </w:r>
    </w:p>
    <w:p>
      <w:pPr>
        <w:pStyle w:val="ListParagraph"/>
        <w:numPr>
          <w:ilvl w:val="0"/>
          <w:numId w:val="2"/>
        </w:numPr>
        <w:spacing w:after="60" w:before="60"/>
      </w:pPr>
      <w:r>
        <w:rPr>
          <w:rFonts w:ascii="Arial" w:cs="Arial" w:eastAsia="Arial" w:hAnsi="Arial"/>
          <w:sz w:val="24"/>
          <w:szCs w:val="24"/>
        </w:rPr>
        <w:t>Retour au droit du sol commun, si Mayotte devient prospère, le flux migratoire se réduit mécaniquement. La pauvreté est la vraie cause des migrations, pas le droit du sol</w:t>
      </w:r>
    </w:p>
    <w:p>
      <w:pPr>
        <w:pStyle w:val="Heading1"/>
        <w:spacing w:after="180" w:before="360"/>
      </w:pPr>
      <w:r>
        <w:rPr>
          <w:rFonts w:ascii="Arial" w:cs="Arial" w:eastAsia="Arial" w:hAnsi="Arial"/>
          <w:b/>
          <w:bCs/>
          <w:sz w:val="32"/>
          <w:szCs w:val="32"/>
        </w:rPr>
        <w:t>6, Nouvelle-Calédonie</w:t>
      </w:r>
    </w:p>
    <w:p>
      <w:pPr>
        <w:pStyle w:val="Heading2"/>
        <w:spacing w:after="120" w:before="240"/>
      </w:pPr>
      <w:r>
        <w:rPr>
          <w:rFonts w:ascii="Arial" w:cs="Arial" w:eastAsia="Arial" w:hAnsi="Arial"/>
          <w:b/>
          <w:bCs/>
          <w:sz w:val="28"/>
          <w:szCs w:val="28"/>
        </w:rPr>
        <w:t>Constat, une crise multidimensionnelle</w:t>
      </w:r>
    </w:p>
    <w:p>
      <w:pPr>
        <w:spacing w:after="120" w:before="120"/>
      </w:pPr>
      <w:r>
        <w:rPr>
          <w:rFonts w:ascii="Arial" w:cs="Arial" w:eastAsia="Arial" w:hAnsi="Arial"/>
          <w:sz w:val="24"/>
          <w:szCs w:val="24"/>
        </w:rPr>
        <w:t>Le PIB de la Nouvelle-Calédonie a reculé de 13,5% en 2024, un record. L'emploi privé a perdu un salarié sur cinq, 13 000 emplois supprimés. Le nombre de chômeurs a doublé. La filière nickel souffre de la concurrence indonésienne qui a fait chuter les prix de 50%. La question souveraine reste posée, 46,7% des Calédoniens ont voté pour l'indépendance en 2020. L'Accord de Bougival de juillet 2025 tente de trouver une voie. (Sources : ISEE Nouvelle-Calédonie 2025 ; Chambre de Commerce NC 2024)</w:t>
      </w:r>
    </w:p>
    <w:p>
      <w:pPr>
        <w:pStyle w:val="Heading2"/>
        <w:spacing w:after="120" w:before="240"/>
      </w:pPr>
      <w:r>
        <w:rPr>
          <w:rFonts w:ascii="Arial" w:cs="Arial" w:eastAsia="Arial" w:hAnsi="Arial"/>
          <w:b/>
          <w:bCs/>
          <w:sz w:val="28"/>
          <w:szCs w:val="28"/>
        </w:rPr>
        <w:t>Énergie, tarif préférentiel</w:t>
      </w:r>
    </w:p>
    <w:p>
      <w:pPr>
        <w:spacing w:after="120" w:before="120"/>
      </w:pPr>
      <w:r>
        <w:rPr>
          <w:rFonts w:ascii="Arial" w:cs="Arial" w:eastAsia="Arial" w:hAnsi="Arial"/>
          <w:sz w:val="24"/>
          <w:szCs w:val="24"/>
        </w:rPr>
        <w:t>Tous les Français, hexagone et DROM-COM, bénéficient du retour aux tarifs EDF de 2009 grâce à la nationalisation d'EDF et à l'arrêt des exportations d'électricité verte vers les pays voisins.</w:t>
      </w:r>
    </w:p>
    <w:p>
      <w:pPr>
        <w:spacing w:after="120" w:before="120"/>
      </w:pPr>
      <w:r>
        <w:rPr>
          <w:rFonts w:ascii="Arial" w:cs="Arial" w:eastAsia="Arial" w:hAnsi="Arial"/>
          <w:sz w:val="24"/>
          <w:szCs w:val="24"/>
        </w:rPr>
        <w:t>La Nouvelle-Calédonie bénéficie en plus d'une réduction supplémentaire de 5% sur ce tarif déjà réduit, pour soutenir la compétitivité de l'industrie du nickel qui souffre du coût énergétique et relancer l'économie locale.</w:t>
      </w:r>
    </w:p>
    <w:p>
      <w:pPr>
        <w:pStyle w:val="Heading2"/>
        <w:spacing w:after="120" w:before="240"/>
      </w:pPr>
      <w:r>
        <w:rPr>
          <w:rFonts w:ascii="Arial" w:cs="Arial" w:eastAsia="Arial" w:hAnsi="Arial"/>
          <w:b/>
          <w:bCs/>
          <w:sz w:val="28"/>
          <w:szCs w:val="28"/>
        </w:rPr>
        <w:t xml:space="preserve">SLN intégrée dans le Plan Calcul 2.0</w:t>
      </w:r>
    </w:p>
    <w:p>
      <w:pPr>
        <w:spacing w:after="120" w:before="120"/>
      </w:pPr>
      <w:r>
        <w:rPr>
          <w:rFonts w:ascii="Arial" w:cs="Arial" w:eastAsia="Arial" w:hAnsi="Arial"/>
          <w:sz w:val="24"/>
          <w:szCs w:val="24"/>
        </w:rPr>
        <w:t>La Société Le Nickel n'est pas abandonnée à la concurrence indonésienne, elle est intégrée dans la stratégie industrielle nationale. L'État prend une participation majoritaire pour éviter la fermeture et financer la montée en gamme.</w:t>
      </w:r>
    </w:p>
    <w:p>
      <w:pPr>
        <w:pStyle w:val="ListParagraph"/>
        <w:numPr>
          <w:ilvl w:val="0"/>
          <w:numId w:val="2"/>
        </w:numPr>
        <w:spacing w:after="60" w:before="60"/>
      </w:pPr>
      <w:r>
        <w:rPr>
          <w:rFonts w:ascii="Arial" w:cs="Arial" w:eastAsia="Arial" w:hAnsi="Arial"/>
          <w:sz w:val="24"/>
          <w:szCs w:val="24"/>
        </w:rPr>
        <w:t>Transition du nickel brut vers le nickel raffiné pour batteries de véhicules électriques, la demande est massive et en forte croissance avec la transition énergétique</w:t>
      </w:r>
    </w:p>
    <w:p>
      <w:pPr>
        <w:pStyle w:val="ListParagraph"/>
        <w:numPr>
          <w:ilvl w:val="0"/>
          <w:numId w:val="2"/>
        </w:numPr>
        <w:spacing w:after="60" w:before="60"/>
      </w:pPr>
      <w:r>
        <w:rPr>
          <w:rFonts w:ascii="Arial" w:cs="Arial" w:eastAsia="Arial" w:hAnsi="Arial"/>
          <w:sz w:val="24"/>
          <w:szCs w:val="24"/>
        </w:rPr>
        <w:t xml:space="preserve">Avantage fiscal pour les entreprises françaises qui s'approvisionnent en nickel SLN plutôt qu'en Indonésie</w:t>
      </w:r>
    </w:p>
    <w:p>
      <w:pPr>
        <w:pStyle w:val="ListParagraph"/>
        <w:numPr>
          <w:ilvl w:val="0"/>
          <w:numId w:val="2"/>
        </w:numPr>
        <w:spacing w:after="60" w:before="60"/>
      </w:pPr>
      <w:r>
        <w:rPr>
          <w:rFonts w:ascii="Arial" w:cs="Arial" w:eastAsia="Arial" w:hAnsi="Arial"/>
          <w:sz w:val="24"/>
          <w:szCs w:val="24"/>
        </w:rPr>
        <w:t>Préférence au nickel calédonien dans les marchés publics de l'État, patriotisme industriel</w:t>
      </w:r>
    </w:p>
    <w:p>
      <w:pPr>
        <w:pStyle w:val="ListParagraph"/>
        <w:numPr>
          <w:ilvl w:val="0"/>
          <w:numId w:val="2"/>
        </w:numPr>
        <w:spacing w:after="60" w:before="60"/>
      </w:pPr>
      <w:r>
        <w:rPr>
          <w:rFonts w:ascii="Arial" w:cs="Arial" w:eastAsia="Arial" w:hAnsi="Arial"/>
          <w:sz w:val="24"/>
          <w:szCs w:val="24"/>
        </w:rPr>
        <w:t>Financement de la R&amp;D sur les procédés de raffinage du nickel pour batteries, CNRS et industriels</w:t>
      </w:r>
    </w:p>
    <w:p>
      <w:pPr>
        <w:pStyle w:val="Heading2"/>
        <w:spacing w:after="120" w:before="240"/>
      </w:pPr>
      <w:r>
        <w:rPr>
          <w:rFonts w:ascii="Arial" w:cs="Arial" w:eastAsia="Arial" w:hAnsi="Arial"/>
          <w:b/>
          <w:bCs/>
          <w:sz w:val="28"/>
          <w:szCs w:val="28"/>
        </w:rPr>
        <w:t>Revalorisation salariale, trois leviers complémentaires</w:t>
      </w:r>
    </w:p>
    <w:p>
      <w:pPr>
        <w:spacing w:after="100" w:before="200"/>
      </w:pPr>
      <w:r>
        <w:rPr>
          <w:rFonts w:ascii="Arial" w:cs="Arial" w:eastAsia="Arial" w:hAnsi="Arial"/>
          <w:b/>
          <w:bCs/>
          <w:sz w:val="24"/>
          <w:szCs w:val="24"/>
        </w:rPr>
        <w:t>Levier 1, Indexation sur l'indice INSEE des secteurs tertiaires</w:t>
      </w:r>
    </w:p>
    <w:p>
      <w:pPr>
        <w:spacing w:after="120" w:before="120"/>
      </w:pPr>
      <w:r>
        <w:rPr>
          <w:rFonts w:ascii="Arial" w:cs="Arial" w:eastAsia="Arial" w:hAnsi="Arial"/>
          <w:sz w:val="24"/>
          <w:szCs w:val="24"/>
        </w:rPr>
        <w:t>Les salaires calédoniens sont automatiquement revalorisés chaque année selon l'indice des secteurs tertiaires publié par l'INSEE, même mécanisme que l'indexation des loyers sur l'IRL. Pas de négociation annuelle, une règle automatique et transparente qui protège structurellement le pouvoir d'achat.</w:t>
      </w:r>
    </w:p>
    <w:p>
      <w:pPr>
        <w:spacing w:after="100" w:before="200"/>
      </w:pPr>
      <w:r>
        <w:rPr>
          <w:rFonts w:ascii="Arial" w:cs="Arial" w:eastAsia="Arial" w:hAnsi="Arial"/>
          <w:b/>
          <w:bCs/>
          <w:sz w:val="24"/>
          <w:szCs w:val="24"/>
        </w:rPr>
        <w:t>Levier 2, TVA automobile fléchée</w:t>
      </w:r>
    </w:p>
    <w:p>
      <w:pPr>
        <w:spacing w:after="120" w:before="120"/>
      </w:pPr>
      <w:r>
        <w:rPr>
          <w:rFonts w:ascii="Arial" w:cs="Arial" w:eastAsia="Arial" w:hAnsi="Arial"/>
          <w:sz w:val="24"/>
          <w:szCs w:val="24"/>
        </w:rPr>
        <w:t>Une fraction de la TVA à 5,5% sur les ventes automobiles en France est fléchée vers un fonds de revalorisation salariale en Nouvelle-Calédonie. Le marché automobile français génère des milliards de recettes TVA, une fraction finance ceux qui extraient le nickel nécessaire aux batteries des véhicules électriques. La cohérence est totale.</w:t>
      </w:r>
    </w:p>
    <w:p>
      <w:pPr>
        <w:spacing w:after="100" w:before="200"/>
      </w:pPr>
      <w:r>
        <w:rPr>
          <w:rFonts w:ascii="Arial" w:cs="Arial" w:eastAsia="Arial" w:hAnsi="Arial"/>
          <w:b/>
          <w:bCs/>
          <w:sz w:val="24"/>
          <w:szCs w:val="24"/>
        </w:rPr>
        <w:t>Levier 3, Péréquation keynésienne par la SLN</w:t>
      </w:r>
    </w:p>
    <w:p>
      <w:pPr>
        <w:spacing w:after="120" w:before="120"/>
      </w:pPr>
      <w:r>
        <w:rPr>
          <w:rFonts w:ascii="Arial" w:cs="Arial" w:eastAsia="Arial" w:hAnsi="Arial"/>
          <w:sz w:val="24"/>
          <w:szCs w:val="24"/>
        </w:rPr>
        <w:t>Les profits de la SLN nationalisée alimentent un fonds de péréquation entre les entreprises calédoniennes, mais dans une logique keynésienne de stimulation de la demande, pas de redistribution passive. L'État investit massivement dans les commandes publiques locales, les infrastructures et le tourisme pour créer une demande qui permet à toutes les entreprises de générer leurs propres revenus et de payer des salaires indexés sans aide extérieure.</w:t>
      </w:r>
    </w:p>
    <w:p>
      <w:pPr>
        <w:spacing w:after="120" w:before="120"/>
      </w:pPr>
      <w:r>
        <w:rPr>
          <w:rFonts w:ascii="Arial" w:cs="Arial" w:eastAsia="Arial" w:hAnsi="Arial"/>
          <w:i/>
          <w:iCs/>
          <w:sz w:val="24"/>
          <w:szCs w:val="24"/>
        </w:rPr>
        <w:t>« On ne distribue pas la richesse, on crée les conditions pour que chaque entreprise calédonienne la génère elle-même. »</w:t>
      </w:r>
    </w:p>
    <w:p>
      <w:pPr>
        <w:pStyle w:val="Heading2"/>
        <w:spacing w:after="120" w:before="240"/>
      </w:pPr>
      <w:r>
        <w:rPr>
          <w:rFonts w:ascii="Arial" w:cs="Arial" w:eastAsia="Arial" w:hAnsi="Arial"/>
          <w:b/>
          <w:bCs/>
          <w:sz w:val="28"/>
          <w:szCs w:val="28"/>
        </w:rPr>
        <w:t xml:space="preserve">Autonomie administrative complète</w:t>
      </w:r>
    </w:p>
    <w:p>
      <w:pPr>
        <w:spacing w:after="120" w:before="120"/>
      </w:pPr>
      <w:r>
        <w:rPr>
          <w:rFonts w:ascii="Arial" w:cs="Arial" w:eastAsia="Arial" w:hAnsi="Arial"/>
          <w:sz w:val="24"/>
          <w:szCs w:val="24"/>
        </w:rPr>
        <w:t>La Nouvelle-Calédonie gère ses affaires intérieures de façon complètement autonome. L'État français assure la souveraineté externe, défense, diplomatie, monnaie, et les obligations républicaines, énergie, sécurité sociale, éducation. Tant que la Nouvelle-Calédonie n'a pas définitivement rejeté la République par un vote souverain clair, la France a le devoir d'assurer sa pérennité et son développement.</w:t>
      </w:r>
    </w:p>
    <w:p>
      <w:pPr>
        <w:spacing w:after="120" w:before="120"/>
      </w:pPr>
      <w:r>
        <w:rPr>
          <w:rFonts w:ascii="Arial" w:cs="Arial" w:eastAsia="Arial" w:hAnsi="Arial"/>
          <w:i/>
          <w:iCs/>
          <w:sz w:val="24"/>
          <w:szCs w:val="24"/>
        </w:rPr>
        <w:t>« On ne retient pas un peuple par la force, on le convainc par la justice. »</w:t>
      </w:r>
    </w:p>
    <w:p>
      <w:pPr>
        <w:pStyle w:val="Heading1"/>
        <w:spacing w:after="180" w:before="360"/>
      </w:pPr>
      <w:r>
        <w:rPr>
          <w:rFonts w:ascii="Arial" w:cs="Arial" w:eastAsia="Arial" w:hAnsi="Arial"/>
          <w:b/>
          <w:bCs/>
          <w:sz w:val="32"/>
          <w:szCs w:val="32"/>
        </w:rPr>
        <w:t>7, Polynésie française</w:t>
      </w:r>
    </w:p>
    <w:p>
      <w:pPr>
        <w:pStyle w:val="Heading2"/>
        <w:spacing w:after="120" w:before="240"/>
      </w:pPr>
      <w:r>
        <w:rPr>
          <w:rFonts w:ascii="Arial" w:cs="Arial" w:eastAsia="Arial" w:hAnsi="Arial"/>
          <w:b/>
          <w:bCs/>
          <w:sz w:val="28"/>
          <w:szCs w:val="28"/>
        </w:rPr>
        <w:t>Les essais nucléaires, une dette non soldée</w:t>
      </w:r>
    </w:p>
    <w:p>
      <w:pPr>
        <w:spacing w:after="120" w:before="120"/>
      </w:pPr>
      <w:r>
        <w:rPr>
          <w:rFonts w:ascii="Arial" w:cs="Arial" w:eastAsia="Arial" w:hAnsi="Arial"/>
          <w:sz w:val="24"/>
          <w:szCs w:val="24"/>
        </w:rPr>
        <w:t>193 essais nucléaires ont été réalisés en Polynésie entre 1966 et 1996. 13 000 personnes ont été affectées par l'une des 23 maladies radio-induites. Seulement 1 200 victimes, un dixième des personnes affectées, ont été reconnues et indemnisées. 42% des dossiers examinés par le CIVEN en 2024 ont été rejetés sur le fondement d'un seuil de 1 millisievert qui n'a aucune valeur scientifique selon les rapporteurs parlementaires. Le rapport parlementaire du 10 juin 2025 formule 45 recommandations et des archives révèlent silences et mensonges sur les conséquences réelles des essais. (Sources : rapport commission d'enquête parlementaire, juin 2025 ; CIVEN, rapport d'activité 2024)</w:t>
      </w:r>
    </w:p>
    <w:p>
      <w:pPr>
        <w:pStyle w:val="Heading2"/>
        <w:spacing w:after="120" w:before="240"/>
      </w:pPr>
      <w:r>
        <w:rPr>
          <w:rFonts w:ascii="Arial" w:cs="Arial" w:eastAsia="Arial" w:hAnsi="Arial"/>
          <w:b/>
          <w:bCs/>
          <w:sz w:val="28"/>
          <w:szCs w:val="28"/>
        </w:rPr>
        <w:t>Reconnaissance et réparation, mesures LFP</w:t>
      </w:r>
    </w:p>
    <w:p>
      <w:pPr>
        <w:pStyle w:val="ListParagraph"/>
        <w:numPr>
          <w:ilvl w:val="0"/>
          <w:numId w:val="2"/>
        </w:numPr>
        <w:spacing w:after="60" w:before="60"/>
      </w:pPr>
      <w:r>
        <w:rPr>
          <w:rFonts w:ascii="Arial" w:cs="Arial" w:eastAsia="Arial" w:hAnsi="Arial"/>
          <w:sz w:val="24"/>
          <w:szCs w:val="24"/>
        </w:rPr>
        <w:t>Inscription dans la loi organique du 27 février 2004 d'une demande de pardon sincère et sans repentance de la Nation à l'égard de la Polynésie, première reconnaissance légale formelle dans l'histoire de la République</w:t>
      </w:r>
    </w:p>
    <w:p>
      <w:pPr>
        <w:pStyle w:val="ListParagraph"/>
        <w:numPr>
          <w:ilvl w:val="0"/>
          <w:numId w:val="2"/>
        </w:numPr>
        <w:spacing w:after="60" w:before="60"/>
      </w:pPr>
      <w:r>
        <w:rPr>
          <w:rFonts w:ascii="Arial" w:cs="Arial" w:eastAsia="Arial" w:hAnsi="Arial"/>
          <w:sz w:val="24"/>
          <w:szCs w:val="24"/>
        </w:rPr>
        <w:t>Nouveau critère d'indemnisation, les becquerels émis par les essais documentés dans les archives militaires, pas les millisieverts reçus individuellement. Critère objectif et géographique, toute personne ayant résidé dans une zone où les essais ont émis une radioactivité supérieure au seuil défini en becquerels ET présentant l'une des 23 maladies radio-induites est automatiquement indemnisée</w:t>
      </w:r>
    </w:p>
    <w:p>
      <w:pPr>
        <w:pStyle w:val="ListParagraph"/>
        <w:numPr>
          <w:ilvl w:val="0"/>
          <w:numId w:val="2"/>
        </w:numPr>
        <w:spacing w:after="60" w:before="60"/>
      </w:pPr>
      <w:r>
        <w:rPr>
          <w:rFonts w:ascii="Arial" w:cs="Arial" w:eastAsia="Arial" w:hAnsi="Arial"/>
          <w:sz w:val="24"/>
          <w:szCs w:val="24"/>
        </w:rPr>
        <w:t>Suppression de tous les délais de dépôt de dossier, les victimes et leurs ayants droit peuvent déposer à tout moment</w:t>
      </w:r>
    </w:p>
    <w:p>
      <w:pPr>
        <w:pStyle w:val="ListParagraph"/>
        <w:numPr>
          <w:ilvl w:val="0"/>
          <w:numId w:val="2"/>
        </w:numPr>
        <w:spacing w:after="60" w:before="60"/>
      </w:pPr>
      <w:r>
        <w:rPr>
          <w:rFonts w:ascii="Arial" w:cs="Arial" w:eastAsia="Arial" w:hAnsi="Arial"/>
          <w:sz w:val="24"/>
          <w:szCs w:val="24"/>
        </w:rPr>
        <w:t>Déclassification totale des archives militaires sur les essais, transparence complète</w:t>
      </w:r>
    </w:p>
    <w:p>
      <w:pPr>
        <w:pStyle w:val="ListParagraph"/>
        <w:numPr>
          <w:ilvl w:val="0"/>
          <w:numId w:val="2"/>
        </w:numPr>
        <w:spacing w:after="60" w:before="60"/>
      </w:pPr>
      <w:r>
        <w:rPr>
          <w:rFonts w:ascii="Arial" w:cs="Arial" w:eastAsia="Arial" w:hAnsi="Arial"/>
          <w:sz w:val="24"/>
          <w:szCs w:val="24"/>
        </w:rPr>
        <w:t>Étude épidémiologique nationale sur les effets transgénérationnels, les enfants nés de parents exposés sont potentiellement à risque</w:t>
      </w:r>
    </w:p>
    <w:p>
      <w:pPr>
        <w:spacing w:after="120" w:before="120"/>
      </w:pPr>
      <w:r>
        <w:rPr>
          <w:rFonts w:ascii="Arial" w:cs="Arial" w:eastAsia="Arial" w:hAnsi="Arial"/>
          <w:i/>
          <w:iCs/>
          <w:sz w:val="24"/>
          <w:szCs w:val="24"/>
        </w:rPr>
        <w:t xml:space="preserve">« La France a utilisé le Pacifique pour construire sa dissuasion nucléaire. Elle doit maintenant construire la prospérité polynésienne avec la même détermination. »</w:t>
      </w:r>
    </w:p>
    <w:p>
      <w:pPr>
        <w:pStyle w:val="Heading2"/>
        <w:spacing w:after="120" w:before="240"/>
      </w:pPr>
      <w:r>
        <w:rPr>
          <w:rFonts w:ascii="Arial" w:cs="Arial" w:eastAsia="Arial" w:hAnsi="Arial"/>
          <w:b/>
          <w:bCs/>
          <w:sz w:val="28"/>
          <w:szCs w:val="28"/>
        </w:rPr>
        <w:t>Fonds ZEE, rémunération du service rendu</w:t>
      </w:r>
    </w:p>
    <w:p>
      <w:pPr>
        <w:spacing w:after="120" w:before="120"/>
      </w:pPr>
      <w:r>
        <w:rPr>
          <w:rFonts w:ascii="Arial" w:cs="Arial" w:eastAsia="Arial" w:hAnsi="Arial"/>
          <w:sz w:val="24"/>
          <w:szCs w:val="24"/>
        </w:rPr>
        <w:t>La Polynésie française contribue à faire de la France la deuxième puissance maritime mondiale grâce à ses 5,5 millions de km² de ZEE. Ce service stratégique doit être rémunéré, pas par charité mais par justice.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2340"/>
        <w:gridCol w:w="1560"/>
        <w:gridCol w:w="195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Montant estimé annuel</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30% reversés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Licences pêche étrangères créées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 à 100 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 à 30 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Fonds ZEE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Câbles sous-marins, redevances de passage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 à 40 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 à 12 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Fonds ZEE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Budget opérationnel FAPF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 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 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Fonds ZEE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Recherche scientifique CNRS/IFREMER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Fonds ZEE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~69 à 90 M€/an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spacing w:after="60" w:before="60"/>
      </w:pPr>
      <w:r>
        <w:t xml:space="preserve"/>
      </w:r>
    </w:p>
    <w:p>
      <w:pPr>
        <w:spacing w:after="120" w:before="120"/>
      </w:pPr>
      <w:r>
        <w:rPr>
          <w:rFonts w:ascii="Arial" w:cs="Arial" w:eastAsia="Arial" w:hAnsi="Arial"/>
          <w:sz w:val="24"/>
          <w:szCs w:val="24"/>
        </w:rPr>
        <w:t>Ce fonds est pérenne et croissant, notamment si l'exploitation future des nodules polymétalliques au fond du Pacifique se développe. 30% de toute redevance d'exploration ou d'exploitation future des grands fonds polynésiens est automatiquement reversée au fonds.</w:t>
      </w:r>
    </w:p>
    <w:p>
      <w:pPr>
        <w:spacing w:after="120" w:before="120"/>
      </w:pPr>
      <w:r>
        <w:rPr>
          <w:rFonts w:ascii="Arial" w:cs="Arial" w:eastAsia="Arial" w:hAnsi="Arial"/>
          <w:i/>
          <w:iCs/>
          <w:sz w:val="24"/>
          <w:szCs w:val="24"/>
        </w:rPr>
        <w:t>« La Polynésie ne reçoit pas de charité, elle est rémunérée pour ce qu'elle apporte à la souveraineté française. »</w:t>
      </w:r>
    </w:p>
    <w:p>
      <w:pPr>
        <w:pStyle w:val="Heading2"/>
        <w:spacing w:after="120" w:before="240"/>
      </w:pPr>
      <w:r>
        <w:rPr>
          <w:rFonts w:ascii="Arial" w:cs="Arial" w:eastAsia="Arial" w:hAnsi="Arial"/>
          <w:b/>
          <w:bCs/>
          <w:sz w:val="28"/>
          <w:szCs w:val="28"/>
        </w:rPr>
        <w:t xml:space="preserve">Autonomie et vie chère</w:t>
      </w:r>
    </w:p>
    <w:p>
      <w:pPr>
        <w:pStyle w:val="ListParagraph"/>
        <w:numPr>
          <w:ilvl w:val="0"/>
          <w:numId w:val="2"/>
        </w:numPr>
        <w:spacing w:after="60" w:before="60"/>
      </w:pPr>
      <w:r>
        <w:rPr>
          <w:rFonts w:ascii="Arial" w:cs="Arial" w:eastAsia="Arial" w:hAnsi="Arial"/>
          <w:sz w:val="24"/>
          <w:szCs w:val="24"/>
        </w:rPr>
        <w:t>Autonomie administrative complète respectée, obligations républicaines maintenues tant que la Polynésie reste dans la République</w:t>
      </w:r>
    </w:p>
    <w:p>
      <w:pPr>
        <w:pStyle w:val="ListParagraph"/>
        <w:numPr>
          <w:ilvl w:val="0"/>
          <w:numId w:val="2"/>
        </w:numPr>
        <w:spacing w:after="60" w:before="60"/>
      </w:pPr>
      <w:r>
        <w:rPr>
          <w:rFonts w:ascii="Arial" w:cs="Arial" w:eastAsia="Arial" w:hAnsi="Arial"/>
          <w:sz w:val="24"/>
          <w:szCs w:val="24"/>
        </w:rPr>
        <w:t>Union douanière interne, réduction de 30% des coûts d'importation sur les produits essentiels métropolitains</w:t>
      </w:r>
    </w:p>
    <w:p>
      <w:pPr>
        <w:pStyle w:val="ListParagraph"/>
        <w:numPr>
          <w:ilvl w:val="0"/>
          <w:numId w:val="2"/>
        </w:numPr>
        <w:spacing w:after="60" w:before="60"/>
      </w:pPr>
      <w:r>
        <w:rPr>
          <w:rFonts w:ascii="Arial" w:cs="Arial" w:eastAsia="Arial" w:hAnsi="Arial"/>
          <w:sz w:val="24"/>
          <w:szCs w:val="24"/>
        </w:rPr>
        <w:t>Priorité aux produits locaux polynésiens sur le marché métropolitain, poissons du Pacifique, vanille, perles, produits artisanaux</w:t>
      </w:r>
    </w:p>
    <w:p>
      <w:pPr>
        <w:pStyle w:val="ListParagraph"/>
        <w:numPr>
          <w:ilvl w:val="0"/>
          <w:numId w:val="2"/>
        </w:numPr>
        <w:spacing w:after="60" w:before="60"/>
      </w:pPr>
      <w:r>
        <w:rPr>
          <w:rFonts w:ascii="Arial" w:cs="Arial" w:eastAsia="Arial" w:hAnsi="Arial"/>
          <w:sz w:val="24"/>
          <w:szCs w:val="24"/>
        </w:rPr>
        <w:t>Tarifs EDF 2009 appliqués, même bénéfice que le reste de la France</w:t>
      </w:r>
    </w:p>
    <w:p>
      <w:pPr>
        <w:spacing w:after="60" w:before="60"/>
      </w:pPr>
      <w:r>
        <w:t xml:space="preserve"/>
      </w:r>
    </w:p>
    <w:p>
      <w:pPr>
        <w:pStyle w:val="Heading1"/>
        <w:spacing w:after="180" w:before="360"/>
      </w:pPr>
      <w:r>
        <w:rPr>
          <w:rFonts w:ascii="Arial" w:cs="Arial" w:eastAsia="Arial" w:hAnsi="Arial"/>
          <w:b/>
          <w:bCs/>
          <w:sz w:val="32"/>
          <w:szCs w:val="32"/>
        </w:rPr>
        <w:t xml:space="preserve">8, Cohérence agricole, le système mutualisé LFP étendu aux DROM-COM</w:t>
      </w:r>
    </w:p>
    <w:p>
      <w:pPr>
        <w:pStyle w:val="Heading2"/>
        <w:spacing w:after="120" w:before="240"/>
      </w:pPr>
      <w:r>
        <w:rPr>
          <w:rFonts w:ascii="Arial" w:cs="Arial" w:eastAsia="Arial" w:hAnsi="Arial"/>
          <w:b/>
          <w:bCs/>
          <w:sz w:val="28"/>
          <w:szCs w:val="28"/>
        </w:rPr>
        <w:t xml:space="preserve">Principe</w:t>
      </w:r>
    </w:p>
    <w:p>
      <w:pPr>
        <w:spacing w:after="120" w:before="120"/>
      </w:pPr>
      <w:r>
        <w:rPr>
          <w:rFonts w:ascii="Arial" w:cs="Arial" w:eastAsia="Arial" w:hAnsi="Arial"/>
          <w:sz w:val="24"/>
          <w:szCs w:val="24"/>
        </w:rPr>
        <w:t xml:space="preserve">Le système mutualisé agricole posé dans le volet Économie ne concerne pas uniquement l'agriculture hexagonale. Les producteurs des DROM-COM bénéficient des mêmes dispositifs, adaptés aux réalités climatiques, géographiques et économiques de chaque territoire. L'agriculture ultramarine souffre des mêmes maux que l'agriculture hexagonale fragile : revenus insuffisants, dépendance aux marchés mondiaux, manque de protection structurelle, et concurrence déloyale des importations.</w:t>
      </w:r>
    </w:p>
    <w:p>
      <w:pPr>
        <w:pStyle w:val="Heading2"/>
        <w:spacing w:after="120" w:before="240"/>
      </w:pPr>
      <w:r>
        <w:rPr>
          <w:rFonts w:ascii="Arial" w:cs="Arial" w:eastAsia="Arial" w:hAnsi="Arial"/>
          <w:b/>
          <w:bCs/>
          <w:sz w:val="28"/>
          <w:szCs w:val="28"/>
        </w:rPr>
        <w:t xml:space="preserve">Extension du label carbone agricole aux DROM-COM</w:t>
      </w:r>
    </w:p>
    <w:p>
      <w:pPr>
        <w:spacing w:after="120" w:before="120"/>
      </w:pPr>
      <w:r>
        <w:rPr>
          <w:rFonts w:ascii="Arial" w:cs="Arial" w:eastAsia="Arial" w:hAnsi="Arial"/>
          <w:sz w:val="24"/>
          <w:szCs w:val="24"/>
        </w:rPr>
        <w:t xml:space="preserve">Le label carbone agricole défini dans le volet Économie, une unité de CO2 séquestrée par hectare de pâturage naturel et par tête de bétail en pâturage extensif, est pleinement applicable aux productions ultramarines. Les forêts tropicales, les pâturages naturels et les cultures sous couvert végétal des DROM-COM séquestrent davantage de carbone que leurs équivalents hexagonaux. Les producteurs ultramarins peuvent générer des crédits carbone en quantités supérieures à la moyenne nationale.</w:t>
      </w:r>
    </w:p>
    <w:p>
      <w:pPr>
        <w:pStyle w:val="ListParagraph"/>
        <w:numPr>
          <w:ilvl w:val="0"/>
          <w:numId w:val="2"/>
        </w:numPr>
        <w:spacing w:after="60" w:before="60"/>
      </w:pPr>
      <w:r>
        <w:rPr>
          <w:rFonts w:ascii="Arial" w:cs="Arial" w:eastAsia="Arial" w:hAnsi="Arial"/>
          <w:sz w:val="24"/>
          <w:szCs w:val="24"/>
        </w:rPr>
        <w:t xml:space="preserve">Éleveurs de Martinique, Guadeloupe et Réunion éligibles au label carbone pour leurs pâturages naturels</w:t>
      </w:r>
    </w:p>
    <w:p>
      <w:pPr>
        <w:pStyle w:val="ListParagraph"/>
        <w:numPr>
          <w:ilvl w:val="0"/>
          <w:numId w:val="2"/>
        </w:numPr>
        <w:spacing w:after="60" w:before="60"/>
      </w:pPr>
      <w:r>
        <w:rPr>
          <w:rFonts w:ascii="Arial" w:cs="Arial" w:eastAsia="Arial" w:hAnsi="Arial"/>
          <w:sz w:val="24"/>
          <w:szCs w:val="24"/>
        </w:rPr>
        <w:t xml:space="preserve">Producteurs guyanais éligibles pour les cultures sous couvert forestier et les pratiques agroforestières</w:t>
      </w:r>
    </w:p>
    <w:p>
      <w:pPr>
        <w:pStyle w:val="ListParagraph"/>
        <w:numPr>
          <w:ilvl w:val="0"/>
          <w:numId w:val="2"/>
        </w:numPr>
        <w:spacing w:after="60" w:before="60"/>
      </w:pPr>
      <w:r>
        <w:rPr>
          <w:rFonts w:ascii="Arial" w:cs="Arial" w:eastAsia="Arial" w:hAnsi="Arial"/>
          <w:sz w:val="24"/>
          <w:szCs w:val="24"/>
        </w:rPr>
        <w:t xml:space="preserve">Les crédits générés sont versés dans le fonds mutualisé DROM-COM, redistribués localement</w:t>
      </w:r>
    </w:p>
    <w:p>
      <w:pPr>
        <w:pStyle w:val="Heading2"/>
        <w:spacing w:after="120" w:before="240"/>
      </w:pPr>
      <w:r>
        <w:rPr>
          <w:rFonts w:ascii="Arial" w:cs="Arial" w:eastAsia="Arial" w:hAnsi="Arial"/>
          <w:b/>
          <w:bCs/>
          <w:sz w:val="28"/>
          <w:szCs w:val="28"/>
        </w:rPr>
        <w:t xml:space="preserve">Entrepôts mutualisés agricoles ultramarins</w:t>
      </w:r>
    </w:p>
    <w:p>
      <w:pPr>
        <w:spacing w:after="120" w:before="120"/>
      </w:pPr>
      <w:r>
        <w:rPr>
          <w:rFonts w:ascii="Arial" w:cs="Arial" w:eastAsia="Arial" w:hAnsi="Arial"/>
          <w:sz w:val="24"/>
          <w:szCs w:val="24"/>
        </w:rPr>
        <w:t xml:space="preserve">Chaque territoire DROM-COM disposera d'un entrepôt mutualisé agricole régional, sur le modèle des entrepôts hexagonaux, adapté aux productions locales. Ces entrepôts centralisent, valorisent et redistribuent la production locale avant tout recours à l'importation.</w:t>
      </w:r>
    </w:p>
    <w:p>
      <w:pPr>
        <w:pStyle w:val="ListParagraph"/>
        <w:numPr>
          <w:ilvl w:val="0"/>
          <w:numId w:val="2"/>
        </w:numPr>
        <w:spacing w:after="60" w:before="60"/>
      </w:pPr>
      <w:r>
        <w:rPr>
          <w:rFonts w:ascii="Arial" w:cs="Arial" w:eastAsia="Arial" w:hAnsi="Arial"/>
          <w:sz w:val="24"/>
          <w:szCs w:val="24"/>
        </w:rPr>
        <w:t xml:space="preserve">Martinique et Guadeloupe : banane, ananas, fruits tropicaux, maraîchage, rhum agricole</w:t>
      </w:r>
    </w:p>
    <w:p>
      <w:pPr>
        <w:pStyle w:val="ListParagraph"/>
        <w:numPr>
          <w:ilvl w:val="0"/>
          <w:numId w:val="2"/>
        </w:numPr>
        <w:spacing w:after="60" w:before="60"/>
      </w:pPr>
      <w:r>
        <w:rPr>
          <w:rFonts w:ascii="Arial" w:cs="Arial" w:eastAsia="Arial" w:hAnsi="Arial"/>
          <w:sz w:val="24"/>
          <w:szCs w:val="24"/>
        </w:rPr>
        <w:t xml:space="preserve">La Réunion : canne à sucre, vanille, géranium, maraîchage, productions diversifiées</w:t>
      </w:r>
    </w:p>
    <w:p>
      <w:pPr>
        <w:pStyle w:val="ListParagraph"/>
        <w:numPr>
          <w:ilvl w:val="0"/>
          <w:numId w:val="2"/>
        </w:numPr>
        <w:spacing w:after="60" w:before="60"/>
      </w:pPr>
      <w:r>
        <w:rPr>
          <w:rFonts w:ascii="Arial" w:cs="Arial" w:eastAsia="Arial" w:hAnsi="Arial"/>
          <w:sz w:val="24"/>
          <w:szCs w:val="24"/>
        </w:rPr>
        <w:t xml:space="preserve">Guyane : productions locales, fruits tropicaux, maraîchage, produits de la forêt encadrés</w:t>
      </w:r>
    </w:p>
    <w:p>
      <w:pPr>
        <w:pStyle w:val="ListParagraph"/>
        <w:numPr>
          <w:ilvl w:val="0"/>
          <w:numId w:val="2"/>
        </w:numPr>
        <w:spacing w:after="60" w:before="60"/>
      </w:pPr>
      <w:r>
        <w:rPr>
          <w:rFonts w:ascii="Arial" w:cs="Arial" w:eastAsia="Arial" w:hAnsi="Arial"/>
          <w:sz w:val="24"/>
          <w:szCs w:val="24"/>
        </w:rPr>
        <w:t xml:space="preserve">Mayotte : maraîchage, pêche locale, productions vivrières</w:t>
      </w:r>
    </w:p>
    <w:p>
      <w:pPr>
        <w:pStyle w:val="ListParagraph"/>
        <w:numPr>
          <w:ilvl w:val="0"/>
          <w:numId w:val="2"/>
        </w:numPr>
        <w:spacing w:after="60" w:before="60"/>
      </w:pPr>
      <w:r>
        <w:rPr>
          <w:rFonts w:ascii="Arial" w:cs="Arial" w:eastAsia="Arial" w:hAnsi="Arial"/>
          <w:sz w:val="24"/>
          <w:szCs w:val="24"/>
        </w:rPr>
        <w:t xml:space="preserve">Polynésie : vanille, coprah, fruits tropicaux, pêche de lagon</w:t>
      </w:r>
    </w:p>
    <w:p>
      <w:pPr>
        <w:pStyle w:val="ListParagraph"/>
        <w:numPr>
          <w:ilvl w:val="0"/>
          <w:numId w:val="2"/>
        </w:numPr>
        <w:spacing w:after="60" w:before="60"/>
      </w:pPr>
      <w:r>
        <w:rPr>
          <w:rFonts w:ascii="Arial" w:cs="Arial" w:eastAsia="Arial" w:hAnsi="Arial"/>
          <w:sz w:val="24"/>
          <w:szCs w:val="24"/>
        </w:rPr>
        <w:t xml:space="preserve">Nouvelle-Calédonie : café, maraîchage, cerfs de Nouvelle-Calédonie</w:t>
      </w:r>
    </w:p>
    <w:p>
      <w:pPr>
        <w:pStyle w:val="Heading2"/>
        <w:spacing w:after="120" w:before="240"/>
      </w:pPr>
      <w:r>
        <w:rPr>
          <w:rFonts w:ascii="Arial" w:cs="Arial" w:eastAsia="Arial" w:hAnsi="Arial"/>
          <w:b/>
          <w:bCs/>
          <w:sz w:val="28"/>
          <w:szCs w:val="28"/>
        </w:rPr>
        <w:t xml:space="preserve">Agriculture hydroponique et Plan Calcul 2.0 ultramarin</w:t>
      </w:r>
    </w:p>
    <w:p>
      <w:pPr>
        <w:spacing w:after="120" w:before="120"/>
      </w:pPr>
      <w:r>
        <w:rPr>
          <w:rFonts w:ascii="Arial" w:cs="Arial" w:eastAsia="Arial" w:hAnsi="Arial"/>
          <w:sz w:val="24"/>
          <w:szCs w:val="24"/>
        </w:rPr>
        <w:t xml:space="preserve">Le Plan Calcul 2.0 intègre explicitement le développement de l'agriculture hydroponique dans les DROM-COM. Les contraintes foncières, climatiques et logistiques des territoires ultramarins rendent l'hydroponique particulièrement adaptée : moins d'eau, moins d'espace, production toute l'année indépendamment des aléas climatiques.</w:t>
      </w:r>
    </w:p>
    <w:p>
      <w:pPr>
        <w:pStyle w:val="ListParagraph"/>
        <w:numPr>
          <w:ilvl w:val="0"/>
          <w:numId w:val="2"/>
        </w:numPr>
        <w:spacing w:after="60" w:before="60"/>
      </w:pPr>
      <w:r>
        <w:rPr>
          <w:rFonts w:ascii="Arial" w:cs="Arial" w:eastAsia="Arial" w:hAnsi="Arial"/>
          <w:sz w:val="24"/>
          <w:szCs w:val="24"/>
        </w:rPr>
        <w:t xml:space="preserve">Financement prioritaire des installations hydroponiques dans les DROM-COM via le FNDR</w:t>
      </w:r>
    </w:p>
    <w:p>
      <w:pPr>
        <w:pStyle w:val="ListParagraph"/>
        <w:numPr>
          <w:ilvl w:val="0"/>
          <w:numId w:val="2"/>
        </w:numPr>
        <w:spacing w:after="60" w:before="60"/>
      </w:pPr>
      <w:r>
        <w:rPr>
          <w:rFonts w:ascii="Arial" w:cs="Arial" w:eastAsia="Arial" w:hAnsi="Arial"/>
          <w:sz w:val="24"/>
          <w:szCs w:val="24"/>
        </w:rPr>
        <w:t xml:space="preserve">Formation des agriculteurs locaux aux techniques hydroponiques, en partenariat avec l'INRAE</w:t>
      </w:r>
    </w:p>
    <w:p>
      <w:pPr>
        <w:pStyle w:val="ListParagraph"/>
        <w:numPr>
          <w:ilvl w:val="0"/>
          <w:numId w:val="2"/>
        </w:numPr>
        <w:spacing w:after="60" w:before="60"/>
      </w:pPr>
      <w:r>
        <w:rPr>
          <w:rFonts w:ascii="Arial" w:cs="Arial" w:eastAsia="Arial" w:hAnsi="Arial"/>
          <w:sz w:val="24"/>
          <w:szCs w:val="24"/>
        </w:rPr>
        <w:t xml:space="preserve">La production hydroponique locale réduit la dépendance aux importations et l'octroi de mer</w:t>
      </w:r>
    </w:p>
    <w:p>
      <w:pPr>
        <w:pStyle w:val="ListParagraph"/>
        <w:numPr>
          <w:ilvl w:val="0"/>
          <w:numId w:val="2"/>
        </w:numPr>
        <w:spacing w:after="60" w:before="60"/>
      </w:pPr>
      <w:r>
        <w:rPr>
          <w:rFonts w:ascii="Arial" w:cs="Arial" w:eastAsia="Arial" w:hAnsi="Arial"/>
          <w:sz w:val="24"/>
          <w:szCs w:val="24"/>
        </w:rPr>
        <w:t xml:space="preserve">Priorité donnée aux cultures vivrières, tomates, salades, herbes aromatiques, qui représentent une part importante des importations coûteuses</w:t>
      </w:r>
    </w:p>
    <w:p>
      <w:pPr>
        <w:pStyle w:val="Heading2"/>
        <w:spacing w:after="120" w:before="240"/>
      </w:pPr>
      <w:r>
        <w:rPr>
          <w:rFonts w:ascii="Arial" w:cs="Arial" w:eastAsia="Arial" w:hAnsi="Arial"/>
          <w:b/>
          <w:bCs/>
          <w:sz w:val="28"/>
          <w:szCs w:val="28"/>
        </w:rPr>
        <w:t xml:space="preserve">Réciprocité des normes à l'importation, applicable aux DROM-COM</w:t>
      </w:r>
    </w:p>
    <w:p>
      <w:pPr>
        <w:spacing w:after="120" w:before="120"/>
      </w:pPr>
      <w:r>
        <w:rPr>
          <w:rFonts w:ascii="Arial" w:cs="Arial" w:eastAsia="Arial" w:hAnsi="Arial"/>
          <w:sz w:val="24"/>
          <w:szCs w:val="24"/>
        </w:rPr>
        <w:t xml:space="preserve">Le principe posé dans le volet Économie, on n'importe pas ce qu'on n'a pas le droit de produire chez soi, s'applique pleinement aux DROM-COM. Les produits agricoles importés dans les territoires ultramarins, notamment depuis les pays voisins, doivent respecter les mêmes normes sanitaires et environnementales que celles imposées aux producteurs locaux. Cette réciprocité protège les producteurs ultramarins de la concurrence déloyale des pays limitrophes.</w:t>
      </w:r>
    </w:p>
    <w:p>
      <w:pPr>
        <w:spacing w:after="120" w:before="120"/>
      </w:pPr>
      <w:r>
        <w:rPr>
          <w:rFonts w:ascii="Arial" w:cs="Arial" w:eastAsia="Arial" w:hAnsi="Arial"/>
          <w:i/>
          <w:iCs/>
          <w:sz w:val="24"/>
          <w:szCs w:val="24"/>
        </w:rPr>
        <w:t xml:space="preserve">"Un producteur de Martinique qui respecte les normes européennes ne peut pas être concurrencé par un importateur qui ne les respecte pas. La réciprocité des normes n'est pas du protectionnisme, c'est de la justice commerciale."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090"/>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2026-06-07T05:48:26.362Z</dcterms:created>
  <dcterms:modified xsi:type="dcterms:W3CDTF">2026-06-07T05:48:26.375Z</dcterms:modified>
</cp:coreProperties>
</file>

<file path=docProps/custom.xml><?xml version="1.0" encoding="utf-8"?>
<Properties xmlns="http://schemas.openxmlformats.org/officeDocument/2006/custom-properties" xmlns:vt="http://schemas.openxmlformats.org/officeDocument/2006/docPropsVTypes"/>
</file>