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36"/>
          <w:szCs w:val="36"/>
        </w:rPr>
        <w:t xml:space="preserve">THÉMATIQUE, INSTITUTIONS ET RÉFORME DÉMOCRATIQUE</w:t>
      </w:r>
    </w:p>
    <w:p>
      <w:pPr>
        <w:pStyle w:val="Heading2"/>
        <w:spacing w:after="120" w:before="240"/>
      </w:pPr>
      <w:r>
        <w:rPr>
          <w:rFonts w:ascii="Arial" w:cs="Arial" w:eastAsia="Arial" w:hAnsi="Arial"/>
          <w:b/>
          <w:bCs/>
          <w:sz w:val="28"/>
          <w:szCs w:val="28"/>
        </w:rPr>
        <w:t xml:space="preserve">Constat général</w:t>
      </w:r>
    </w:p>
    <w:p>
      <w:pPr>
        <w:spacing w:after="120" w:before="120"/>
      </w:pPr>
      <w:r>
        <w:rPr>
          <w:rFonts w:ascii="Arial" w:cs="Arial" w:eastAsia="Arial" w:hAnsi="Arial"/>
          <w:sz w:val="24"/>
          <w:szCs w:val="24"/>
        </w:rPr>
        <w:t xml:space="preserve">Érosion démocratique à trois niveaux, comportement des élus qui confisquent progressivement le pouvoir, déconnexion entre les institutions et les citoyens, et instrumentalisation des procédures démocratiques au service des majorités en place.</w:t>
      </w:r>
    </w:p>
    <w:p>
      <w:pPr>
        <w:spacing w:after="120" w:before="120"/>
      </w:pPr>
      <w:r>
        <w:rPr>
          <w:rFonts w:ascii="Arial" w:cs="Arial" w:eastAsia="Arial" w:hAnsi="Arial"/>
          <w:i/>
          <w:iCs/>
          <w:sz w:val="24"/>
          <w:szCs w:val="24"/>
        </w:rPr>
        <w:t xml:space="preserve">"Un élu se juge sur ce qu'il fait, pas sur ce qu'il montre."</w:t>
      </w:r>
    </w:p>
    <w:p>
      <w:pPr>
        <w:pStyle w:val="Heading1"/>
        <w:spacing w:after="180" w:before="360"/>
      </w:pPr>
      <w:r>
        <w:rPr>
          <w:rFonts w:ascii="Arial" w:cs="Arial" w:eastAsia="Arial" w:hAnsi="Arial"/>
          <w:b/>
          <w:bCs/>
          <w:sz w:val="32"/>
          <w:szCs w:val="32"/>
        </w:rPr>
        <w:t xml:space="preserve">1, Responsabilité du président</w:t>
      </w:r>
    </w:p>
    <w:p>
      <w:pPr>
        <w:pStyle w:val="ListParagraph"/>
        <w:numPr>
          <w:ilvl w:val="0"/>
          <w:numId w:val="2"/>
        </w:numPr>
        <w:spacing w:after="60" w:before="60"/>
      </w:pPr>
      <w:r>
        <w:rPr>
          <w:rFonts w:ascii="Arial" w:cs="Arial" w:eastAsia="Arial" w:hAnsi="Arial"/>
          <w:sz w:val="24"/>
          <w:szCs w:val="24"/>
        </w:rPr>
        <w:t xml:space="preserve">Rétablissement de la responsabilité pénale du président de la République</w:t>
      </w:r>
    </w:p>
    <w:p>
      <w:pPr>
        <w:pStyle w:val="ListParagraph"/>
        <w:numPr>
          <w:ilvl w:val="0"/>
          <w:numId w:val="2"/>
        </w:numPr>
        <w:spacing w:after="60" w:before="60"/>
      </w:pPr>
      <w:r>
        <w:rPr>
          <w:rFonts w:ascii="Arial" w:cs="Arial" w:eastAsia="Arial" w:hAnsi="Arial"/>
          <w:sz w:val="24"/>
          <w:szCs w:val="24"/>
        </w:rPr>
        <w:t xml:space="preserve">Réécriture de l'article 68, procédure de destitution accessible et réellement applicable</w:t>
      </w:r>
    </w:p>
    <w:p>
      <w:pPr>
        <w:pStyle w:val="ListParagraph"/>
        <w:numPr>
          <w:ilvl w:val="0"/>
          <w:numId w:val="2"/>
        </w:numPr>
        <w:spacing w:after="60" w:before="60"/>
      </w:pPr>
      <w:r>
        <w:rPr>
          <w:rFonts w:ascii="Arial" w:cs="Arial" w:eastAsia="Arial" w:hAnsi="Arial"/>
          <w:sz w:val="24"/>
          <w:szCs w:val="24"/>
        </w:rPr>
        <w:t xml:space="preserve">Le président doit être le premier serviteur de la République, pas au-dessus d'elle</w:t>
      </w:r>
    </w:p>
    <w:p>
      <w:pPr>
        <w:pStyle w:val="Heading1"/>
        <w:spacing w:after="180" w:before="360"/>
      </w:pPr>
      <w:r>
        <w:rPr>
          <w:rFonts w:ascii="Arial" w:cs="Arial" w:eastAsia="Arial" w:hAnsi="Arial"/>
          <w:b/>
          <w:bCs/>
          <w:sz w:val="32"/>
          <w:szCs w:val="32"/>
        </w:rPr>
        <w:t xml:space="preserve">2, Réforme du référendum</w:t>
      </w:r>
    </w:p>
    <w:p>
      <w:pPr>
        <w:pStyle w:val="Heading2"/>
        <w:spacing w:after="120" w:before="240"/>
      </w:pPr>
      <w:r>
        <w:rPr>
          <w:rFonts w:ascii="Arial" w:cs="Arial" w:eastAsia="Arial" w:hAnsi="Arial"/>
          <w:b/>
          <w:bCs/>
          <w:sz w:val="28"/>
          <w:szCs w:val="28"/>
        </w:rPr>
        <w:t xml:space="preserve">Article 11 recadré</w:t>
      </w:r>
    </w:p>
    <w:p>
      <w:pPr>
        <w:pStyle w:val="ListParagraph"/>
        <w:numPr>
          <w:ilvl w:val="0"/>
          <w:numId w:val="2"/>
        </w:numPr>
        <w:spacing w:after="60" w:before="60"/>
      </w:pPr>
      <w:r>
        <w:rPr>
          <w:rFonts w:ascii="Arial" w:cs="Arial" w:eastAsia="Arial" w:hAnsi="Arial"/>
          <w:sz w:val="24"/>
          <w:szCs w:val="24"/>
        </w:rPr>
        <w:t xml:space="preserve">Mention explicite que le président ne peut pas réfuter ou contourner le résultat</w:t>
      </w:r>
    </w:p>
    <w:p>
      <w:pPr>
        <w:pStyle w:val="ListParagraph"/>
        <w:numPr>
          <w:ilvl w:val="0"/>
          <w:numId w:val="2"/>
        </w:numPr>
        <w:spacing w:after="60" w:before="60"/>
      </w:pPr>
      <w:r>
        <w:rPr>
          <w:rFonts w:ascii="Arial" w:cs="Arial" w:eastAsia="Arial" w:hAnsi="Arial"/>
          <w:sz w:val="24"/>
          <w:szCs w:val="24"/>
        </w:rPr>
        <w:t xml:space="preserve">Réponse directe au déni démocratique de 2005, le Non au TCE balayé par le Traité de Lisbonne en 2007</w:t>
      </w:r>
    </w:p>
    <w:p>
      <w:pPr>
        <w:pStyle w:val="Heading2"/>
        <w:spacing w:after="120" w:before="240"/>
      </w:pPr>
      <w:r>
        <w:rPr>
          <w:rFonts w:ascii="Arial" w:cs="Arial" w:eastAsia="Arial" w:hAnsi="Arial"/>
          <w:b/>
          <w:bCs/>
          <w:sz w:val="28"/>
          <w:szCs w:val="28"/>
        </w:rPr>
        <w:t xml:space="preserve">Référendum d'Initiative Citoyenne, RIC</w:t>
      </w:r>
    </w:p>
    <w:p>
      <w:pPr>
        <w:spacing w:after="120" w:before="120"/>
      </w:pPr>
      <w:r>
        <w:rPr>
          <w:rFonts w:ascii="Arial" w:cs="Arial" w:eastAsia="Arial" w:hAnsi="Arial"/>
          <w:sz w:val="24"/>
          <w:szCs w:val="24"/>
        </w:rPr>
        <w:t xml:space="preserve">Paramètres :</w:t>
      </w:r>
    </w:p>
    <w:p>
      <w:pPr>
        <w:pStyle w:val="ListParagraph"/>
        <w:numPr>
          <w:ilvl w:val="0"/>
          <w:numId w:val="2"/>
        </w:numPr>
        <w:spacing w:after="60" w:before="60"/>
      </w:pPr>
      <w:r>
        <w:rPr>
          <w:rFonts w:ascii="Arial" w:cs="Arial" w:eastAsia="Arial" w:hAnsi="Arial"/>
          <w:sz w:val="24"/>
          <w:szCs w:val="24"/>
        </w:rPr>
        <w:t xml:space="preserve">700 000 signatures pour déclencher un RIC</w:t>
      </w:r>
    </w:p>
    <w:p>
      <w:pPr>
        <w:pStyle w:val="ListParagraph"/>
        <w:numPr>
          <w:ilvl w:val="0"/>
          <w:numId w:val="2"/>
        </w:numPr>
        <w:spacing w:after="60" w:before="60"/>
      </w:pPr>
      <w:r>
        <w:rPr>
          <w:rFonts w:ascii="Arial" w:cs="Arial" w:eastAsia="Arial" w:hAnsi="Arial"/>
          <w:sz w:val="24"/>
          <w:szCs w:val="24"/>
        </w:rPr>
        <w:t xml:space="preserve">Quorum de 35% de participation pour valider le résultat</w:t>
      </w:r>
    </w:p>
    <w:p>
      <w:pPr>
        <w:pStyle w:val="ListParagraph"/>
        <w:numPr>
          <w:ilvl w:val="0"/>
          <w:numId w:val="2"/>
        </w:numPr>
        <w:spacing w:after="60" w:before="60"/>
      </w:pPr>
      <w:r>
        <w:rPr>
          <w:rFonts w:ascii="Arial" w:cs="Arial" w:eastAsia="Arial" w:hAnsi="Arial"/>
          <w:sz w:val="24"/>
          <w:szCs w:val="24"/>
        </w:rPr>
        <w:t xml:space="preserve">Domaines autorisés : environnement, économie, social</w:t>
      </w:r>
    </w:p>
    <w:p>
      <w:pPr>
        <w:pStyle w:val="ListParagraph"/>
        <w:numPr>
          <w:ilvl w:val="0"/>
          <w:numId w:val="2"/>
        </w:numPr>
        <w:spacing w:after="60" w:before="60"/>
      </w:pPr>
      <w:r>
        <w:rPr>
          <w:rFonts w:ascii="Arial" w:cs="Arial" w:eastAsia="Arial" w:hAnsi="Arial"/>
          <w:sz w:val="24"/>
          <w:szCs w:val="24"/>
        </w:rPr>
        <w:t xml:space="preserve">Résultat obligatoirement appliqué</w:t>
      </w:r>
    </w:p>
    <w:p>
      <w:pPr>
        <w:spacing w:after="60" w:before="60"/>
      </w:pPr>
      <w:r>
        <w:t xml:space="preserve"/>
      </w:r>
    </w:p>
    <w:p>
      <w:pPr>
        <w:pStyle w:val="Heading2"/>
        <w:spacing w:after="120" w:before="240"/>
      </w:pPr>
      <w:r>
        <w:rPr>
          <w:rFonts w:ascii="Arial" w:cs="Arial" w:eastAsia="Arial" w:hAnsi="Arial"/>
          <w:b/>
          <w:bCs/>
          <w:sz w:val="28"/>
          <w:szCs w:val="28"/>
        </w:rPr>
        <w:t xml:space="preserve">Garde-fous, aucune loi issue du RIC ne peut</w:t>
      </w:r>
    </w:p>
    <w:p>
      <w:pPr>
        <w:pStyle w:val="ListParagraph"/>
        <w:numPr>
          <w:ilvl w:val="0"/>
          <w:numId w:val="2"/>
        </w:numPr>
        <w:spacing w:after="60" w:before="60"/>
      </w:pPr>
      <w:r>
        <w:rPr>
          <w:rFonts w:ascii="Arial" w:cs="Arial" w:eastAsia="Arial" w:hAnsi="Arial"/>
          <w:sz w:val="24"/>
          <w:szCs w:val="24"/>
        </w:rPr>
        <w:t xml:space="preserve">Porter atteinte à autrui</w:t>
      </w:r>
    </w:p>
    <w:p>
      <w:pPr>
        <w:pStyle w:val="ListParagraph"/>
        <w:numPr>
          <w:ilvl w:val="0"/>
          <w:numId w:val="2"/>
        </w:numPr>
        <w:spacing w:after="60" w:before="60"/>
      </w:pPr>
      <w:r>
        <w:rPr>
          <w:rFonts w:ascii="Arial" w:cs="Arial" w:eastAsia="Arial" w:hAnsi="Arial"/>
          <w:sz w:val="24"/>
          <w:szCs w:val="24"/>
        </w:rPr>
        <w:t xml:space="preserve">Rétablir la peine de mort</w:t>
      </w:r>
    </w:p>
    <w:p>
      <w:pPr>
        <w:pStyle w:val="ListParagraph"/>
        <w:numPr>
          <w:ilvl w:val="0"/>
          <w:numId w:val="2"/>
        </w:numPr>
        <w:spacing w:after="60" w:before="60"/>
      </w:pPr>
      <w:r>
        <w:rPr>
          <w:rFonts w:ascii="Arial" w:cs="Arial" w:eastAsia="Arial" w:hAnsi="Arial"/>
          <w:sz w:val="24"/>
          <w:szCs w:val="24"/>
        </w:rPr>
        <w:t xml:space="preserve">Autoriser des purges</w:t>
      </w:r>
    </w:p>
    <w:p>
      <w:pPr>
        <w:pStyle w:val="ListParagraph"/>
        <w:numPr>
          <w:ilvl w:val="0"/>
          <w:numId w:val="2"/>
        </w:numPr>
        <w:spacing w:after="60" w:before="60"/>
      </w:pPr>
      <w:r>
        <w:rPr>
          <w:rFonts w:ascii="Arial" w:cs="Arial" w:eastAsia="Arial" w:hAnsi="Arial"/>
          <w:sz w:val="24"/>
          <w:szCs w:val="24"/>
        </w:rPr>
        <w:t xml:space="preserve">Retirer des droits à des Français y compris sur les titres de séjour</w:t>
      </w:r>
    </w:p>
    <w:p>
      <w:pPr>
        <w:pStyle w:val="ListParagraph"/>
        <w:numPr>
          <w:ilvl w:val="0"/>
          <w:numId w:val="2"/>
        </w:numPr>
        <w:spacing w:after="60" w:before="60"/>
      </w:pPr>
      <w:r>
        <w:rPr>
          <w:rFonts w:ascii="Arial" w:cs="Arial" w:eastAsia="Arial" w:hAnsi="Arial"/>
          <w:sz w:val="24"/>
          <w:szCs w:val="24"/>
        </w:rPr>
        <w:t xml:space="preserve">Porter atteinte aux PFRLR, Principes Fondamentaux Reconnus par les Lois de la République</w:t>
      </w:r>
    </w:p>
    <w:p>
      <w:pPr>
        <w:pStyle w:val="ListParagraph"/>
        <w:numPr>
          <w:ilvl w:val="0"/>
          <w:numId w:val="2"/>
        </w:numPr>
        <w:spacing w:after="60" w:before="60"/>
      </w:pPr>
      <w:r>
        <w:rPr>
          <w:rFonts w:ascii="Arial" w:cs="Arial" w:eastAsia="Arial" w:hAnsi="Arial"/>
          <w:sz w:val="24"/>
          <w:szCs w:val="24"/>
        </w:rPr>
        <w:t xml:space="preserve">Porter atteinte aux PGD, Principes Généraux du Droit</w:t>
      </w:r>
    </w:p>
    <w:p>
      <w:pPr>
        <w:pStyle w:val="ListParagraph"/>
        <w:numPr>
          <w:ilvl w:val="0"/>
          <w:numId w:val="2"/>
        </w:numPr>
        <w:spacing w:after="60" w:before="60"/>
      </w:pPr>
      <w:r>
        <w:rPr>
          <w:rFonts w:ascii="Arial" w:cs="Arial" w:eastAsia="Arial" w:hAnsi="Arial"/>
          <w:sz w:val="24"/>
          <w:szCs w:val="24"/>
        </w:rPr>
        <w:t xml:space="preserve">Contredire la Constitution</w:t>
      </w:r>
    </w:p>
    <w:p>
      <w:pPr>
        <w:spacing w:after="60" w:before="60"/>
      </w:pPr>
      <w:r>
        <w:t xml:space="preserve"/>
      </w:r>
    </w:p>
    <w:p>
      <w:pPr>
        <w:pStyle w:val="Heading2"/>
        <w:spacing w:after="120" w:before="240"/>
      </w:pPr>
      <w:r>
        <w:rPr>
          <w:rFonts w:ascii="Arial" w:cs="Arial" w:eastAsia="Arial" w:hAnsi="Arial"/>
          <w:b/>
          <w:bCs/>
          <w:sz w:val="28"/>
          <w:szCs w:val="28"/>
        </w:rPr>
        <w:t xml:space="preserve">Contrôle de conformité</w:t>
      </w:r>
    </w:p>
    <w:p>
      <w:pPr>
        <w:pStyle w:val="ListParagraph"/>
        <w:numPr>
          <w:ilvl w:val="0"/>
          <w:numId w:val="2"/>
        </w:numPr>
        <w:spacing w:after="60" w:before="60"/>
      </w:pPr>
      <w:r>
        <w:rPr>
          <w:rFonts w:ascii="Arial" w:cs="Arial" w:eastAsia="Arial" w:hAnsi="Arial"/>
          <w:sz w:val="24"/>
          <w:szCs w:val="24"/>
        </w:rPr>
        <w:t xml:space="preserve">Conseil Constitutionnel, conformité constitutionnelle</w:t>
      </w:r>
    </w:p>
    <w:p>
      <w:pPr>
        <w:pStyle w:val="ListParagraph"/>
        <w:numPr>
          <w:ilvl w:val="0"/>
          <w:numId w:val="2"/>
        </w:numPr>
        <w:spacing w:after="60" w:before="60"/>
      </w:pPr>
      <w:r>
        <w:rPr>
          <w:rFonts w:ascii="Arial" w:cs="Arial" w:eastAsia="Arial" w:hAnsi="Arial"/>
          <w:sz w:val="24"/>
          <w:szCs w:val="24"/>
        </w:rPr>
        <w:t xml:space="preserve">Conseil d'État, légalité administrative</w:t>
      </w:r>
    </w:p>
    <w:p>
      <w:pPr>
        <w:pStyle w:val="Heading2"/>
        <w:spacing w:after="120" w:before="240"/>
      </w:pPr>
      <w:r>
        <w:rPr>
          <w:rFonts w:ascii="Arial" w:cs="Arial" w:eastAsia="Arial" w:hAnsi="Arial"/>
          <w:b/>
          <w:bCs/>
          <w:sz w:val="28"/>
          <w:szCs w:val="28"/>
        </w:rPr>
        <w:t xml:space="preserve">RIC abrogatoire</w:t>
      </w:r>
    </w:p>
    <w:p>
      <w:pPr>
        <w:pStyle w:val="ListParagraph"/>
        <w:numPr>
          <w:ilvl w:val="0"/>
          <w:numId w:val="2"/>
        </w:numPr>
        <w:spacing w:after="60" w:before="60"/>
      </w:pPr>
      <w:r>
        <w:rPr>
          <w:rFonts w:ascii="Arial" w:cs="Arial" w:eastAsia="Arial" w:hAnsi="Arial"/>
          <w:sz w:val="24"/>
          <w:szCs w:val="24"/>
        </w:rPr>
        <w:t xml:space="preserve">Autorisé si l'abrogation va dans le sens des libertés et de l'équité</w:t>
      </w:r>
    </w:p>
    <w:p>
      <w:pPr>
        <w:pStyle w:val="ListParagraph"/>
        <w:numPr>
          <w:ilvl w:val="0"/>
          <w:numId w:val="2"/>
        </w:numPr>
        <w:spacing w:after="60" w:before="60"/>
      </w:pPr>
      <w:r>
        <w:rPr>
          <w:rFonts w:ascii="Arial" w:cs="Arial" w:eastAsia="Arial" w:hAnsi="Arial"/>
          <w:sz w:val="24"/>
          <w:szCs w:val="24"/>
        </w:rPr>
        <w:t xml:space="preserve">Autorisé pour abroger des textes symboliquement infamants, exemple le Code Noir</w:t>
      </w:r>
    </w:p>
    <w:p>
      <w:pPr>
        <w:pStyle w:val="ListParagraph"/>
        <w:numPr>
          <w:ilvl w:val="0"/>
          <w:numId w:val="2"/>
        </w:numPr>
        <w:spacing w:after="60" w:before="60"/>
      </w:pPr>
      <w:r>
        <w:rPr>
          <w:rFonts w:ascii="Arial" w:cs="Arial" w:eastAsia="Arial" w:hAnsi="Arial"/>
          <w:sz w:val="24"/>
          <w:szCs w:val="24"/>
        </w:rPr>
        <w:t xml:space="preserve">Interdit si l'abrogation contredit un garde-fou ou retire des droits</w:t>
      </w:r>
    </w:p>
    <w:p>
      <w:pPr>
        <w:pStyle w:val="Heading1"/>
        <w:spacing w:after="180" w:before="360"/>
      </w:pPr>
      <w:r>
        <w:rPr>
          <w:rFonts w:ascii="Arial" w:cs="Arial" w:eastAsia="Arial" w:hAnsi="Arial"/>
          <w:b/>
          <w:bCs/>
          <w:sz w:val="32"/>
          <w:szCs w:val="32"/>
        </w:rPr>
        <w:t xml:space="preserve">3, Participation citoyenne</w:t>
      </w:r>
    </w:p>
    <w:p>
      <w:pPr>
        <w:pStyle w:val="ListParagraph"/>
        <w:numPr>
          <w:ilvl w:val="0"/>
          <w:numId w:val="2"/>
        </w:numPr>
        <w:spacing w:after="60" w:before="60"/>
      </w:pPr>
      <w:r>
        <w:rPr>
          <w:rFonts w:ascii="Arial" w:cs="Arial" w:eastAsia="Arial" w:hAnsi="Arial"/>
          <w:sz w:val="24"/>
          <w:szCs w:val="24"/>
        </w:rPr>
        <w:t xml:space="preserve">Toute commune possédant des instances consultatives doit les maintenir</w:t>
      </w:r>
    </w:p>
    <w:p>
      <w:pPr>
        <w:pStyle w:val="ListParagraph"/>
        <w:numPr>
          <w:ilvl w:val="0"/>
          <w:numId w:val="2"/>
        </w:numPr>
        <w:spacing w:after="60" w:before="60"/>
      </w:pPr>
      <w:r>
        <w:rPr>
          <w:rFonts w:ascii="Arial" w:cs="Arial" w:eastAsia="Arial" w:hAnsi="Arial"/>
          <w:sz w:val="24"/>
          <w:szCs w:val="24"/>
        </w:rPr>
        <w:t xml:space="preserve">Transformation obligatoire du consultatif en impératif, les décisions des conseils citoyens doivent être suivies d'effet ou motivées par écrit</w:t>
      </w:r>
    </w:p>
    <w:p>
      <w:pPr>
        <w:pStyle w:val="ListParagraph"/>
        <w:numPr>
          <w:ilvl w:val="0"/>
          <w:numId w:val="2"/>
        </w:numPr>
        <w:spacing w:after="60" w:before="60"/>
      </w:pPr>
      <w:r>
        <w:rPr>
          <w:rFonts w:ascii="Arial" w:cs="Arial" w:eastAsia="Arial" w:hAnsi="Arial"/>
          <w:sz w:val="24"/>
          <w:szCs w:val="24"/>
        </w:rPr>
        <w:t xml:space="preserve">Fin de l'instrumentalisation de la participation citoyenne comme vitrine démocratique sans effet réel</w:t>
      </w:r>
    </w:p>
    <w:p>
      <w:pPr>
        <w:pStyle w:val="Heading1"/>
        <w:spacing w:after="180" w:before="360"/>
      </w:pPr>
      <w:r>
        <w:rPr>
          <w:rFonts w:ascii="Arial" w:cs="Arial" w:eastAsia="Arial" w:hAnsi="Arial"/>
          <w:b/>
          <w:bCs/>
          <w:sz w:val="32"/>
          <w:szCs w:val="32"/>
        </w:rPr>
        <w:t xml:space="preserve">4, Réforme du système électoral</w:t>
      </w:r>
    </w:p>
    <w:p>
      <w:pPr>
        <w:pStyle w:val="Heading2"/>
        <w:spacing w:after="120" w:before="240"/>
      </w:pPr>
      <w:r>
        <w:rPr>
          <w:rFonts w:ascii="Arial" w:cs="Arial" w:eastAsia="Arial" w:hAnsi="Arial"/>
          <w:b/>
          <w:bCs/>
          <w:sz w:val="28"/>
          <w:szCs w:val="28"/>
        </w:rPr>
        <w:t xml:space="preserve">Assemblée Nationale</w:t>
      </w:r>
    </w:p>
    <w:p>
      <w:pPr>
        <w:pStyle w:val="ListParagraph"/>
        <w:numPr>
          <w:ilvl w:val="0"/>
          <w:numId w:val="2"/>
        </w:numPr>
        <w:spacing w:after="60" w:before="60"/>
      </w:pPr>
      <w:r>
        <w:rPr>
          <w:rFonts w:ascii="Arial" w:cs="Arial" w:eastAsia="Arial" w:hAnsi="Arial"/>
          <w:sz w:val="24"/>
          <w:szCs w:val="24"/>
        </w:rPr>
        <w:t xml:space="preserve">Adoption du scrutin mixte sur le modèle allemand et japonais</w:t>
      </w:r>
    </w:p>
    <w:p>
      <w:pPr>
        <w:pStyle w:val="ListParagraph"/>
        <w:numPr>
          <w:ilvl w:val="0"/>
          <w:numId w:val="2"/>
        </w:numPr>
        <w:spacing w:after="60" w:before="60"/>
      </w:pPr>
      <w:r>
        <w:rPr>
          <w:rFonts w:ascii="Arial" w:cs="Arial" w:eastAsia="Arial" w:hAnsi="Arial"/>
          <w:sz w:val="24"/>
          <w:szCs w:val="24"/>
        </w:rPr>
        <w:t xml:space="preserve">Moitié des députés élus en circonscription au scrutin uninominal</w:t>
      </w:r>
    </w:p>
    <w:p>
      <w:pPr>
        <w:pStyle w:val="ListParagraph"/>
        <w:numPr>
          <w:ilvl w:val="0"/>
          <w:numId w:val="2"/>
        </w:numPr>
        <w:spacing w:after="60" w:before="60"/>
      </w:pPr>
      <w:r>
        <w:rPr>
          <w:rFonts w:ascii="Arial" w:cs="Arial" w:eastAsia="Arial" w:hAnsi="Arial"/>
          <w:sz w:val="24"/>
          <w:szCs w:val="24"/>
        </w:rPr>
        <w:t xml:space="preserve">Moitié élus à la proportionnelle sur liste nationale</w:t>
      </w:r>
    </w:p>
    <w:p>
      <w:pPr>
        <w:pStyle w:val="ListParagraph"/>
        <w:numPr>
          <w:ilvl w:val="0"/>
          <w:numId w:val="2"/>
        </w:numPr>
        <w:spacing w:after="60" w:before="60"/>
      </w:pPr>
      <w:r>
        <w:rPr>
          <w:rFonts w:ascii="Arial" w:cs="Arial" w:eastAsia="Arial" w:hAnsi="Arial"/>
          <w:sz w:val="24"/>
          <w:szCs w:val="24"/>
        </w:rPr>
        <w:t xml:space="preserve">Garantit ancrage local ET représentativité des petits partis</w:t>
      </w:r>
    </w:p>
    <w:p>
      <w:pPr>
        <w:pStyle w:val="Heading2"/>
        <w:spacing w:after="120" w:before="240"/>
      </w:pPr>
      <w:r>
        <w:rPr>
          <w:rFonts w:ascii="Arial" w:cs="Arial" w:eastAsia="Arial" w:hAnsi="Arial"/>
          <w:b/>
          <w:bCs/>
          <w:sz w:val="28"/>
          <w:szCs w:val="28"/>
        </w:rPr>
        <w:t xml:space="preserve">Du Sénat à la Tribune des comptes pour la société et la République</w:t>
      </w:r>
    </w:p>
    <w:p>
      <w:pPr>
        <w:spacing w:after="120" w:before="120"/>
      </w:pPr>
      <w:r>
        <w:rPr>
          <w:rFonts w:ascii="Arial" w:cs="Arial" w:eastAsia="Arial" w:hAnsi="Arial"/>
          <w:sz w:val="24"/>
          <w:szCs w:val="24"/>
        </w:rPr>
        <w:t xml:space="preserve">L'ancien Sénat élu au scrutin indirect par les grands électeurs disparaît dans sa forme actuelle. Il est transformé en un organe de contrôle civique entièrement nouveau, la Tribune des comptes pour la société et la République, dont la composition, les missions et les moyens sont détaillés dans la section suivante. Les représentants civils et associatifs qui la composent sont élus au suffrage universel direct, au scrutin uninominal majoritaire à deux tours. La limite d'âge à 59 ans s'applique à tous les candidats.</w:t>
      </w:r>
    </w:p>
    <w:p>
      <w:pPr>
        <w:pStyle w:val="Heading2"/>
        <w:spacing w:after="120" w:before="240"/>
      </w:pPr>
      <w:r>
        <w:rPr>
          <w:rFonts w:ascii="Arial" w:cs="Arial" w:eastAsia="Arial" w:hAnsi="Arial"/>
          <w:b/>
          <w:bCs/>
          <w:sz w:val="28"/>
          <w:szCs w:val="28"/>
        </w:rPr>
        <w:t xml:space="preserve">Limite d'âge, renouvellement générationnel</w:t>
      </w:r>
    </w:p>
    <w:p>
      <w:pPr>
        <w:spacing w:after="120" w:before="120"/>
      </w:pPr>
      <w:r>
        <w:rPr>
          <w:rFonts w:ascii="Arial" w:cs="Arial" w:eastAsia="Arial" w:hAnsi="Arial"/>
          <w:sz w:val="24"/>
          <w:szCs w:val="24"/>
        </w:rPr>
        <w:t xml:space="preserve">Toute candidature à une élection, présidentielle, législative, régionale, municipale, est soumise à une limite d'âge de 59 ans révolus au premier jour du mandat.</w:t>
      </w:r>
    </w:p>
    <w:p>
      <w:pPr>
        <w:spacing w:after="120" w:before="120"/>
      </w:pPr>
      <w:r>
        <w:rPr>
          <w:rFonts w:ascii="Arial" w:cs="Arial" w:eastAsia="Arial" w:hAnsi="Arial"/>
          <w:sz w:val="24"/>
          <w:szCs w:val="24"/>
        </w:rPr>
        <w:t xml:space="preserve">Ce que ça garantit concrètement :</w:t>
      </w:r>
    </w:p>
    <w:p>
      <w:pPr>
        <w:pStyle w:val="ListParagraph"/>
        <w:numPr>
          <w:ilvl w:val="0"/>
          <w:numId w:val="2"/>
        </w:numPr>
        <w:spacing w:after="60" w:before="60"/>
      </w:pPr>
      <w:r>
        <w:rPr>
          <w:rFonts w:ascii="Arial" w:cs="Arial" w:eastAsia="Arial" w:hAnsi="Arial"/>
          <w:sz w:val="24"/>
          <w:szCs w:val="24"/>
        </w:rPr>
        <w:t xml:space="preserve">Renouvellement générationnel structurel à tous les niveaux</w:t>
      </w:r>
    </w:p>
    <w:p>
      <w:pPr>
        <w:pStyle w:val="ListParagraph"/>
        <w:numPr>
          <w:ilvl w:val="0"/>
          <w:numId w:val="2"/>
        </w:numPr>
        <w:spacing w:after="60" w:before="60"/>
      </w:pPr>
      <w:r>
        <w:rPr>
          <w:rFonts w:ascii="Arial" w:cs="Arial" w:eastAsia="Arial" w:hAnsi="Arial"/>
          <w:sz w:val="24"/>
          <w:szCs w:val="24"/>
        </w:rPr>
        <w:t xml:space="preserve">Fin des figures politiques installées depuis des décennies</w:t>
      </w:r>
    </w:p>
    <w:p>
      <w:pPr>
        <w:pStyle w:val="ListParagraph"/>
        <w:numPr>
          <w:ilvl w:val="0"/>
          <w:numId w:val="2"/>
        </w:numPr>
        <w:spacing w:after="60" w:before="60"/>
      </w:pPr>
      <w:r>
        <w:rPr>
          <w:rFonts w:ascii="Arial" w:cs="Arial" w:eastAsia="Arial" w:hAnsi="Arial"/>
          <w:sz w:val="24"/>
          <w:szCs w:val="24"/>
        </w:rPr>
        <w:t xml:space="preserve">Une démocratie qui se renouvelle par la règle, pas par la grâce</w:t>
      </w:r>
    </w:p>
    <w:p>
      <w:pPr>
        <w:spacing w:after="60" w:before="60"/>
      </w:pPr>
      <w:r>
        <w:t xml:space="preserve"/>
      </w:r>
    </w:p>
    <w:p>
      <w:pPr>
        <w:spacing w:after="120" w:before="120"/>
      </w:pPr>
      <w:r>
        <w:rPr>
          <w:rFonts w:ascii="Arial" w:cs="Arial" w:eastAsia="Arial" w:hAnsi="Arial"/>
          <w:i/>
          <w:iCs/>
          <w:sz w:val="24"/>
          <w:szCs w:val="24"/>
        </w:rPr>
        <w:t xml:space="preserve">"La République se gouverne dans la force de l'âge, pas dans la rente de l'ancienneté."</w:t>
      </w:r>
    </w:p>
    <w:p>
      <w:pPr>
        <w:spacing w:after="60" w:before="60"/>
      </w:pPr>
      <w:r>
        <w:t xml:space="preserve"/>
      </w:r>
    </w:p>
    <w:p>
      <w:pPr>
        <w:spacing w:after="120" w:before="120"/>
      </w:pPr>
      <w:r>
        <w:rPr>
          <w:rFonts w:ascii="Arial" w:cs="Arial" w:eastAsia="Arial" w:hAnsi="Arial"/>
          <w:sz w:val="24"/>
          <w:szCs w:val="24"/>
        </w:rPr>
        <w:t xml:space="preserve">La barrière d'âge inférieure actuellement fixée à 24 ans pour le Sénat est supprimée. Tout citoyen éligible peut se présenter dès l'âge de 18 ans.</w:t>
      </w:r>
    </w:p>
    <w:p>
      <w:pPr>
        <w:pStyle w:val="Heading1"/>
        <w:spacing w:after="180" w:before="360"/>
      </w:pPr>
      <w:r>
        <w:rPr>
          <w:rFonts w:ascii="Arial" w:cs="Arial" w:eastAsia="Arial" w:hAnsi="Arial"/>
          <w:b/>
          <w:bCs/>
          <w:sz w:val="32"/>
          <w:szCs w:val="32"/>
        </w:rPr>
        <w:t xml:space="preserve">5, La Tribune des comptes pour la société et la République</w:t>
      </w:r>
    </w:p>
    <w:p>
      <w:pPr>
        <w:pStyle w:val="Heading2"/>
        <w:spacing w:after="120" w:before="240"/>
      </w:pPr>
      <w:r>
        <w:rPr>
          <w:rFonts w:ascii="Arial" w:cs="Arial" w:eastAsia="Arial" w:hAnsi="Arial"/>
          <w:b/>
          <w:bCs/>
          <w:sz w:val="28"/>
          <w:szCs w:val="28"/>
        </w:rPr>
        <w:t xml:space="preserve">Nature et positionnement</w:t>
      </w:r>
    </w:p>
    <w:p>
      <w:pPr>
        <w:spacing w:after="120" w:before="120"/>
      </w:pPr>
      <w:r>
        <w:rPr>
          <w:rFonts w:ascii="Arial" w:cs="Arial" w:eastAsia="Arial" w:hAnsi="Arial"/>
          <w:sz w:val="24"/>
          <w:szCs w:val="24"/>
        </w:rPr>
        <w:t xml:space="preserve">Le Sénat dans sa forme actuelle est supprimé. Il est remplacé par la Tribune des comptes pour la société et la République. Il ne s'agit pas d'une chambre législative de remplacement mais d'un organe de contrôle, de transparence et d'audit civique. La Tribune n'a aucun pouvoir législatif ni exécutif. Son rôle est exclusivement de surveiller, d'évaluer et de signaler.</w:t>
      </w:r>
    </w:p>
    <w:p>
      <w:pPr>
        <w:spacing w:after="120" w:before="120"/>
      </w:pPr>
      <w:r>
        <w:rPr>
          <w:rFonts w:ascii="Arial" w:cs="Arial" w:eastAsia="Arial" w:hAnsi="Arial"/>
          <w:sz w:val="24"/>
          <w:szCs w:val="24"/>
        </w:rPr>
        <w:t xml:space="preserve">La clause de subsidiarité stricte définit son périmètre d'action : la Tribune intervient uniquement dans les domaines que ni la Cour des Comptes ni le Conseil Constitutionnel ne couvrent. Elle ne se substitue pas à ces institutions, elle les complète.</w:t>
      </w:r>
    </w:p>
    <w:p>
      <w:pPr>
        <w:spacing w:after="120" w:before="120"/>
      </w:pPr>
      <w:r>
        <w:rPr>
          <w:rFonts w:ascii="Arial" w:cs="Arial" w:eastAsia="Arial" w:hAnsi="Arial"/>
          <w:i/>
          <w:iCs/>
          <w:sz w:val="24"/>
          <w:szCs w:val="24"/>
        </w:rPr>
        <w:t xml:space="preserve">"Un contrôle citoyen sans pouvoir politique, c'est la démocratie qui se surveille elle-même."</w:t>
      </w:r>
    </w:p>
    <w:p>
      <w:pPr>
        <w:pStyle w:val="Heading2"/>
        <w:spacing w:after="120" w:before="240"/>
      </w:pPr>
      <w:r>
        <w:rPr>
          <w:rFonts w:ascii="Arial" w:cs="Arial" w:eastAsia="Arial" w:hAnsi="Arial"/>
          <w:b/>
          <w:bCs/>
          <w:sz w:val="28"/>
          <w:szCs w:val="28"/>
        </w:rPr>
        <w:t xml:space="preserve">Séparation des compétences avec les institutions existantes</w:t>
      </w:r>
    </w:p>
    <w:p>
      <w:pPr>
        <w:pStyle w:val="ListParagraph"/>
        <w:numPr>
          <w:ilvl w:val="0"/>
          <w:numId w:val="2"/>
        </w:numPr>
        <w:spacing w:after="60" w:before="60"/>
      </w:pPr>
      <w:r>
        <w:rPr>
          <w:rFonts w:ascii="Arial" w:cs="Arial" w:eastAsia="Arial" w:hAnsi="Arial"/>
          <w:sz w:val="24"/>
          <w:szCs w:val="24"/>
        </w:rPr>
        <w:t xml:space="preserve">Cour des Comptes, audit financier et comptable exclusivement, vérification de l'usage des deniers publics</w:t>
      </w:r>
    </w:p>
    <w:p>
      <w:pPr>
        <w:pStyle w:val="ListParagraph"/>
        <w:numPr>
          <w:ilvl w:val="0"/>
          <w:numId w:val="2"/>
        </w:numPr>
        <w:spacing w:after="60" w:before="60"/>
      </w:pPr>
      <w:r>
        <w:rPr>
          <w:rFonts w:ascii="Arial" w:cs="Arial" w:eastAsia="Arial" w:hAnsi="Arial"/>
          <w:sz w:val="24"/>
          <w:szCs w:val="24"/>
        </w:rPr>
        <w:t xml:space="preserve">Conseil Constitutionnel, contrôle de constitutionnalité des lois exclusivement</w:t>
      </w:r>
    </w:p>
    <w:p>
      <w:pPr>
        <w:pStyle w:val="ListParagraph"/>
        <w:numPr>
          <w:ilvl w:val="0"/>
          <w:numId w:val="2"/>
        </w:numPr>
        <w:spacing w:after="60" w:before="60"/>
      </w:pPr>
      <w:r>
        <w:rPr>
          <w:rFonts w:ascii="Arial" w:cs="Arial" w:eastAsia="Arial" w:hAnsi="Arial"/>
          <w:sz w:val="24"/>
          <w:szCs w:val="24"/>
        </w:rPr>
        <w:t xml:space="preserve">Tribune des comptes, contrôle civique, transparence institutionnelle, lutte contre la corruption, évaluation des services publics, supervision de l'ARCOM</w:t>
      </w:r>
    </w:p>
    <w:p>
      <w:pPr>
        <w:spacing w:after="120" w:before="120"/>
      </w:pPr>
      <w:r>
        <w:rPr>
          <w:rFonts w:ascii="Arial" w:cs="Arial" w:eastAsia="Arial" w:hAnsi="Arial"/>
          <w:sz w:val="24"/>
          <w:szCs w:val="24"/>
        </w:rPr>
        <w:t xml:space="preserve">Ces trois périmètres sont étanches. Toute tentative d'extension de compétence par l'un ou l'autre organe est sanctionnable devant le Conseil d'État.</w:t>
      </w:r>
    </w:p>
    <w:p>
      <w:pPr>
        <w:pStyle w:val="Heading2"/>
        <w:spacing w:after="120" w:before="240"/>
      </w:pPr>
      <w:r>
        <w:rPr>
          <w:rFonts w:ascii="Arial" w:cs="Arial" w:eastAsia="Arial" w:hAnsi="Arial"/>
          <w:b/>
          <w:bCs/>
          <w:sz w:val="28"/>
          <w:szCs w:val="28"/>
        </w:rPr>
        <w:t xml:space="preserve">Composition tripartite, 33/33/33</w:t>
      </w:r>
    </w:p>
    <w:p>
      <w:pPr>
        <w:spacing w:after="120" w:before="120"/>
      </w:pPr>
      <w:r>
        <w:rPr>
          <w:rFonts w:ascii="Arial" w:cs="Arial" w:eastAsia="Arial" w:hAnsi="Arial"/>
          <w:sz w:val="24"/>
          <w:szCs w:val="24"/>
        </w:rPr>
        <w:t xml:space="preserve">La Tribune est composée de trois collèges de taille identique, chacun représentant un tiers de l'institution :</w:t>
      </w:r>
    </w:p>
    <w:p>
      <w:pPr>
        <w:spacing w:after="100" w:before="200"/>
      </w:pPr>
      <w:r>
        <w:rPr>
          <w:rFonts w:ascii="Arial" w:cs="Arial" w:eastAsia="Arial" w:hAnsi="Arial"/>
          <w:b/>
          <w:bCs/>
          <w:sz w:val="24"/>
          <w:szCs w:val="24"/>
        </w:rPr>
        <w:t xml:space="preserve">Premier tiers, magistrats</w:t>
      </w:r>
    </w:p>
    <w:p>
      <w:pPr>
        <w:pStyle w:val="ListParagraph"/>
        <w:numPr>
          <w:ilvl w:val="0"/>
          <w:numId w:val="2"/>
        </w:numPr>
        <w:spacing w:after="60" w:before="60"/>
      </w:pPr>
      <w:r>
        <w:rPr>
          <w:rFonts w:ascii="Arial" w:cs="Arial" w:eastAsia="Arial" w:hAnsi="Arial"/>
          <w:sz w:val="24"/>
          <w:szCs w:val="24"/>
        </w:rPr>
        <w:t xml:space="preserve">Désignés par le Conseil Supérieur de la Magistrature</w:t>
      </w:r>
    </w:p>
    <w:p>
      <w:pPr>
        <w:pStyle w:val="ListParagraph"/>
        <w:numPr>
          <w:ilvl w:val="0"/>
          <w:numId w:val="2"/>
        </w:numPr>
        <w:spacing w:after="60" w:before="60"/>
      </w:pPr>
      <w:r>
        <w:rPr>
          <w:rFonts w:ascii="Arial" w:cs="Arial" w:eastAsia="Arial" w:hAnsi="Arial"/>
          <w:sz w:val="24"/>
          <w:szCs w:val="24"/>
        </w:rPr>
        <w:t xml:space="preserve">Non élus, garantie d'indépendance vis-à-vis des majorités politiques</w:t>
      </w:r>
    </w:p>
    <w:p>
      <w:pPr>
        <w:pStyle w:val="ListParagraph"/>
        <w:numPr>
          <w:ilvl w:val="0"/>
          <w:numId w:val="2"/>
        </w:numPr>
        <w:spacing w:after="60" w:before="60"/>
      </w:pPr>
      <w:r>
        <w:rPr>
          <w:rFonts w:ascii="Arial" w:cs="Arial" w:eastAsia="Arial" w:hAnsi="Arial"/>
          <w:sz w:val="24"/>
          <w:szCs w:val="24"/>
        </w:rPr>
        <w:t xml:space="preserve">Renouvelés par tiers tous les 3 ans pour assurer la continuité</w:t>
      </w:r>
    </w:p>
    <w:p>
      <w:pPr>
        <w:spacing w:after="100" w:before="200"/>
      </w:pPr>
      <w:r>
        <w:rPr>
          <w:rFonts w:ascii="Arial" w:cs="Arial" w:eastAsia="Arial" w:hAnsi="Arial"/>
          <w:b/>
          <w:bCs/>
          <w:sz w:val="24"/>
          <w:szCs w:val="24"/>
        </w:rPr>
        <w:t xml:space="preserve">Deuxième tiers, civils tirés au sort</w:t>
      </w:r>
    </w:p>
    <w:p>
      <w:pPr>
        <w:pStyle w:val="ListParagraph"/>
        <w:numPr>
          <w:ilvl w:val="0"/>
          <w:numId w:val="2"/>
        </w:numPr>
        <w:spacing w:after="60" w:before="60"/>
      </w:pPr>
      <w:r>
        <w:rPr>
          <w:rFonts w:ascii="Arial" w:cs="Arial" w:eastAsia="Arial" w:hAnsi="Arial"/>
          <w:sz w:val="24"/>
          <w:szCs w:val="24"/>
        </w:rPr>
        <w:t xml:space="preserve">Tout citoyen français majeur, n'exerçant pas de mandat électif, n'étant pas magistrat et n'ayant pas d'activité associative à titre professionnel</w:t>
      </w:r>
    </w:p>
    <w:p>
      <w:pPr>
        <w:pStyle w:val="ListParagraph"/>
        <w:numPr>
          <w:ilvl w:val="0"/>
          <w:numId w:val="2"/>
        </w:numPr>
        <w:spacing w:after="60" w:before="60"/>
      </w:pPr>
      <w:r>
        <w:rPr>
          <w:rFonts w:ascii="Arial" w:cs="Arial" w:eastAsia="Arial" w:hAnsi="Arial"/>
          <w:sz w:val="24"/>
          <w:szCs w:val="24"/>
        </w:rPr>
        <w:t xml:space="preserve">Tirage au sort sur les listes électorales, sur le modèle des jurés d'assises</w:t>
      </w:r>
    </w:p>
    <w:p>
      <w:pPr>
        <w:pStyle w:val="ListParagraph"/>
        <w:numPr>
          <w:ilvl w:val="0"/>
          <w:numId w:val="2"/>
        </w:numPr>
        <w:spacing w:after="60" w:before="60"/>
      </w:pPr>
      <w:r>
        <w:rPr>
          <w:rFonts w:ascii="Arial" w:cs="Arial" w:eastAsia="Arial" w:hAnsi="Arial"/>
          <w:sz w:val="24"/>
          <w:szCs w:val="24"/>
        </w:rPr>
        <w:t xml:space="preserve">Durée de mandat de 3 ans, non renouvelable, indemnisé au niveau du salaire médian national</w:t>
      </w:r>
    </w:p>
    <w:p>
      <w:pPr>
        <w:spacing w:after="100" w:before="200"/>
      </w:pPr>
      <w:r>
        <w:rPr>
          <w:rFonts w:ascii="Arial" w:cs="Arial" w:eastAsia="Arial" w:hAnsi="Arial"/>
          <w:b/>
          <w:bCs/>
          <w:sz w:val="24"/>
          <w:szCs w:val="24"/>
        </w:rPr>
        <w:t xml:space="preserve">Troisième tiers, représentants associatifs</w:t>
      </w:r>
    </w:p>
    <w:p>
      <w:pPr>
        <w:pStyle w:val="ListParagraph"/>
        <w:numPr>
          <w:ilvl w:val="0"/>
          <w:numId w:val="2"/>
        </w:numPr>
        <w:spacing w:after="60" w:before="60"/>
      </w:pPr>
      <w:r>
        <w:rPr>
          <w:rFonts w:ascii="Arial" w:cs="Arial" w:eastAsia="Arial" w:hAnsi="Arial"/>
          <w:sz w:val="24"/>
          <w:szCs w:val="24"/>
        </w:rPr>
        <w:t xml:space="preserve">Élus au suffrage universel direct parmi les représentants d'associations déclarées</w:t>
      </w:r>
    </w:p>
    <w:p>
      <w:pPr>
        <w:pStyle w:val="ListParagraph"/>
        <w:numPr>
          <w:ilvl w:val="0"/>
          <w:numId w:val="2"/>
        </w:numPr>
        <w:spacing w:after="60" w:before="60"/>
      </w:pPr>
      <w:r>
        <w:rPr>
          <w:rFonts w:ascii="Arial" w:cs="Arial" w:eastAsia="Arial" w:hAnsi="Arial"/>
          <w:sz w:val="24"/>
          <w:szCs w:val="24"/>
        </w:rPr>
        <w:t xml:space="preserve">Mandat de 5 ans, renouvelable une fois, limite d'âge à 59 ans</w:t>
      </w:r>
    </w:p>
    <w:p>
      <w:pPr>
        <w:pStyle w:val="Heading2"/>
        <w:spacing w:after="120" w:before="240"/>
      </w:pPr>
      <w:r>
        <w:rPr>
          <w:rFonts w:ascii="Arial" w:cs="Arial" w:eastAsia="Arial" w:hAnsi="Arial"/>
          <w:b/>
          <w:bCs/>
          <w:sz w:val="28"/>
          <w:szCs w:val="28"/>
        </w:rPr>
        <w:t xml:space="preserve">Missions de la Tribune</w:t>
      </w:r>
    </w:p>
    <w:p>
      <w:pPr>
        <w:pStyle w:val="ListParagraph"/>
        <w:numPr>
          <w:ilvl w:val="0"/>
          <w:numId w:val="2"/>
        </w:numPr>
        <w:spacing w:after="60" w:before="60"/>
      </w:pPr>
      <w:r>
        <w:rPr>
          <w:rFonts w:ascii="Arial" w:cs="Arial" w:eastAsia="Arial" w:hAnsi="Arial"/>
          <w:sz w:val="24"/>
          <w:szCs w:val="24"/>
        </w:rPr>
        <w:t xml:space="preserve">Contrôle de la transparence des institutions publiques ET privées bénéficiant de financements publics</w:t>
      </w:r>
    </w:p>
    <w:p>
      <w:pPr>
        <w:pStyle w:val="ListParagraph"/>
        <w:numPr>
          <w:ilvl w:val="0"/>
          <w:numId w:val="2"/>
        </w:numPr>
        <w:spacing w:after="60" w:before="60"/>
      </w:pPr>
      <w:r>
        <w:rPr>
          <w:rFonts w:ascii="Arial" w:cs="Arial" w:eastAsia="Arial" w:hAnsi="Arial"/>
          <w:sz w:val="24"/>
          <w:szCs w:val="24"/>
        </w:rPr>
        <w:t xml:space="preserve">Lutte contre l'évasion fiscale, pouvoir d'enquête et de sanction</w:t>
      </w:r>
    </w:p>
    <w:p>
      <w:pPr>
        <w:pStyle w:val="ListParagraph"/>
        <w:numPr>
          <w:ilvl w:val="0"/>
          <w:numId w:val="2"/>
        </w:numPr>
        <w:spacing w:after="60" w:before="60"/>
      </w:pPr>
      <w:r>
        <w:rPr>
          <w:rFonts w:ascii="Arial" w:cs="Arial" w:eastAsia="Arial" w:hAnsi="Arial"/>
          <w:sz w:val="24"/>
          <w:szCs w:val="24"/>
        </w:rPr>
        <w:t xml:space="preserve">Évaluation de l'efficacité des services publics, rapport annuel rendu public</w:t>
      </w:r>
    </w:p>
    <w:p>
      <w:pPr>
        <w:pStyle w:val="ListParagraph"/>
        <w:numPr>
          <w:ilvl w:val="0"/>
          <w:numId w:val="2"/>
        </w:numPr>
        <w:spacing w:after="60" w:before="60"/>
      </w:pPr>
      <w:r>
        <w:rPr>
          <w:rFonts w:ascii="Arial" w:cs="Arial" w:eastAsia="Arial" w:hAnsi="Arial"/>
          <w:sz w:val="24"/>
          <w:szCs w:val="24"/>
        </w:rPr>
        <w:t xml:space="preserve">Supervision du transfert des compétences départementales vers les régions</w:t>
      </w:r>
    </w:p>
    <w:p>
      <w:pPr>
        <w:pStyle w:val="ListParagraph"/>
        <w:numPr>
          <w:ilvl w:val="0"/>
          <w:numId w:val="2"/>
        </w:numPr>
        <w:spacing w:after="60" w:before="60"/>
      </w:pPr>
      <w:r>
        <w:rPr>
          <w:rFonts w:ascii="Arial" w:cs="Arial" w:eastAsia="Arial" w:hAnsi="Arial"/>
          <w:sz w:val="24"/>
          <w:szCs w:val="24"/>
        </w:rPr>
        <w:t xml:space="preserve">Tutelle sur l'ARCOM</w:t>
      </w:r>
    </w:p>
    <w:p>
      <w:pPr>
        <w:pStyle w:val="ListParagraph"/>
        <w:numPr>
          <w:ilvl w:val="0"/>
          <w:numId w:val="2"/>
        </w:numPr>
        <w:spacing w:after="60" w:before="60"/>
      </w:pPr>
      <w:r>
        <w:rPr>
          <w:rFonts w:ascii="Arial" w:cs="Arial" w:eastAsia="Arial" w:hAnsi="Arial"/>
          <w:sz w:val="24"/>
          <w:szCs w:val="24"/>
        </w:rPr>
        <w:t xml:space="preserve">Audit annuel des niches fiscales, toute niche dont le rapport coût/efficacité n'est pas démontré est supprimée</w:t>
      </w:r>
    </w:p>
    <w:p>
      <w:pPr>
        <w:pStyle w:val="Heading2"/>
        <w:spacing w:after="120" w:before="240"/>
      </w:pPr>
      <w:r>
        <w:rPr>
          <w:rFonts w:ascii="Arial" w:cs="Arial" w:eastAsia="Arial" w:hAnsi="Arial"/>
          <w:b/>
          <w:bCs/>
          <w:sz w:val="28"/>
          <w:szCs w:val="28"/>
        </w:rPr>
        <w:t xml:space="preserve">Moyens d'action</w:t>
      </w:r>
    </w:p>
    <w:p>
      <w:pPr>
        <w:pStyle w:val="ListParagraph"/>
        <w:numPr>
          <w:ilvl w:val="0"/>
          <w:numId w:val="2"/>
        </w:numPr>
        <w:spacing w:after="60" w:before="60"/>
      </w:pPr>
      <w:r>
        <w:rPr>
          <w:rFonts w:ascii="Arial" w:cs="Arial" w:eastAsia="Arial" w:hAnsi="Arial"/>
          <w:sz w:val="24"/>
          <w:szCs w:val="24"/>
        </w:rPr>
        <w:t xml:space="preserve">Coopération sans obstruction avec la Cour des Comptes, l'URSSAF et toute institution nécessaire</w:t>
      </w:r>
    </w:p>
    <w:p>
      <w:pPr>
        <w:pStyle w:val="ListParagraph"/>
        <w:numPr>
          <w:ilvl w:val="0"/>
          <w:numId w:val="2"/>
        </w:numPr>
        <w:spacing w:after="60" w:before="60"/>
      </w:pPr>
      <w:r>
        <w:rPr>
          <w:rFonts w:ascii="Arial" w:cs="Arial" w:eastAsia="Arial" w:hAnsi="Arial"/>
          <w:sz w:val="24"/>
          <w:szCs w:val="24"/>
        </w:rPr>
        <w:t xml:space="preserve">Pouvoir d'investigation directe, sans avoir à solliciter l'autorisation de l'exécutif</w:t>
      </w:r>
    </w:p>
    <w:p>
      <w:pPr>
        <w:pStyle w:val="ListParagraph"/>
        <w:numPr>
          <w:ilvl w:val="0"/>
          <w:numId w:val="2"/>
        </w:numPr>
        <w:spacing w:after="60" w:before="60"/>
      </w:pPr>
      <w:r>
        <w:rPr>
          <w:rFonts w:ascii="Arial" w:cs="Arial" w:eastAsia="Arial" w:hAnsi="Arial"/>
          <w:sz w:val="24"/>
          <w:szCs w:val="24"/>
        </w:rPr>
        <w:t xml:space="preserve">Budget propre défini par la Tribune, validé par l'exécutif, audité par la Cour des Comptes</w:t>
      </w:r>
    </w:p>
    <w:p>
      <w:pPr>
        <w:pStyle w:val="ListParagraph"/>
        <w:numPr>
          <w:ilvl w:val="0"/>
          <w:numId w:val="2"/>
        </w:numPr>
        <w:spacing w:after="60" w:before="60"/>
      </w:pPr>
      <w:r>
        <w:rPr>
          <w:rFonts w:ascii="Arial" w:cs="Arial" w:eastAsia="Arial" w:hAnsi="Arial"/>
          <w:sz w:val="24"/>
          <w:szCs w:val="24"/>
        </w:rPr>
        <w:t xml:space="preserve">Publication obligatoire de tous les rapports, sans exception, dans un délai de 30 jours</w:t>
      </w:r>
    </w:p>
    <w:p>
      <w:pPr>
        <w:pStyle w:val="Heading2"/>
        <w:spacing w:after="120" w:before="240"/>
      </w:pPr>
      <w:r>
        <w:rPr>
          <w:rFonts w:ascii="Arial" w:cs="Arial" w:eastAsia="Arial" w:hAnsi="Arial"/>
          <w:b/>
          <w:bCs/>
          <w:sz w:val="28"/>
          <w:szCs w:val="28"/>
        </w:rPr>
        <w:t xml:space="preserve">Arsenal contre l'évasion fiscale</w:t>
      </w:r>
    </w:p>
    <w:p>
      <w:pPr>
        <w:spacing w:after="100" w:before="200"/>
      </w:pPr>
      <w:r>
        <w:rPr>
          <w:rFonts w:ascii="Arial" w:cs="Arial" w:eastAsia="Arial" w:hAnsi="Arial"/>
          <w:b/>
          <w:bCs/>
          <w:sz w:val="24"/>
          <w:szCs w:val="24"/>
        </w:rPr>
        <w:t xml:space="preserve">Sanctions financières</w:t>
      </w:r>
    </w:p>
    <w:p>
      <w:pPr>
        <w:pStyle w:val="ListParagraph"/>
        <w:numPr>
          <w:ilvl w:val="0"/>
          <w:numId w:val="2"/>
        </w:numPr>
        <w:spacing w:after="60" w:before="60"/>
      </w:pPr>
      <w:r>
        <w:rPr>
          <w:rFonts w:ascii="Arial" w:cs="Arial" w:eastAsia="Arial" w:hAnsi="Arial"/>
          <w:sz w:val="24"/>
          <w:szCs w:val="24"/>
        </w:rPr>
        <w:t xml:space="preserve">Récupération intégrale des sommes dissimulées</w:t>
      </w:r>
    </w:p>
    <w:p>
      <w:pPr>
        <w:pStyle w:val="ListParagraph"/>
        <w:numPr>
          <w:ilvl w:val="0"/>
          <w:numId w:val="2"/>
        </w:numPr>
        <w:spacing w:after="60" w:before="60"/>
      </w:pPr>
      <w:r>
        <w:rPr>
          <w:rFonts w:ascii="Arial" w:cs="Arial" w:eastAsia="Arial" w:hAnsi="Arial"/>
          <w:sz w:val="24"/>
          <w:szCs w:val="24"/>
        </w:rPr>
        <w:t xml:space="preserve">Si récupération impossible, saisie partielle et remboursement à vie sur les bénéfices de l'entreprise concernée</w:t>
      </w:r>
    </w:p>
    <w:p>
      <w:pPr>
        <w:pStyle w:val="ListParagraph"/>
        <w:numPr>
          <w:ilvl w:val="0"/>
          <w:numId w:val="2"/>
        </w:numPr>
        <w:spacing w:after="60" w:before="60"/>
      </w:pPr>
      <w:r>
        <w:rPr>
          <w:rFonts w:ascii="Arial" w:cs="Arial" w:eastAsia="Arial" w:hAnsi="Arial"/>
          <w:sz w:val="24"/>
          <w:szCs w:val="24"/>
        </w:rPr>
        <w:t xml:space="preserve">Amende personnelle de 10 000€ sur les responsables, prélevée comme un emprunt si nécessaire</w:t>
      </w:r>
    </w:p>
    <w:p>
      <w:pPr>
        <w:spacing w:after="100" w:before="200"/>
      </w:pPr>
      <w:r>
        <w:rPr>
          <w:rFonts w:ascii="Arial" w:cs="Arial" w:eastAsia="Arial" w:hAnsi="Arial"/>
          <w:b/>
          <w:bCs/>
          <w:sz w:val="24"/>
          <w:szCs w:val="24"/>
        </w:rPr>
        <w:t xml:space="preserve">Sanctions pénales</w:t>
      </w:r>
    </w:p>
    <w:p>
      <w:pPr>
        <w:pStyle w:val="ListParagraph"/>
        <w:numPr>
          <w:ilvl w:val="0"/>
          <w:numId w:val="2"/>
        </w:numPr>
        <w:spacing w:after="60" w:before="60"/>
      </w:pPr>
      <w:r>
        <w:rPr>
          <w:rFonts w:ascii="Arial" w:cs="Arial" w:eastAsia="Arial" w:hAnsi="Arial"/>
          <w:sz w:val="24"/>
          <w:szCs w:val="24"/>
        </w:rPr>
        <w:t xml:space="preserve">20 ans de prison minimum, plancher absolu</w:t>
      </w:r>
    </w:p>
    <w:p>
      <w:pPr>
        <w:pStyle w:val="ListParagraph"/>
        <w:numPr>
          <w:ilvl w:val="0"/>
          <w:numId w:val="2"/>
        </w:numPr>
        <w:spacing w:after="60" w:before="60"/>
      </w:pPr>
      <w:r>
        <w:rPr>
          <w:rFonts w:ascii="Arial" w:cs="Arial" w:eastAsia="Arial" w:hAnsi="Arial"/>
          <w:sz w:val="24"/>
          <w:szCs w:val="24"/>
        </w:rPr>
        <w:t xml:space="preserve">Individualisation uniquement à la hausse, le juge peut augmenter selon la gravité, jamais descendre en dessous du plancher</w:t>
      </w:r>
    </w:p>
    <w:p>
      <w:pPr>
        <w:pStyle w:val="ListParagraph"/>
        <w:numPr>
          <w:ilvl w:val="0"/>
          <w:numId w:val="2"/>
        </w:numPr>
        <w:spacing w:after="60" w:before="60"/>
      </w:pPr>
      <w:r>
        <w:rPr>
          <w:rFonts w:ascii="Arial" w:cs="Arial" w:eastAsia="Arial" w:hAnsi="Arial"/>
          <w:sz w:val="24"/>
          <w:szCs w:val="24"/>
        </w:rPr>
        <w:t xml:space="preserve">Pas de liberté conditionnelle</w:t>
      </w:r>
    </w:p>
    <w:p>
      <w:pPr>
        <w:spacing w:after="100" w:before="200"/>
      </w:pPr>
      <w:r>
        <w:rPr>
          <w:rFonts w:ascii="Arial" w:cs="Arial" w:eastAsia="Arial" w:hAnsi="Arial"/>
          <w:b/>
          <w:bCs/>
          <w:sz w:val="24"/>
          <w:szCs w:val="24"/>
        </w:rPr>
        <w:t xml:space="preserve">Co-responsabilité pénale</w:t>
      </w:r>
    </w:p>
    <w:p>
      <w:pPr>
        <w:pStyle w:val="ListParagraph"/>
        <w:numPr>
          <w:ilvl w:val="0"/>
          <w:numId w:val="2"/>
        </w:numPr>
        <w:spacing w:after="60" w:before="60"/>
      </w:pPr>
      <w:r>
        <w:rPr>
          <w:rFonts w:ascii="Arial" w:cs="Arial" w:eastAsia="Arial" w:hAnsi="Arial"/>
          <w:sz w:val="24"/>
          <w:szCs w:val="24"/>
        </w:rPr>
        <w:t xml:space="preserve">L'exécutant ayant agi sous pression reste responsable de son acte, jugé pour fraude fiscale</w:t>
      </w:r>
    </w:p>
    <w:p>
      <w:pPr>
        <w:pStyle w:val="ListParagraph"/>
        <w:numPr>
          <w:ilvl w:val="0"/>
          <w:numId w:val="2"/>
        </w:numPr>
        <w:spacing w:after="60" w:before="60"/>
      </w:pPr>
      <w:r>
        <w:rPr>
          <w:rFonts w:ascii="Arial" w:cs="Arial" w:eastAsia="Arial" w:hAnsi="Arial"/>
          <w:sz w:val="24"/>
          <w:szCs w:val="24"/>
        </w:rPr>
        <w:t xml:space="preserve">Le donneur d'ordre est jugé pour fraude fiscale ET abus de pouvoir, peines cumulables</w:t>
      </w:r>
    </w:p>
    <w:p>
      <w:pPr>
        <w:pStyle w:val="ListParagraph"/>
        <w:numPr>
          <w:ilvl w:val="0"/>
          <w:numId w:val="2"/>
        </w:numPr>
        <w:spacing w:after="60" w:before="60"/>
      </w:pPr>
      <w:r>
        <w:rPr>
          <w:rFonts w:ascii="Arial" w:cs="Arial" w:eastAsia="Arial" w:hAnsi="Arial"/>
          <w:sz w:val="24"/>
          <w:szCs w:val="24"/>
        </w:rPr>
        <w:t xml:space="preserve">Le donneur d'ordre sera toujours plus lourdement sanctionné que l'exécutant</w:t>
      </w:r>
    </w:p>
    <w:p>
      <w:pPr>
        <w:pStyle w:val="Heading1"/>
        <w:spacing w:after="180" w:before="360"/>
      </w:pPr>
      <w:r>
        <w:rPr>
          <w:rFonts w:ascii="Arial" w:cs="Arial" w:eastAsia="Arial" w:hAnsi="Arial"/>
          <w:b/>
          <w:bCs/>
          <w:sz w:val="32"/>
          <w:szCs w:val="32"/>
        </w:rPr>
        <w:t xml:space="preserve">6, Droit constitutionnel à la souveraineté financière individuelle</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 xml:space="preserve">La tendance mondiale à la suppression progressive du cash, aux monnaies numériques de banques centrales et à la surveillance financière généralisée constitue une menace réelle pour les libertés individuelles. Un État qui contrôle intégralement les flux financiers de ses citoyens dispose d'un levier de coercition sans précédent dans l'histoire démocratique.</w:t>
      </w:r>
    </w:p>
    <w:p>
      <w:pPr>
        <w:pStyle w:val="Heading2"/>
        <w:spacing w:after="120" w:before="240"/>
      </w:pPr>
      <w:r>
        <w:rPr>
          <w:rFonts w:ascii="Arial" w:cs="Arial" w:eastAsia="Arial" w:hAnsi="Arial"/>
          <w:b/>
          <w:bCs/>
          <w:sz w:val="28"/>
          <w:szCs w:val="28"/>
        </w:rPr>
        <w:t xml:space="preserve">La mesure LFP</w:t>
      </w:r>
    </w:p>
    <w:p>
      <w:pPr>
        <w:spacing w:after="120" w:before="120"/>
      </w:pPr>
      <w:r>
        <w:rPr>
          <w:rFonts w:ascii="Arial" w:cs="Arial" w:eastAsia="Arial" w:hAnsi="Arial"/>
          <w:sz w:val="24"/>
          <w:szCs w:val="24"/>
        </w:rPr>
        <w:t xml:space="preserve">Les LFP inscrivent dans la Constitution la liberté fondamentale de tout citoyen de détenir et d'utiliser ses richesses sous forme liquide. Cette liberté est absolue et ne peut être restreinte par aucune loi ordinaire.</w:t>
      </w:r>
    </w:p>
    <w:p>
      <w:pPr>
        <w:pStyle w:val="ListParagraph"/>
        <w:numPr>
          <w:ilvl w:val="0"/>
          <w:numId w:val="2"/>
        </w:numPr>
        <w:spacing w:after="60" w:before="60"/>
      </w:pPr>
      <w:r>
        <w:rPr>
          <w:rFonts w:ascii="Arial" w:cs="Arial" w:eastAsia="Arial" w:hAnsi="Arial"/>
          <w:sz w:val="24"/>
          <w:szCs w:val="24"/>
        </w:rPr>
        <w:t xml:space="preserve">Droit constitutionnel de détenir des espèces, sans plafond ni obligation de déclaration pour un usage personnel</w:t>
      </w:r>
    </w:p>
    <w:p>
      <w:pPr>
        <w:pStyle w:val="ListParagraph"/>
        <w:numPr>
          <w:ilvl w:val="0"/>
          <w:numId w:val="2"/>
        </w:numPr>
        <w:spacing w:after="60" w:before="60"/>
      </w:pPr>
      <w:r>
        <w:rPr>
          <w:rFonts w:ascii="Arial" w:cs="Arial" w:eastAsia="Arial" w:hAnsi="Arial"/>
          <w:sz w:val="24"/>
          <w:szCs w:val="24"/>
        </w:rPr>
        <w:t xml:space="preserve">Droit de détenir des métaux précieux, or, argent, platine, sans limitation ni traçabilité imposée</w:t>
      </w:r>
    </w:p>
    <w:p>
      <w:pPr>
        <w:pStyle w:val="ListParagraph"/>
        <w:numPr>
          <w:ilvl w:val="0"/>
          <w:numId w:val="2"/>
        </w:numPr>
        <w:spacing w:after="60" w:before="60"/>
      </w:pPr>
      <w:r>
        <w:rPr>
          <w:rFonts w:ascii="Arial" w:cs="Arial" w:eastAsia="Arial" w:hAnsi="Arial"/>
          <w:sz w:val="24"/>
          <w:szCs w:val="24"/>
        </w:rPr>
        <w:t xml:space="preserve">Droit de détenir et d'utiliser des crypto-monnaies, sans obligation de conversion forcée en monnaie fiduciaire</w:t>
      </w:r>
    </w:p>
    <w:p>
      <w:pPr>
        <w:pStyle w:val="ListParagraph"/>
        <w:numPr>
          <w:ilvl w:val="0"/>
          <w:numId w:val="2"/>
        </w:numPr>
        <w:spacing w:after="60" w:before="60"/>
      </w:pPr>
      <w:r>
        <w:rPr>
          <w:rFonts w:ascii="Arial" w:cs="Arial" w:eastAsia="Arial" w:hAnsi="Arial"/>
          <w:sz w:val="24"/>
          <w:szCs w:val="24"/>
        </w:rPr>
        <w:t xml:space="preserve">L'État ne peut pas imposer un moyen de paiement exclusif ni interdire le recours aux espèces pour tout règlement sur le territoire national</w:t>
      </w:r>
    </w:p>
    <w:p>
      <w:pPr>
        <w:pStyle w:val="Heading2"/>
        <w:spacing w:after="120" w:before="240"/>
      </w:pPr>
      <w:r>
        <w:rPr>
          <w:rFonts w:ascii="Arial" w:cs="Arial" w:eastAsia="Arial" w:hAnsi="Arial"/>
          <w:b/>
          <w:bCs/>
          <w:sz w:val="28"/>
          <w:szCs w:val="28"/>
        </w:rPr>
        <w:t xml:space="preserve">Le seuil de 250€, protection de la vie privée financière</w:t>
      </w:r>
    </w:p>
    <w:p>
      <w:pPr>
        <w:spacing w:after="120" w:before="120"/>
      </w:pPr>
      <w:r>
        <w:rPr>
          <w:rFonts w:ascii="Arial" w:cs="Arial" w:eastAsia="Arial" w:hAnsi="Arial"/>
          <w:sz w:val="24"/>
          <w:szCs w:val="24"/>
        </w:rPr>
        <w:t xml:space="preserve">Tout citoyen a le droit de réaliser des transactions en espèces inférieures à 250€ sans obligation de traçabilité, de déclaration ou de justification. Ce seuil protège la vie privée financière des citoyens face à la surveillance bancaire systématique. La vie privée financière est un prolongement naturel de la vie privée.</w:t>
      </w:r>
    </w:p>
    <w:p>
      <w:pPr>
        <w:spacing w:after="120" w:before="120"/>
      </w:pPr>
      <w:r>
        <w:rPr>
          <w:rFonts w:ascii="Arial" w:cs="Arial" w:eastAsia="Arial" w:hAnsi="Arial"/>
          <w:i/>
          <w:iCs/>
          <w:sz w:val="24"/>
          <w:szCs w:val="24"/>
        </w:rPr>
        <w:t xml:space="preserve">"La liberté de payer sans être surveillé est une condition de la liberté tout court."</w:t>
      </w:r>
    </w:p>
    <w:p>
      <w:pPr>
        <w:pStyle w:val="Heading2"/>
        <w:spacing w:after="120" w:before="240"/>
      </w:pPr>
      <w:r>
        <w:rPr>
          <w:rFonts w:ascii="Arial" w:cs="Arial" w:eastAsia="Arial" w:hAnsi="Arial"/>
          <w:b/>
          <w:bCs/>
          <w:sz w:val="28"/>
          <w:szCs w:val="28"/>
        </w:rPr>
        <w:t xml:space="preserve">Ce que cette mesure n'autorise pas</w:t>
      </w:r>
    </w:p>
    <w:p>
      <w:pPr>
        <w:pStyle w:val="ListParagraph"/>
        <w:numPr>
          <w:ilvl w:val="0"/>
          <w:numId w:val="2"/>
        </w:numPr>
        <w:spacing w:after="60" w:before="60"/>
      </w:pPr>
      <w:r>
        <w:rPr>
          <w:rFonts w:ascii="Arial" w:cs="Arial" w:eastAsia="Arial" w:hAnsi="Arial"/>
          <w:sz w:val="24"/>
          <w:szCs w:val="24"/>
        </w:rPr>
        <w:t xml:space="preserve">Les transactions destinées à l'évasion fiscale restent illégales quelle que soit leur forme, y compris en espèces</w:t>
      </w:r>
    </w:p>
    <w:p>
      <w:pPr>
        <w:pStyle w:val="ListParagraph"/>
        <w:numPr>
          <w:ilvl w:val="0"/>
          <w:numId w:val="2"/>
        </w:numPr>
        <w:spacing w:after="60" w:before="60"/>
      </w:pPr>
      <w:r>
        <w:rPr>
          <w:rFonts w:ascii="Arial" w:cs="Arial" w:eastAsia="Arial" w:hAnsi="Arial"/>
          <w:sz w:val="24"/>
          <w:szCs w:val="24"/>
        </w:rPr>
        <w:t xml:space="preserve">Le blanchiment d'argent reste sanctionné par les mêmes peines qu'actuellement</w:t>
      </w:r>
    </w:p>
    <w:p>
      <w:pPr>
        <w:pStyle w:val="ListParagraph"/>
        <w:numPr>
          <w:ilvl w:val="0"/>
          <w:numId w:val="2"/>
        </w:numPr>
        <w:spacing w:after="60" w:before="60"/>
      </w:pPr>
      <w:r>
        <w:rPr>
          <w:rFonts w:ascii="Arial" w:cs="Arial" w:eastAsia="Arial" w:hAnsi="Arial"/>
          <w:sz w:val="24"/>
          <w:szCs w:val="24"/>
        </w:rPr>
        <w:t xml:space="preserve">Les transactions professionnelles restent soumises aux obligations de facturation et de comptabilité existantes</w:t>
      </w:r>
    </w:p>
    <w:p>
      <w:pPr>
        <w:pStyle w:val="ListParagraph"/>
        <w:numPr>
          <w:ilvl w:val="0"/>
          <w:numId w:val="2"/>
        </w:numPr>
        <w:spacing w:after="60" w:before="60"/>
      </w:pPr>
      <w:r>
        <w:rPr>
          <w:rFonts w:ascii="Arial" w:cs="Arial" w:eastAsia="Arial" w:hAnsi="Arial"/>
          <w:sz w:val="24"/>
          <w:szCs w:val="24"/>
        </w:rPr>
        <w:t xml:space="preserve">Le seuil de 250€ s'applique aux transactions entre particuliers et entre particuliers et commerçants, pas aux transactions professionnelles entre entreprises</w:t>
      </w:r>
    </w:p>
    <w:p>
      <w:pPr>
        <w:pStyle w:val="Heading1"/>
        <w:spacing w:after="180" w:before="360"/>
      </w:pPr>
      <w:r>
        <w:rPr>
          <w:rFonts w:ascii="Arial" w:cs="Arial" w:eastAsia="Arial" w:hAnsi="Arial"/>
          <w:b/>
          <w:bCs/>
          <w:sz w:val="32"/>
          <w:szCs w:val="32"/>
        </w:rPr>
        <w:t xml:space="preserve">7, Réforme du statut des élus</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 xml:space="preserve">Les anciens présidents de la République perçoivent une dotation à vie d'environ 6 000€ bruts par mois. Les frais de mandat des parlementaires s'élèvent à 5 645€ mensuels sans justificatif. La buvette de l'Assemblée nationale est subventionnée par le contribuable.</w:t>
      </w:r>
    </w:p>
    <w:p>
      <w:pPr>
        <w:spacing w:after="120" w:before="120"/>
      </w:pPr>
      <w:r>
        <w:rPr>
          <w:rFonts w:ascii="Arial" w:cs="Arial" w:eastAsia="Arial" w:hAnsi="Arial"/>
          <w:i/>
          <w:iCs/>
          <w:sz w:val="24"/>
          <w:szCs w:val="24"/>
        </w:rPr>
        <w:t xml:space="preserve">"L'argument selon lequel baisser la rémunération des élus les rendrait plus corruptibles est irrecevable. On ne se corrompt pas par nécessité quand on gagne 5 600€ nets par mois."</w:t>
      </w:r>
    </w:p>
    <w:p>
      <w:pPr>
        <w:pStyle w:val="Heading2"/>
        <w:spacing w:after="120" w:before="240"/>
      </w:pPr>
      <w:r>
        <w:rPr>
          <w:rFonts w:ascii="Arial" w:cs="Arial" w:eastAsia="Arial" w:hAnsi="Arial"/>
          <w:b/>
          <w:bCs/>
          <w:sz w:val="28"/>
          <w:szCs w:val="28"/>
        </w:rPr>
        <w:t xml:space="preserve">Salaires des élus, deux niveaux clairs</w:t>
      </w:r>
    </w:p>
    <w:p>
      <w:pPr>
        <w:pStyle w:val="ListParagraph"/>
        <w:numPr>
          <w:ilvl w:val="0"/>
          <w:numId w:val="2"/>
        </w:numPr>
        <w:spacing w:after="60" w:before="60"/>
      </w:pPr>
      <w:r>
        <w:rPr>
          <w:rFonts w:ascii="Arial" w:cs="Arial" w:eastAsia="Arial" w:hAnsi="Arial"/>
          <w:sz w:val="24"/>
          <w:szCs w:val="24"/>
        </w:rPr>
        <w:t xml:space="preserve">Président de la République et Premier ministre, 6 500€ nets par mois</w:t>
      </w:r>
    </w:p>
    <w:p>
      <w:pPr>
        <w:pStyle w:val="ListParagraph"/>
        <w:numPr>
          <w:ilvl w:val="0"/>
          <w:numId w:val="2"/>
        </w:numPr>
        <w:spacing w:after="60" w:before="60"/>
      </w:pPr>
      <w:r>
        <w:rPr>
          <w:rFonts w:ascii="Arial" w:cs="Arial" w:eastAsia="Arial" w:hAnsi="Arial"/>
          <w:sz w:val="24"/>
          <w:szCs w:val="24"/>
        </w:rPr>
        <w:t xml:space="preserve">Ministres, Députés et Sénateurs, 5 600€ nets par mois</w:t>
      </w:r>
    </w:p>
    <w:p>
      <w:pPr>
        <w:pStyle w:val="Heading2"/>
        <w:spacing w:after="120" w:before="240"/>
      </w:pPr>
      <w:r>
        <w:rPr>
          <w:rFonts w:ascii="Arial" w:cs="Arial" w:eastAsia="Arial" w:hAnsi="Arial"/>
          <w:b/>
          <w:bCs/>
          <w:sz w:val="28"/>
          <w:szCs w:val="28"/>
        </w:rPr>
        <w:t xml:space="preserve">Frais de mandat réduits à 50%</w:t>
      </w:r>
    </w:p>
    <w:p>
      <w:pPr>
        <w:spacing w:after="120" w:before="120"/>
      </w:pPr>
      <w:r>
        <w:rPr>
          <w:rFonts w:ascii="Arial" w:cs="Arial" w:eastAsia="Arial" w:hAnsi="Arial"/>
          <w:sz w:val="24"/>
          <w:szCs w:val="24"/>
        </w:rPr>
        <w:t xml:space="preserve">Les frais de mandat sont ramenés à 50% de leur montant actuel. Avec 5 600€ nets, un élu dispose des moyens suffisants pour exercer son mandat dignement.</w:t>
      </w:r>
    </w:p>
    <w:p>
      <w:pPr>
        <w:pStyle w:val="Heading2"/>
        <w:spacing w:after="120" w:before="240"/>
      </w:pPr>
      <w:r>
        <w:rPr>
          <w:rFonts w:ascii="Arial" w:cs="Arial" w:eastAsia="Arial" w:hAnsi="Arial"/>
          <w:b/>
          <w:bCs/>
          <w:sz w:val="28"/>
          <w:szCs w:val="28"/>
        </w:rPr>
        <w:t xml:space="preserve">Buvette de l'Assemblée nationale</w:t>
      </w:r>
    </w:p>
    <w:p>
      <w:pPr>
        <w:spacing w:after="120" w:before="120"/>
      </w:pPr>
      <w:r>
        <w:rPr>
          <w:rFonts w:ascii="Arial" w:cs="Arial" w:eastAsia="Arial" w:hAnsi="Arial"/>
          <w:sz w:val="24"/>
          <w:szCs w:val="24"/>
        </w:rPr>
        <w:t xml:space="preserve">La buvette ne propose plus que de l'eau. La subvention publique à la restauration de l'Assemblée est supprimée totalement.</w:t>
      </w:r>
    </w:p>
    <w:p>
      <w:pPr>
        <w:pStyle w:val="Heading2"/>
        <w:spacing w:after="120" w:before="240"/>
      </w:pPr>
      <w:r>
        <w:rPr>
          <w:rFonts w:ascii="Arial" w:cs="Arial" w:eastAsia="Arial" w:hAnsi="Arial"/>
          <w:b/>
          <w:bCs/>
          <w:sz w:val="28"/>
          <w:szCs w:val="28"/>
        </w:rPr>
        <w:t xml:space="preserve">Suppression de la dotation présidentielle et des avantages matériels</w:t>
      </w:r>
    </w:p>
    <w:p>
      <w:pPr>
        <w:spacing w:after="120" w:before="120"/>
      </w:pPr>
      <w:r>
        <w:rPr>
          <w:rFonts w:ascii="Arial" w:cs="Arial" w:eastAsia="Arial" w:hAnsi="Arial"/>
          <w:sz w:val="24"/>
          <w:szCs w:val="24"/>
        </w:rPr>
        <w:t xml:space="preserve">La dotation présidentielle à vie de 6 000€ bruts mensuels est supprimée totalement, sans exception, sans droit acquis. À la fin du mandat on retourne à la vie civile.</w:t>
      </w:r>
    </w:p>
    <w:p>
      <w:pPr>
        <w:spacing w:after="120" w:before="120"/>
      </w:pPr>
      <w:r>
        <w:rPr>
          <w:rFonts w:ascii="Arial" w:cs="Arial" w:eastAsia="Arial" w:hAnsi="Arial"/>
          <w:i/>
          <w:iCs/>
          <w:sz w:val="24"/>
          <w:szCs w:val="24"/>
        </w:rPr>
        <w:t xml:space="preserve">"Un mandat c'est un emploi temporaire au service de la République. À la fin on retourne à la vie civile."</w:t>
      </w:r>
    </w:p>
    <w:p>
      <w:pPr>
        <w:pStyle w:val="Heading1"/>
        <w:spacing w:after="180" w:before="360"/>
      </w:pPr>
      <w:r>
        <w:rPr>
          <w:rFonts w:ascii="Arial" w:cs="Arial" w:eastAsia="Arial" w:hAnsi="Arial"/>
          <w:b/>
          <w:bCs/>
          <w:sz w:val="32"/>
          <w:szCs w:val="32"/>
        </w:rPr>
        <w:t xml:space="preserve">8, Suppression des départements, rationalisation territoriale</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 xml:space="preserve">Le millefeuille territorial français, commune, intercommunalité, département, région, génère des doublons administratifs coûteux et une confusion des compétences qui nuit à l'efficacité de l'action publique.</w:t>
      </w:r>
    </w:p>
    <w:p>
      <w:pPr>
        <w:pStyle w:val="Heading2"/>
        <w:spacing w:after="120" w:before="240"/>
      </w:pPr>
      <w:r>
        <w:rPr>
          <w:rFonts w:ascii="Arial" w:cs="Arial" w:eastAsia="Arial" w:hAnsi="Arial"/>
          <w:b/>
          <w:bCs/>
          <w:sz w:val="28"/>
          <w:szCs w:val="28"/>
        </w:rPr>
        <w:t xml:space="preserve">Ce qui disparaît</w:t>
      </w:r>
    </w:p>
    <w:p>
      <w:pPr>
        <w:pStyle w:val="ListParagraph"/>
        <w:numPr>
          <w:ilvl w:val="0"/>
          <w:numId w:val="2"/>
        </w:numPr>
        <w:spacing w:after="60" w:before="60"/>
      </w:pPr>
      <w:r>
        <w:rPr>
          <w:rFonts w:ascii="Arial" w:cs="Arial" w:eastAsia="Arial" w:hAnsi="Arial"/>
          <w:sz w:val="24"/>
          <w:szCs w:val="24"/>
        </w:rPr>
        <w:t xml:space="preserve">Le conseil départemental comme institution politique, plus d'élus départementaux, plus d'élections départementales</w:t>
      </w:r>
    </w:p>
    <w:p>
      <w:pPr>
        <w:pStyle w:val="ListParagraph"/>
        <w:numPr>
          <w:ilvl w:val="0"/>
          <w:numId w:val="2"/>
        </w:numPr>
        <w:spacing w:after="60" w:before="60"/>
      </w:pPr>
      <w:r>
        <w:rPr>
          <w:rFonts w:ascii="Arial" w:cs="Arial" w:eastAsia="Arial" w:hAnsi="Arial"/>
          <w:sz w:val="24"/>
          <w:szCs w:val="24"/>
        </w:rPr>
        <w:t xml:space="preserve">La bureaucratie de coordination département-région, une seule chaîne de commande régionale</w:t>
      </w:r>
    </w:p>
    <w:p>
      <w:pPr>
        <w:pStyle w:val="ListParagraph"/>
        <w:numPr>
          <w:ilvl w:val="0"/>
          <w:numId w:val="2"/>
        </w:numPr>
        <w:spacing w:after="60" w:before="60"/>
      </w:pPr>
      <w:r>
        <w:rPr>
          <w:rFonts w:ascii="Arial" w:cs="Arial" w:eastAsia="Arial" w:hAnsi="Arial"/>
          <w:sz w:val="24"/>
          <w:szCs w:val="24"/>
        </w:rPr>
        <w:t xml:space="preserve">Les doublons administratifs entre les deux échelons</w:t>
      </w:r>
    </w:p>
    <w:p>
      <w:pPr>
        <w:pStyle w:val="Heading2"/>
        <w:spacing w:after="120" w:before="240"/>
      </w:pPr>
      <w:r>
        <w:rPr>
          <w:rFonts w:ascii="Arial" w:cs="Arial" w:eastAsia="Arial" w:hAnsi="Arial"/>
          <w:b/>
          <w:bCs/>
          <w:sz w:val="28"/>
          <w:szCs w:val="28"/>
        </w:rPr>
        <w:t xml:space="preserve">Ce que les régions absorbent</w:t>
      </w:r>
    </w:p>
    <w:p>
      <w:pPr>
        <w:spacing w:after="120" w:before="120"/>
      </w:pPr>
      <w:r>
        <w:rPr>
          <w:rFonts w:ascii="Arial" w:cs="Arial" w:eastAsia="Arial" w:hAnsi="Arial"/>
          <w:sz w:val="24"/>
          <w:szCs w:val="24"/>
        </w:rPr>
        <w:t xml:space="preserve">Les compétences essentielles des départements sont transférées aux régions avec un budget calibré au centime :</w:t>
      </w:r>
    </w:p>
    <w:p>
      <w:pPr>
        <w:pStyle w:val="ListParagraph"/>
        <w:numPr>
          <w:ilvl w:val="0"/>
          <w:numId w:val="2"/>
        </w:numPr>
        <w:spacing w:after="60" w:before="60"/>
      </w:pPr>
      <w:r>
        <w:rPr>
          <w:rFonts w:ascii="Arial" w:cs="Arial" w:eastAsia="Arial" w:hAnsi="Arial"/>
          <w:sz w:val="24"/>
          <w:szCs w:val="24"/>
        </w:rPr>
        <w:t xml:space="preserve">Action sociale et médico-sociale, personnes âgées, personnes handicapées, RSA</w:t>
      </w:r>
    </w:p>
    <w:p>
      <w:pPr>
        <w:pStyle w:val="ListParagraph"/>
        <w:numPr>
          <w:ilvl w:val="0"/>
          <w:numId w:val="2"/>
        </w:numPr>
        <w:spacing w:after="60" w:before="60"/>
      </w:pPr>
      <w:r>
        <w:rPr>
          <w:rFonts w:ascii="Arial" w:cs="Arial" w:eastAsia="Arial" w:hAnsi="Arial"/>
          <w:sz w:val="24"/>
          <w:szCs w:val="24"/>
        </w:rPr>
        <w:t xml:space="preserve">Routes départementales, intégrées au réseau routier régional</w:t>
      </w:r>
    </w:p>
    <w:p>
      <w:pPr>
        <w:pStyle w:val="ListParagraph"/>
        <w:numPr>
          <w:ilvl w:val="0"/>
          <w:numId w:val="2"/>
        </w:numPr>
        <w:spacing w:after="60" w:before="60"/>
      </w:pPr>
      <w:r>
        <w:rPr>
          <w:rFonts w:ascii="Arial" w:cs="Arial" w:eastAsia="Arial" w:hAnsi="Arial"/>
          <w:sz w:val="24"/>
          <w:szCs w:val="24"/>
        </w:rPr>
        <w:t xml:space="preserve">Pompiers et sécurité civile, coordination régionale unifiée</w:t>
      </w:r>
    </w:p>
    <w:p>
      <w:pPr>
        <w:pStyle w:val="ListParagraph"/>
        <w:numPr>
          <w:ilvl w:val="0"/>
          <w:numId w:val="2"/>
        </w:numPr>
        <w:spacing w:after="60" w:before="60"/>
      </w:pPr>
      <w:r>
        <w:rPr>
          <w:rFonts w:ascii="Arial" w:cs="Arial" w:eastAsia="Arial" w:hAnsi="Arial"/>
          <w:sz w:val="24"/>
          <w:szCs w:val="24"/>
        </w:rPr>
        <w:t xml:space="preserve">Aménagement du territoire local, cohérence avec la planification régionale</w:t>
      </w:r>
    </w:p>
    <w:p>
      <w:pPr>
        <w:spacing w:after="60" w:before="60"/>
      </w:pPr>
      <w:r>
        <w:t xml:space="preserve"/>
      </w:r>
    </w:p>
    <w:p>
      <w:pPr>
        <w:spacing w:after="120" w:before="120"/>
      </w:pPr>
      <w:r>
        <w:rPr>
          <w:rFonts w:ascii="Arial" w:cs="Arial" w:eastAsia="Arial" w:hAnsi="Arial"/>
          <w:sz w:val="24"/>
          <w:szCs w:val="24"/>
        </w:rPr>
        <w:t xml:space="preserve">Les budgets régionaux sont augmentés proportionnellement aux compétences transférées.</w:t>
      </w:r>
    </w:p>
    <w:p>
      <w:pPr>
        <w:pStyle w:val="Heading2"/>
        <w:spacing w:after="120" w:before="240"/>
      </w:pPr>
      <w:r>
        <w:rPr>
          <w:rFonts w:ascii="Arial" w:cs="Arial" w:eastAsia="Arial" w:hAnsi="Arial"/>
          <w:b/>
          <w:bCs/>
          <w:sz w:val="28"/>
          <w:szCs w:val="28"/>
        </w:rPr>
        <w:t xml:space="preserve">Ce que l'État reprend</w:t>
      </w:r>
    </w:p>
    <w:p>
      <w:pPr>
        <w:pStyle w:val="ListParagraph"/>
        <w:numPr>
          <w:ilvl w:val="0"/>
          <w:numId w:val="2"/>
        </w:numPr>
        <w:spacing w:after="60" w:before="60"/>
      </w:pPr>
      <w:r>
        <w:rPr>
          <w:rFonts w:ascii="Arial" w:cs="Arial" w:eastAsia="Arial" w:hAnsi="Arial"/>
          <w:sz w:val="24"/>
          <w:szCs w:val="24"/>
        </w:rPr>
        <w:t xml:space="preserve">Financement et rénovation des collèges, actuellement à la charge des départements, transférés à l'État</w:t>
      </w:r>
    </w:p>
    <w:p>
      <w:pPr>
        <w:pStyle w:val="ListParagraph"/>
        <w:numPr>
          <w:ilvl w:val="0"/>
          <w:numId w:val="2"/>
        </w:numPr>
        <w:spacing w:after="60" w:before="60"/>
      </w:pPr>
      <w:r>
        <w:rPr>
          <w:rFonts w:ascii="Arial" w:cs="Arial" w:eastAsia="Arial" w:hAnsi="Arial"/>
          <w:sz w:val="24"/>
          <w:szCs w:val="24"/>
        </w:rPr>
        <w:t xml:space="preserve">Les régions contribuent à 20-30% du budget de rénovation des lycées</w:t>
      </w:r>
    </w:p>
    <w:p>
      <w:pPr>
        <w:pStyle w:val="Heading2"/>
        <w:spacing w:after="120" w:before="240"/>
      </w:pPr>
      <w:r>
        <w:rPr>
          <w:rFonts w:ascii="Arial" w:cs="Arial" w:eastAsia="Arial" w:hAnsi="Arial"/>
          <w:b/>
          <w:bCs/>
          <w:sz w:val="28"/>
          <w:szCs w:val="28"/>
        </w:rPr>
        <w:t xml:space="preserve">Plan de reconversion des agents départementaux sur 5 ans</w:t>
      </w:r>
    </w:p>
    <w:p>
      <w:pPr>
        <w:spacing w:after="120" w:before="120"/>
      </w:pPr>
      <w:r>
        <w:rPr>
          <w:rFonts w:ascii="Arial" w:cs="Arial" w:eastAsia="Arial" w:hAnsi="Arial"/>
          <w:sz w:val="24"/>
          <w:szCs w:val="24"/>
        </w:rPr>
        <w:t xml:space="preserve">Il y a environ 400 000 fonctionnaires dans les conseils départementaux. Le plan de reconversion sur 5 ans :</w:t>
      </w:r>
    </w:p>
    <w:p>
      <w:pPr>
        <w:pStyle w:val="ListParagraph"/>
        <w:numPr>
          <w:ilvl w:val="0"/>
          <w:numId w:val="2"/>
        </w:numPr>
        <w:spacing w:after="60" w:before="60"/>
      </w:pPr>
      <w:r>
        <w:rPr>
          <w:rFonts w:ascii="Arial" w:cs="Arial" w:eastAsia="Arial" w:hAnsi="Arial"/>
          <w:sz w:val="24"/>
          <w:szCs w:val="24"/>
        </w:rPr>
        <w:t xml:space="preserve">Recensement des compétences de chaque agent dès l'année 1</w:t>
      </w:r>
    </w:p>
    <w:p>
      <w:pPr>
        <w:pStyle w:val="ListParagraph"/>
        <w:numPr>
          <w:ilvl w:val="0"/>
          <w:numId w:val="2"/>
        </w:numPr>
        <w:spacing w:after="60" w:before="60"/>
      </w:pPr>
      <w:r>
        <w:rPr>
          <w:rFonts w:ascii="Arial" w:cs="Arial" w:eastAsia="Arial" w:hAnsi="Arial"/>
          <w:sz w:val="24"/>
          <w:szCs w:val="24"/>
        </w:rPr>
        <w:t xml:space="preserve">Redéploiement prioritaire vers les métiers en tension, santé, éducation, Housing First</w:t>
      </w:r>
    </w:p>
    <w:p>
      <w:pPr>
        <w:pStyle w:val="ListParagraph"/>
        <w:numPr>
          <w:ilvl w:val="0"/>
          <w:numId w:val="2"/>
        </w:numPr>
        <w:spacing w:after="60" w:before="60"/>
      </w:pPr>
      <w:r>
        <w:rPr>
          <w:rFonts w:ascii="Arial" w:cs="Arial" w:eastAsia="Arial" w:hAnsi="Arial"/>
          <w:sz w:val="24"/>
          <w:szCs w:val="24"/>
        </w:rPr>
        <w:t xml:space="preserve">Formation financée par le FNDR pour ceux dont le profil ne correspond pas directement</w:t>
      </w:r>
    </w:p>
    <w:p>
      <w:pPr>
        <w:pStyle w:val="ListParagraph"/>
        <w:numPr>
          <w:ilvl w:val="0"/>
          <w:numId w:val="2"/>
        </w:numPr>
        <w:spacing w:after="60" w:before="60"/>
      </w:pPr>
      <w:r>
        <w:rPr>
          <w:rFonts w:ascii="Arial" w:cs="Arial" w:eastAsia="Arial" w:hAnsi="Arial"/>
          <w:sz w:val="24"/>
          <w:szCs w:val="24"/>
        </w:rPr>
        <w:t xml:space="preserve">Départs naturels non remplacés, retraites notamment</w:t>
      </w:r>
    </w:p>
    <w:p>
      <w:pPr>
        <w:pStyle w:val="ListParagraph"/>
        <w:numPr>
          <w:ilvl w:val="0"/>
          <w:numId w:val="2"/>
        </w:numPr>
        <w:spacing w:after="60" w:before="60"/>
      </w:pPr>
      <w:r>
        <w:rPr>
          <w:rFonts w:ascii="Arial" w:cs="Arial" w:eastAsia="Arial" w:hAnsi="Arial"/>
          <w:sz w:val="24"/>
          <w:szCs w:val="24"/>
        </w:rPr>
        <w:t xml:space="preserve">Objectif, réduction progressive de 30 à 40% des effectifs sur 5 ans par reconversion et non-remplacement</w:t>
      </w:r>
    </w:p>
    <w:p>
      <w:pPr>
        <w:spacing w:after="60" w:before="60"/>
      </w:pPr>
      <w:r>
        <w:t xml:space="preserve"/>
      </w:r>
    </w:p>
    <w:p>
      <w:pPr>
        <w:spacing w:after="120" w:before="120"/>
      </w:pPr>
      <w:r>
        <w:rPr>
          <w:rFonts w:ascii="Arial" w:cs="Arial" w:eastAsia="Arial" w:hAnsi="Arial"/>
          <w:sz w:val="24"/>
          <w:szCs w:val="24"/>
        </w:rPr>
        <w:t xml:space="preserve">Les économies réalisées sur les effectifs alimentent le Fonds National de Développement Républicain.</w:t>
      </w:r>
    </w:p>
    <w:p>
      <w:pPr>
        <w:pStyle w:val="Heading2"/>
        <w:spacing w:after="120" w:before="240"/>
      </w:pPr>
      <w:r>
        <w:rPr>
          <w:rFonts w:ascii="Arial" w:cs="Arial" w:eastAsia="Arial" w:hAnsi="Arial"/>
          <w:b/>
          <w:bCs/>
          <w:sz w:val="28"/>
          <w:szCs w:val="28"/>
        </w:rPr>
        <w:t xml:space="preserve">Calendrier de transition, 5 ans</w:t>
      </w:r>
    </w:p>
    <w:p>
      <w:pPr>
        <w:pStyle w:val="ListParagraph"/>
        <w:numPr>
          <w:ilvl w:val="0"/>
          <w:numId w:val="2"/>
        </w:numPr>
        <w:spacing w:after="60" w:before="60"/>
      </w:pPr>
      <w:r>
        <w:rPr>
          <w:rFonts w:ascii="Arial" w:cs="Arial" w:eastAsia="Arial" w:hAnsi="Arial"/>
          <w:sz w:val="24"/>
          <w:szCs w:val="24"/>
        </w:rPr>
        <w:t xml:space="preserve">Années 1-2, cadre législatif posé, recensement des compétences et des agents, début des transferts</w:t>
      </w:r>
    </w:p>
    <w:p>
      <w:pPr>
        <w:pStyle w:val="ListParagraph"/>
        <w:numPr>
          <w:ilvl w:val="0"/>
          <w:numId w:val="2"/>
        </w:numPr>
        <w:spacing w:after="60" w:before="60"/>
      </w:pPr>
      <w:r>
        <w:rPr>
          <w:rFonts w:ascii="Arial" w:cs="Arial" w:eastAsia="Arial" w:hAnsi="Arial"/>
          <w:sz w:val="24"/>
          <w:szCs w:val="24"/>
        </w:rPr>
        <w:t xml:space="preserve">Années 3-4, transferts effectifs vers les régions, reconversions en cours</w:t>
      </w:r>
    </w:p>
    <w:p>
      <w:pPr>
        <w:pStyle w:val="ListParagraph"/>
        <w:numPr>
          <w:ilvl w:val="0"/>
          <w:numId w:val="2"/>
        </w:numPr>
        <w:spacing w:after="60" w:before="60"/>
      </w:pPr>
      <w:r>
        <w:rPr>
          <w:rFonts w:ascii="Arial" w:cs="Arial" w:eastAsia="Arial" w:hAnsi="Arial"/>
          <w:sz w:val="24"/>
          <w:szCs w:val="24"/>
        </w:rPr>
        <w:t xml:space="preserve">Année 5, suppression définitive des conseils départementaux, bilan et ajustements</w:t>
      </w:r>
    </w:p>
    <w:p>
      <w:pPr>
        <w:pStyle w:val="Heading1"/>
        <w:spacing w:after="180" w:before="360"/>
      </w:pPr>
      <w:r>
        <w:rPr>
          <w:rFonts w:ascii="Arial" w:cs="Arial" w:eastAsia="Arial" w:hAnsi="Arial"/>
          <w:b/>
          <w:bCs/>
          <w:sz w:val="32"/>
          <w:szCs w:val="32"/>
        </w:rPr>
        <w:t xml:space="preserve">9, Réforme de la justice, principe de dignité</w:t>
      </w:r>
    </w:p>
    <w:p>
      <w:pPr>
        <w:pStyle w:val="ListParagraph"/>
        <w:numPr>
          <w:ilvl w:val="0"/>
          <w:numId w:val="2"/>
        </w:numPr>
        <w:spacing w:after="60" w:before="60"/>
      </w:pPr>
      <w:r>
        <w:rPr>
          <w:rFonts w:ascii="Arial" w:cs="Arial" w:eastAsia="Arial" w:hAnsi="Arial"/>
          <w:sz w:val="24"/>
          <w:szCs w:val="24"/>
        </w:rPr>
        <w:t xml:space="preserve">Création d'un mécanisme d'état de nécessité systématisé</w:t>
      </w:r>
    </w:p>
    <w:p>
      <w:pPr>
        <w:pStyle w:val="ListParagraph"/>
        <w:numPr>
          <w:ilvl w:val="0"/>
          <w:numId w:val="2"/>
        </w:numPr>
        <w:spacing w:after="60" w:before="60"/>
      </w:pPr>
      <w:r>
        <w:rPr>
          <w:rFonts w:ascii="Arial" w:cs="Arial" w:eastAsia="Arial" w:hAnsi="Arial"/>
          <w:sz w:val="24"/>
          <w:szCs w:val="24"/>
        </w:rPr>
        <w:t xml:space="preserve">Première infraction de survie avérée, pas de condamnation, prise en charge sociale immédiate</w:t>
      </w:r>
    </w:p>
    <w:p>
      <w:pPr>
        <w:pStyle w:val="ListParagraph"/>
        <w:numPr>
          <w:ilvl w:val="0"/>
          <w:numId w:val="2"/>
        </w:numPr>
        <w:spacing w:after="60" w:before="60"/>
      </w:pPr>
      <w:r>
        <w:rPr>
          <w:rFonts w:ascii="Arial" w:cs="Arial" w:eastAsia="Arial" w:hAnsi="Arial"/>
          <w:sz w:val="24"/>
          <w:szCs w:val="24"/>
        </w:rPr>
        <w:t xml:space="preserve">Récidive, peine normale appliquée, accompagnement social maintenu</w:t>
      </w:r>
    </w:p>
    <w:p>
      <w:pPr>
        <w:pStyle w:val="ListParagraph"/>
        <w:numPr>
          <w:ilvl w:val="0"/>
          <w:numId w:val="2"/>
        </w:numPr>
        <w:spacing w:after="60" w:before="60"/>
      </w:pPr>
      <w:r>
        <w:rPr>
          <w:rFonts w:ascii="Arial" w:cs="Arial" w:eastAsia="Arial" w:hAnsi="Arial"/>
          <w:sz w:val="24"/>
          <w:szCs w:val="24"/>
        </w:rPr>
        <w:t xml:space="preserve">Fondement : Déclaration des Droits de l'Homme, droit à la décence vitale</w:t>
      </w:r>
    </w:p>
    <w:p>
      <w:pPr>
        <w:pStyle w:val="Heading1"/>
        <w:spacing w:after="180" w:before="360"/>
      </w:pPr>
      <w:r>
        <w:rPr>
          <w:rFonts w:ascii="Arial" w:cs="Arial" w:eastAsia="Arial" w:hAnsi="Arial"/>
          <w:b/>
          <w:bCs/>
          <w:sz w:val="32"/>
          <w:szCs w:val="32"/>
        </w:rPr>
        <w:t xml:space="preserve">10, Réforme du CGCT, modernisation de la démocratie locale</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 xml:space="preserve">Les procédures actuelles créent des inégalités entre élus selon leur situation géographique. La rigidité administrative pénalise les élus éloignés et les communes rurales.</w:t>
      </w:r>
    </w:p>
    <w:p>
      <w:pPr>
        <w:pStyle w:val="Heading2"/>
        <w:spacing w:after="120" w:before="240"/>
      </w:pPr>
      <w:r>
        <w:rPr>
          <w:rFonts w:ascii="Arial" w:cs="Arial" w:eastAsia="Arial" w:hAnsi="Arial"/>
          <w:b/>
          <w:bCs/>
          <w:sz w:val="28"/>
          <w:szCs w:val="28"/>
        </w:rPr>
        <w:t xml:space="preserve">Dématérialisation des pouvoirs municipaux</w:t>
      </w:r>
    </w:p>
    <w:p>
      <w:pPr>
        <w:pStyle w:val="ListParagraph"/>
        <w:numPr>
          <w:ilvl w:val="0"/>
          <w:numId w:val="2"/>
        </w:numPr>
        <w:spacing w:after="60" w:before="60"/>
      </w:pPr>
      <w:r>
        <w:rPr>
          <w:rFonts w:ascii="Arial" w:cs="Arial" w:eastAsia="Arial" w:hAnsi="Arial"/>
          <w:sz w:val="24"/>
          <w:szCs w:val="24"/>
        </w:rPr>
        <w:t xml:space="preserve">Autoriser la signature électronique certifiée via FranceConnect pour les pouvoirs municipaux</w:t>
      </w:r>
    </w:p>
    <w:p>
      <w:pPr>
        <w:pStyle w:val="ListParagraph"/>
        <w:numPr>
          <w:ilvl w:val="0"/>
          <w:numId w:val="2"/>
        </w:numPr>
        <w:spacing w:after="60" w:before="60"/>
      </w:pPr>
      <w:r>
        <w:rPr>
          <w:rFonts w:ascii="Arial" w:cs="Arial" w:eastAsia="Arial" w:hAnsi="Arial"/>
          <w:sz w:val="24"/>
          <w:szCs w:val="24"/>
        </w:rPr>
        <w:t xml:space="preserve">Supprimer l'obligation de signature originale papier</w:t>
      </w:r>
    </w:p>
    <w:p>
      <w:pPr>
        <w:pStyle w:val="Heading2"/>
        <w:spacing w:after="120" w:before="240"/>
      </w:pPr>
      <w:r>
        <w:rPr>
          <w:rFonts w:ascii="Arial" w:cs="Arial" w:eastAsia="Arial" w:hAnsi="Arial"/>
          <w:b/>
          <w:bCs/>
          <w:sz w:val="28"/>
          <w:szCs w:val="28"/>
        </w:rPr>
        <w:t xml:space="preserve">Visioconférence des conseils municipaux, obligation et non option</w:t>
      </w:r>
    </w:p>
    <w:p>
      <w:pPr>
        <w:pStyle w:val="ListParagraph"/>
        <w:numPr>
          <w:ilvl w:val="0"/>
          <w:numId w:val="2"/>
        </w:numPr>
        <w:spacing w:after="60" w:before="60"/>
      </w:pPr>
      <w:r>
        <w:rPr>
          <w:rFonts w:ascii="Arial" w:cs="Arial" w:eastAsia="Arial" w:hAnsi="Arial"/>
          <w:sz w:val="24"/>
          <w:szCs w:val="24"/>
        </w:rPr>
        <w:t xml:space="preserve">Rendre obligatoire la mise en place d'un dispositif de visioconférence pour toute commune ayant des élus éloignés du chef-lieu</w:t>
      </w:r>
    </w:p>
    <w:p>
      <w:pPr>
        <w:pStyle w:val="ListParagraph"/>
        <w:numPr>
          <w:ilvl w:val="0"/>
          <w:numId w:val="2"/>
        </w:numPr>
        <w:spacing w:after="60" w:before="60"/>
      </w:pPr>
      <w:r>
        <w:rPr>
          <w:rFonts w:ascii="Arial" w:cs="Arial" w:eastAsia="Arial" w:hAnsi="Arial"/>
          <w:sz w:val="24"/>
          <w:szCs w:val="24"/>
        </w:rPr>
        <w:t xml:space="preserve">La République ne peut pas conditionner l'exercice d'un mandat électif à la proximité géographique</w:t>
      </w:r>
    </w:p>
    <w:p>
      <w:pPr>
        <w:pStyle w:val="Heading2"/>
        <w:spacing w:after="120" w:before="240"/>
      </w:pPr>
      <w:r>
        <w:rPr>
          <w:rFonts w:ascii="Arial" w:cs="Arial" w:eastAsia="Arial" w:hAnsi="Arial"/>
          <w:b/>
          <w:bCs/>
          <w:sz w:val="28"/>
          <w:szCs w:val="28"/>
        </w:rPr>
        <w:t xml:space="preserve">Indemnisation de transport des élus éloignés, obligation nationale</w:t>
      </w:r>
    </w:p>
    <w:p>
      <w:pPr>
        <w:pStyle w:val="ListParagraph"/>
        <w:numPr>
          <w:ilvl w:val="0"/>
          <w:numId w:val="2"/>
        </w:numPr>
        <w:spacing w:after="60" w:before="60"/>
      </w:pPr>
      <w:r>
        <w:rPr>
          <w:rFonts w:ascii="Arial" w:cs="Arial" w:eastAsia="Arial" w:hAnsi="Arial"/>
          <w:sz w:val="24"/>
          <w:szCs w:val="24"/>
        </w:rPr>
        <w:t xml:space="preserve">Rendre obligatoire le remboursement des frais de transport des élus pour tout déplacement lié à l'exercice de leur mandat</w:t>
      </w:r>
    </w:p>
    <w:p>
      <w:pPr>
        <w:spacing w:after="120" w:before="120"/>
      </w:pPr>
      <w:r>
        <w:rPr>
          <w:rFonts w:ascii="Arial" w:cs="Arial" w:eastAsia="Arial" w:hAnsi="Arial"/>
          <w:i/>
          <w:iCs/>
          <w:sz w:val="24"/>
          <w:szCs w:val="24"/>
        </w:rPr>
        <w:t xml:space="preserve">"Tu ne peux pas prétendre aux grandes valeurs si tu n'es pas prêt à mettre les grands moyens."</w:t>
      </w:r>
    </w:p>
    <w:p>
      <w:pPr>
        <w:pStyle w:val="Heading2"/>
        <w:spacing w:after="120" w:before="240"/>
      </w:pPr>
      <w:r>
        <w:rPr>
          <w:rFonts w:ascii="Arial" w:cs="Arial" w:eastAsia="Arial" w:hAnsi="Arial"/>
          <w:b/>
          <w:bCs/>
          <w:sz w:val="28"/>
          <w:szCs w:val="28"/>
        </w:rPr>
        <w:t xml:space="preserve">Applicable à toutes les échelles</w:t>
      </w:r>
    </w:p>
    <w:p>
      <w:pPr>
        <w:pStyle w:val="ListParagraph"/>
        <w:numPr>
          <w:ilvl w:val="0"/>
          <w:numId w:val="2"/>
        </w:numPr>
        <w:spacing w:after="60" w:before="60"/>
      </w:pPr>
      <w:r>
        <w:rPr>
          <w:rFonts w:ascii="Arial" w:cs="Arial" w:eastAsia="Arial" w:hAnsi="Arial"/>
          <w:sz w:val="24"/>
          <w:szCs w:val="24"/>
        </w:rPr>
        <w:t xml:space="preserve">Commune, le maire et les conseillers municipaux</w:t>
      </w:r>
    </w:p>
    <w:p>
      <w:pPr>
        <w:pStyle w:val="ListParagraph"/>
        <w:numPr>
          <w:ilvl w:val="0"/>
          <w:numId w:val="2"/>
        </w:numPr>
        <w:spacing w:after="60" w:before="60"/>
      </w:pPr>
      <w:r>
        <w:rPr>
          <w:rFonts w:ascii="Arial" w:cs="Arial" w:eastAsia="Arial" w:hAnsi="Arial"/>
          <w:sz w:val="24"/>
          <w:szCs w:val="24"/>
        </w:rPr>
        <w:t xml:space="preserve">Intercommunalité, la CDC et ses élus</w:t>
      </w:r>
    </w:p>
    <w:p>
      <w:pPr>
        <w:pStyle w:val="ListParagraph"/>
        <w:numPr>
          <w:ilvl w:val="0"/>
          <w:numId w:val="2"/>
        </w:numPr>
        <w:spacing w:after="60" w:before="60"/>
      </w:pPr>
      <w:r>
        <w:rPr>
          <w:rFonts w:ascii="Arial" w:cs="Arial" w:eastAsia="Arial" w:hAnsi="Arial"/>
          <w:sz w:val="24"/>
          <w:szCs w:val="24"/>
        </w:rPr>
        <w:t xml:space="preserve">Région, les conseillers régionaux</w:t>
      </w:r>
    </w:p>
    <w:p>
      <w:pPr>
        <w:pStyle w:val="ListParagraph"/>
        <w:numPr>
          <w:ilvl w:val="0"/>
          <w:numId w:val="2"/>
        </w:numPr>
        <w:spacing w:after="60" w:before="60"/>
      </w:pPr>
      <w:r>
        <w:rPr>
          <w:rFonts w:ascii="Arial" w:cs="Arial" w:eastAsia="Arial" w:hAnsi="Arial"/>
          <w:sz w:val="24"/>
          <w:szCs w:val="24"/>
        </w:rPr>
        <w:t xml:space="preserve">National, députés, sénateurs, ministres, président</w:t>
      </w:r>
    </w:p>
    <w:p>
      <w:pPr>
        <w:pStyle w:val="Heading2"/>
        <w:spacing w:after="120" w:before="240"/>
      </w:pPr>
      <w:r>
        <w:rPr>
          <w:rFonts w:ascii="Arial" w:cs="Arial" w:eastAsia="Arial" w:hAnsi="Arial"/>
          <w:b/>
          <w:bCs/>
          <w:sz w:val="28"/>
          <w:szCs w:val="28"/>
        </w:rPr>
        <w:t xml:space="preserve">Ce que ça implique concrètement</w:t>
      </w:r>
    </w:p>
    <w:p>
      <w:pPr>
        <w:pStyle w:val="ListParagraph"/>
        <w:numPr>
          <w:ilvl w:val="0"/>
          <w:numId w:val="2"/>
        </w:numPr>
        <w:spacing w:after="60" w:before="60"/>
      </w:pPr>
      <w:r>
        <w:rPr>
          <w:rFonts w:ascii="Arial" w:cs="Arial" w:eastAsia="Arial" w:hAnsi="Arial"/>
          <w:sz w:val="24"/>
          <w:szCs w:val="24"/>
        </w:rPr>
        <w:t xml:space="preserve">Évaluation régulière et publique des élus sur leurs engagements de campagne</w:t>
      </w:r>
    </w:p>
    <w:p>
      <w:pPr>
        <w:pStyle w:val="ListParagraph"/>
        <w:numPr>
          <w:ilvl w:val="0"/>
          <w:numId w:val="2"/>
        </w:numPr>
        <w:spacing w:after="60" w:before="60"/>
      </w:pPr>
      <w:r>
        <w:rPr>
          <w:rFonts w:ascii="Arial" w:cs="Arial" w:eastAsia="Arial" w:hAnsi="Arial"/>
          <w:sz w:val="24"/>
          <w:szCs w:val="24"/>
        </w:rPr>
        <w:t xml:space="preserve">Transparence des actes et des votes, pas de communication sans substance derrière</w:t>
      </w:r>
    </w:p>
    <w:p>
      <w:pPr>
        <w:pStyle w:val="ListParagraph"/>
        <w:numPr>
          <w:ilvl w:val="0"/>
          <w:numId w:val="2"/>
        </w:numPr>
        <w:spacing w:after="60" w:before="60"/>
      </w:pPr>
      <w:r>
        <w:rPr>
          <w:rFonts w:ascii="Arial" w:cs="Arial" w:eastAsia="Arial" w:hAnsi="Arial"/>
          <w:sz w:val="24"/>
          <w:szCs w:val="24"/>
        </w:rPr>
        <w:t xml:space="preserve">La présence médiatique ne remplace pas l'action législative ou exécutive</w:t>
      </w:r>
    </w:p>
    <w:p>
      <w:pPr>
        <w:spacing w:after="120" w:before="120"/>
      </w:pPr>
      <w:r>
        <w:rPr>
          <w:rFonts w:ascii="Arial" w:cs="Arial" w:eastAsia="Arial" w:hAnsi="Arial"/>
          <w:i/>
          <w:iCs/>
          <w:sz w:val="24"/>
          <w:szCs w:val="24"/>
        </w:rPr>
        <w:t xml:space="preserve">"Nous écrivons aujourd'hui ce que nous ferons demain pour que vous puissiez nous juger après."</w:t>
      </w:r>
    </w:p>
    <w:p>
      <w:pPr>
        <w:pStyle w:val="Heading1"/>
        <w:spacing w:after="180" w:before="360"/>
      </w:pPr>
      <w:r>
        <w:rPr>
          <w:rFonts w:ascii="Arial" w:cs="Arial" w:eastAsia="Arial" w:hAnsi="Arial"/>
          <w:b/>
          <w:bCs/>
          <w:sz w:val="32"/>
          <w:szCs w:val="32"/>
        </w:rPr>
        <w:t xml:space="preserve">11, Fin de la censure des visages pour crimes graves</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 xml:space="preserve">Aujourd'hui les médias censurent systématiquement les visages des personnes mises en cause ou condamnées pour les crimes les plus graves. Après une condamnation définitive, cette censure devient une protection accordée à des personnes qui ont délibérément choisi de commettre des actes contre d'autres.</w:t>
      </w:r>
    </w:p>
    <w:p>
      <w:pPr>
        <w:spacing w:after="120" w:before="120"/>
      </w:pPr>
      <w:r>
        <w:rPr>
          <w:rFonts w:ascii="Arial" w:cs="Arial" w:eastAsia="Arial" w:hAnsi="Arial"/>
          <w:i/>
          <w:iCs/>
          <w:sz w:val="24"/>
          <w:szCs w:val="24"/>
        </w:rPr>
        <w:t xml:space="preserve">"On protège les victimes, pas les bourreaux."</w:t>
      </w:r>
    </w:p>
    <w:p>
      <w:pPr>
        <w:pStyle w:val="Heading2"/>
        <w:spacing w:after="120" w:before="240"/>
      </w:pPr>
      <w:r>
        <w:rPr>
          <w:rFonts w:ascii="Arial" w:cs="Arial" w:eastAsia="Arial" w:hAnsi="Arial"/>
          <w:b/>
          <w:bCs/>
          <w:sz w:val="28"/>
          <w:szCs w:val="28"/>
        </w:rPr>
        <w:t xml:space="preserve">La mesure LFP</w:t>
      </w:r>
    </w:p>
    <w:p>
      <w:pPr>
        <w:spacing w:after="120" w:before="120"/>
      </w:pPr>
      <w:r>
        <w:rPr>
          <w:rFonts w:ascii="Arial" w:cs="Arial" w:eastAsia="Arial" w:hAnsi="Arial"/>
          <w:sz w:val="24"/>
          <w:szCs w:val="24"/>
        </w:rPr>
        <w:t xml:space="preserve">Fin de la censure des visages pour les condamnés définitifs pour crimes graves. La condamnation définitive met fin à la présomption d'innocence et donc à la protection de l'identité.</w:t>
      </w:r>
    </w:p>
    <w:p>
      <w:pPr>
        <w:pStyle w:val="Heading2"/>
        <w:spacing w:after="120" w:before="240"/>
      </w:pPr>
      <w:r>
        <w:rPr>
          <w:rFonts w:ascii="Arial" w:cs="Arial" w:eastAsia="Arial" w:hAnsi="Arial"/>
          <w:b/>
          <w:bCs/>
          <w:sz w:val="28"/>
          <w:szCs w:val="28"/>
        </w:rPr>
        <w:t xml:space="preserve">Applicable à</w:t>
      </w:r>
    </w:p>
    <w:p>
      <w:pPr>
        <w:pStyle w:val="ListParagraph"/>
        <w:numPr>
          <w:ilvl w:val="0"/>
          <w:numId w:val="2"/>
        </w:numPr>
        <w:spacing w:after="60" w:before="60"/>
      </w:pPr>
      <w:r>
        <w:rPr>
          <w:rFonts w:ascii="Arial" w:cs="Arial" w:eastAsia="Arial" w:hAnsi="Arial"/>
          <w:sz w:val="24"/>
          <w:szCs w:val="24"/>
        </w:rPr>
        <w:t xml:space="preserve">Viol et agressions sexuelles graves</w:t>
      </w:r>
    </w:p>
    <w:p>
      <w:pPr>
        <w:pStyle w:val="ListParagraph"/>
        <w:numPr>
          <w:ilvl w:val="0"/>
          <w:numId w:val="2"/>
        </w:numPr>
        <w:spacing w:after="60" w:before="60"/>
      </w:pPr>
      <w:r>
        <w:rPr>
          <w:rFonts w:ascii="Arial" w:cs="Arial" w:eastAsia="Arial" w:hAnsi="Arial"/>
          <w:sz w:val="24"/>
          <w:szCs w:val="24"/>
        </w:rPr>
        <w:t xml:space="preserve">Meurtre et assassinat</w:t>
      </w:r>
    </w:p>
    <w:p>
      <w:pPr>
        <w:pStyle w:val="ListParagraph"/>
        <w:numPr>
          <w:ilvl w:val="0"/>
          <w:numId w:val="2"/>
        </w:numPr>
        <w:spacing w:after="60" w:before="60"/>
      </w:pPr>
      <w:r>
        <w:rPr>
          <w:rFonts w:ascii="Arial" w:cs="Arial" w:eastAsia="Arial" w:hAnsi="Arial"/>
          <w:sz w:val="24"/>
          <w:szCs w:val="24"/>
        </w:rPr>
        <w:t xml:space="preserve">Pédocriminalité, production, diffusion, détention de contenus pédopornographiques, agressions sexuelles sur mineurs</w:t>
      </w:r>
    </w:p>
    <w:p>
      <w:pPr>
        <w:pStyle w:val="ListParagraph"/>
        <w:numPr>
          <w:ilvl w:val="0"/>
          <w:numId w:val="2"/>
        </w:numPr>
        <w:spacing w:after="60" w:before="60"/>
      </w:pPr>
      <w:r>
        <w:rPr>
          <w:rFonts w:ascii="Arial" w:cs="Arial" w:eastAsia="Arial" w:hAnsi="Arial"/>
          <w:sz w:val="24"/>
          <w:szCs w:val="24"/>
        </w:rPr>
        <w:t xml:space="preserve">Actes terroristes</w:t>
      </w:r>
    </w:p>
    <w:p>
      <w:pPr>
        <w:pStyle w:val="Heading2"/>
        <w:spacing w:after="120" w:before="240"/>
      </w:pPr>
      <w:r>
        <w:rPr>
          <w:rFonts w:ascii="Arial" w:cs="Arial" w:eastAsia="Arial" w:hAnsi="Arial"/>
          <w:b/>
          <w:bCs/>
          <w:sz w:val="28"/>
          <w:szCs w:val="28"/>
        </w:rPr>
        <w:t xml:space="preserve">Non applicable à</w:t>
      </w:r>
    </w:p>
    <w:p>
      <w:pPr>
        <w:pStyle w:val="ListParagraph"/>
        <w:numPr>
          <w:ilvl w:val="0"/>
          <w:numId w:val="2"/>
        </w:numPr>
        <w:spacing w:after="60" w:before="60"/>
      </w:pPr>
      <w:r>
        <w:rPr>
          <w:rFonts w:ascii="Arial" w:cs="Arial" w:eastAsia="Arial" w:hAnsi="Arial"/>
          <w:sz w:val="24"/>
          <w:szCs w:val="24"/>
        </w:rPr>
        <w:t xml:space="preserve">Mineurs condamnés, quelle que soit la gravité du crime</w:t>
      </w:r>
    </w:p>
    <w:p>
      <w:pPr>
        <w:pStyle w:val="ListParagraph"/>
        <w:numPr>
          <w:ilvl w:val="0"/>
          <w:numId w:val="2"/>
        </w:numPr>
        <w:spacing w:after="60" w:before="60"/>
      </w:pPr>
      <w:r>
        <w:rPr>
          <w:rFonts w:ascii="Arial" w:cs="Arial" w:eastAsia="Arial" w:hAnsi="Arial"/>
          <w:sz w:val="24"/>
          <w:szCs w:val="24"/>
        </w:rPr>
        <w:t xml:space="preserve">Délits, uniquement les crimes</w:t>
      </w:r>
    </w:p>
    <w:p>
      <w:pPr>
        <w:pStyle w:val="ListParagraph"/>
        <w:numPr>
          <w:ilvl w:val="0"/>
          <w:numId w:val="2"/>
        </w:numPr>
        <w:spacing w:after="60" w:before="60"/>
      </w:pPr>
      <w:r>
        <w:rPr>
          <w:rFonts w:ascii="Arial" w:cs="Arial" w:eastAsia="Arial" w:hAnsi="Arial"/>
          <w:sz w:val="24"/>
          <w:szCs w:val="24"/>
        </w:rPr>
        <w:t xml:space="preserve">Mis en cause et accusés, la présomption d'innocence est pleinement respectée jusqu'à la condamnation définitive</w:t>
      </w:r>
    </w:p>
    <w:p>
      <w:pPr>
        <w:pStyle w:val="Heading2"/>
        <w:spacing w:after="120" w:before="240"/>
      </w:pPr>
      <w:r>
        <w:rPr>
          <w:rFonts w:ascii="Arial" w:cs="Arial" w:eastAsia="Arial" w:hAnsi="Arial"/>
          <w:b/>
          <w:bCs/>
          <w:sz w:val="28"/>
          <w:szCs w:val="28"/>
        </w:rPr>
        <w:t xml:space="preserve">Protection physique renforcée</w:t>
      </w:r>
    </w:p>
    <w:p>
      <w:pPr>
        <w:spacing w:after="120" w:before="120"/>
      </w:pPr>
      <w:r>
        <w:rPr>
          <w:rFonts w:ascii="Arial" w:cs="Arial" w:eastAsia="Arial" w:hAnsi="Arial"/>
          <w:sz w:val="24"/>
          <w:szCs w:val="24"/>
        </w:rPr>
        <w:t xml:space="preserve">La fin de la censure n'implique pas l'abandon de la protection physique. L'État garantit l'intégrité physique du condamné dans la durée de sa peine. On distingue clairement la protection de l'identité, supprimée après condamnation définitive, et la protection physique de la personne, maintenue en toutes circonstances.</w:t>
      </w:r>
    </w:p>
    <w:p>
      <w:pPr>
        <w:pStyle w:val="Heading1"/>
        <w:spacing w:after="180" w:before="360"/>
      </w:pPr>
      <w:r>
        <w:rPr>
          <w:rFonts w:ascii="Arial" w:cs="Arial" w:eastAsia="Arial" w:hAnsi="Arial"/>
          <w:b/>
          <w:bCs/>
          <w:sz w:val="32"/>
          <w:szCs w:val="32"/>
        </w:rPr>
        <w:t xml:space="preserve">12, Protection des enfants dans les institutions, lutte contre la pédocriminalité</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 xml:space="preserve">Des reportages documentés révèlent des cas de pédocriminalité en milieu scolaire. La protection des enfants dans les institutions qui les accueillent est une responsabilité absolue de la République.</w:t>
      </w:r>
    </w:p>
    <w:p>
      <w:pPr>
        <w:pStyle w:val="Heading2"/>
        <w:spacing w:after="120" w:before="240"/>
      </w:pPr>
      <w:r>
        <w:rPr>
          <w:rFonts w:ascii="Arial" w:cs="Arial" w:eastAsia="Arial" w:hAnsi="Arial"/>
          <w:b/>
          <w:bCs/>
          <w:sz w:val="28"/>
          <w:szCs w:val="28"/>
        </w:rPr>
        <w:t xml:space="preserve">Mesures</w:t>
      </w:r>
    </w:p>
    <w:p>
      <w:pPr>
        <w:pStyle w:val="ListParagraph"/>
        <w:numPr>
          <w:ilvl w:val="0"/>
          <w:numId w:val="2"/>
        </w:numPr>
        <w:spacing w:after="60" w:before="60"/>
      </w:pPr>
      <w:r>
        <w:rPr>
          <w:rFonts w:ascii="Arial" w:cs="Arial" w:eastAsia="Arial" w:hAnsi="Arial"/>
          <w:sz w:val="24"/>
          <w:szCs w:val="24"/>
        </w:rPr>
        <w:t xml:space="preserve">Enquêtes de moralité renforcées pour tous les personnels en contact avec des enfants, enseignants, ATSEM, animateurs, encadrants sportifs</w:t>
      </w:r>
    </w:p>
    <w:p>
      <w:pPr>
        <w:pStyle w:val="ListParagraph"/>
        <w:numPr>
          <w:ilvl w:val="0"/>
          <w:numId w:val="2"/>
        </w:numPr>
        <w:spacing w:after="60" w:before="60"/>
      </w:pPr>
      <w:r>
        <w:rPr>
          <w:rFonts w:ascii="Arial" w:cs="Arial" w:eastAsia="Arial" w:hAnsi="Arial"/>
          <w:sz w:val="24"/>
          <w:szCs w:val="24"/>
        </w:rPr>
        <w:t xml:space="preserve">Formation obligatoire de tous les personnels scolaires à la détection des signes de maltraitance et aux protocoles de signalement</w:t>
      </w:r>
    </w:p>
    <w:p>
      <w:pPr>
        <w:pStyle w:val="ListParagraph"/>
        <w:numPr>
          <w:ilvl w:val="0"/>
          <w:numId w:val="2"/>
        </w:numPr>
        <w:spacing w:after="60" w:before="60"/>
      </w:pPr>
      <w:r>
        <w:rPr>
          <w:rFonts w:ascii="Arial" w:cs="Arial" w:eastAsia="Arial" w:hAnsi="Arial"/>
          <w:sz w:val="24"/>
          <w:szCs w:val="24"/>
        </w:rPr>
        <w:t xml:space="preserve">Protocoles de signalement clairs, obligatoires et tracés, tout personnel ayant un doute a l'obligation de signaler</w:t>
      </w:r>
    </w:p>
    <w:p>
      <w:pPr>
        <w:pStyle w:val="ListParagraph"/>
        <w:numPr>
          <w:ilvl w:val="0"/>
          <w:numId w:val="2"/>
        </w:numPr>
        <w:spacing w:after="60" w:before="60"/>
      </w:pPr>
      <w:r>
        <w:rPr>
          <w:rFonts w:ascii="Arial" w:cs="Arial" w:eastAsia="Arial" w:hAnsi="Arial"/>
          <w:sz w:val="24"/>
          <w:szCs w:val="24"/>
        </w:rPr>
        <w:t xml:space="preserve">Protection des lanceurs d'alerte scolaires, tout personnel qui signale des faits est protégé contre les représailles</w:t>
      </w:r>
    </w:p>
    <w:p>
      <w:pPr>
        <w:pStyle w:val="ListParagraph"/>
        <w:numPr>
          <w:ilvl w:val="0"/>
          <w:numId w:val="2"/>
        </w:numPr>
        <w:spacing w:after="60" w:before="60"/>
      </w:pPr>
      <w:r>
        <w:rPr>
          <w:rFonts w:ascii="Arial" w:cs="Arial" w:eastAsia="Arial" w:hAnsi="Arial"/>
          <w:sz w:val="24"/>
          <w:szCs w:val="24"/>
        </w:rPr>
        <w:t xml:space="preserve">Suppression définitive des formations contractuelles au rabais, on ne devient pas enseignant en un jour</w:t>
      </w:r>
    </w:p>
    <w:p>
      <w:pPr>
        <w:pStyle w:val="ListParagraph"/>
        <w:numPr>
          <w:ilvl w:val="0"/>
          <w:numId w:val="2"/>
        </w:numPr>
        <w:spacing w:after="60" w:before="60"/>
      </w:pPr>
      <w:r>
        <w:rPr>
          <w:rFonts w:ascii="Arial" w:cs="Arial" w:eastAsia="Arial" w:hAnsi="Arial"/>
          <w:sz w:val="24"/>
          <w:szCs w:val="24"/>
        </w:rPr>
        <w:t xml:space="preserve">Sanctions incompressibles pour pédocriminalité commise par un personnel éducatif, aggravation de la peine de base</w:t>
      </w:r>
    </w:p>
    <w:p>
      <w:pPr>
        <w:spacing w:after="120" w:before="120"/>
      </w:pPr>
      <w:r>
        <w:rPr>
          <w:rFonts w:ascii="Arial" w:cs="Arial" w:eastAsia="Arial" w:hAnsi="Arial"/>
          <w:i/>
          <w:iCs/>
          <w:sz w:val="24"/>
          <w:szCs w:val="24"/>
        </w:rPr>
        <w:t xml:space="preserve">"Un enfant qui entre à l'école doit pouvoir en ressortir intact. C'est la responsabilité minimale que la République doit garantir."</w:t>
      </w:r>
    </w:p>
    <w:p>
      <w:pPr>
        <w:pStyle w:val="Heading1"/>
        <w:spacing w:after="180" w:before="360"/>
      </w:pPr>
      <w:r>
        <w:rPr>
          <w:rFonts w:ascii="Arial" w:cs="Arial" w:eastAsia="Arial" w:hAnsi="Arial"/>
          <w:b/>
          <w:bCs/>
          <w:sz w:val="32"/>
          <w:szCs w:val="32"/>
        </w:rPr>
        <w:t xml:space="preserve">13, Réforme du gouvernement, 10 ministères et parité légale</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 xml:space="preserve">Le gouvernement français compte régulièrement entre 30 et 45 ministres selon les périodes, avec des périmètres flous et des secrétariats d'État créés comme instruments de récompense politique. Sur la parité, elle n'existe pas comme obligation légale dans la composition du gouvernement.</w:t>
      </w:r>
    </w:p>
    <w:p>
      <w:pPr>
        <w:pStyle w:val="Heading2"/>
        <w:spacing w:after="120" w:before="240"/>
      </w:pPr>
      <w:r>
        <w:rPr>
          <w:rFonts w:ascii="Arial" w:cs="Arial" w:eastAsia="Arial" w:hAnsi="Arial"/>
          <w:b/>
          <w:bCs/>
          <w:sz w:val="28"/>
          <w:szCs w:val="28"/>
        </w:rPr>
        <w:t xml:space="preserve">10 ministères maximum, périmètres clairs et cohérents</w:t>
      </w:r>
    </w:p>
    <w:p>
      <w:pPr>
        <w:spacing w:after="120" w:before="120"/>
      </w:pPr>
      <w:r>
        <w:rPr>
          <w:rFonts w:ascii="Arial" w:cs="Arial" w:eastAsia="Arial" w:hAnsi="Arial"/>
          <w:sz w:val="24"/>
          <w:szCs w:val="24"/>
        </w:rPr>
        <w:t xml:space="preserve">Les LFP fixent à 10 le nombre maximum de ministères, avec des périmètres larges, cohérents et stables. Les secrétariats d'État sont supprimés comme instruments de récompense politique. Des directeurs généraux nommés par les ministres assurent les fonctions spécialisées.</w:t>
      </w:r>
    </w:p>
    <w:p>
      <w:pPr>
        <w:pStyle w:val="Heading2"/>
        <w:spacing w:after="120" w:before="240"/>
      </w:pPr>
      <w:r>
        <w:rPr>
          <w:rFonts w:ascii="Arial" w:cs="Arial" w:eastAsia="Arial" w:hAnsi="Arial"/>
          <w:b/>
          <w:bCs/>
          <w:sz w:val="28"/>
          <w:szCs w:val="28"/>
        </w:rPr>
        <w:t xml:space="preserve">Parité gouvernementale, première obligation légale en France</w:t>
      </w:r>
    </w:p>
    <w:p>
      <w:pPr>
        <w:spacing w:after="120" w:before="120"/>
      </w:pPr>
      <w:r>
        <w:rPr>
          <w:rFonts w:ascii="Arial" w:cs="Arial" w:eastAsia="Arial" w:hAnsi="Arial"/>
          <w:sz w:val="24"/>
          <w:szCs w:val="24"/>
        </w:rPr>
        <w:t xml:space="preserve">La parité dans la composition du gouvernement n'existe pas comme obligation légale en France. Les LFP en font la première obligation légale de ce type dans l'histoire de la République française.</w:t>
      </w:r>
    </w:p>
    <w:p>
      <w:pPr>
        <w:pStyle w:val="ListParagraph"/>
        <w:numPr>
          <w:ilvl w:val="0"/>
          <w:numId w:val="2"/>
        </w:numPr>
        <w:spacing w:after="60" w:before="60"/>
      </w:pPr>
      <w:r>
        <w:rPr>
          <w:rFonts w:ascii="Arial" w:cs="Arial" w:eastAsia="Arial" w:hAnsi="Arial"/>
          <w:sz w:val="24"/>
          <w:szCs w:val="24"/>
        </w:rPr>
        <w:t xml:space="preserve">Avec 10 ministères, la parité est mathématiquement simple : 5 femmes et 5 hommes</w:t>
      </w:r>
    </w:p>
    <w:p>
      <w:pPr>
        <w:pStyle w:val="ListParagraph"/>
        <w:numPr>
          <w:ilvl w:val="0"/>
          <w:numId w:val="2"/>
        </w:numPr>
        <w:spacing w:after="60" w:before="60"/>
      </w:pPr>
      <w:r>
        <w:rPr>
          <w:rFonts w:ascii="Arial" w:cs="Arial" w:eastAsia="Arial" w:hAnsi="Arial"/>
          <w:sz w:val="24"/>
          <w:szCs w:val="24"/>
        </w:rPr>
        <w:t xml:space="preserve">Obligation légale : tout gouvernement doit compter autant de femmes que d'hommes parmi ses ministres</w:t>
      </w:r>
    </w:p>
    <w:p>
      <w:pPr>
        <w:pStyle w:val="ListParagraph"/>
        <w:numPr>
          <w:ilvl w:val="0"/>
          <w:numId w:val="2"/>
        </w:numPr>
        <w:spacing w:after="60" w:before="60"/>
      </w:pPr>
      <w:r>
        <w:rPr>
          <w:rFonts w:ascii="Arial" w:cs="Arial" w:eastAsia="Arial" w:hAnsi="Arial"/>
          <w:sz w:val="24"/>
          <w:szCs w:val="24"/>
        </w:rPr>
        <w:t xml:space="preserve">C'est aux partis de recruter des femmes compétentes, l'argument 'on ne trouve pas de candidates' est irrecevable</w:t>
      </w:r>
    </w:p>
    <w:p>
      <w:pPr>
        <w:pStyle w:val="ListParagraph"/>
        <w:numPr>
          <w:ilvl w:val="0"/>
          <w:numId w:val="2"/>
        </w:numPr>
        <w:spacing w:after="60" w:before="60"/>
      </w:pPr>
      <w:r>
        <w:rPr>
          <w:rFonts w:ascii="Arial" w:cs="Arial" w:eastAsia="Arial" w:hAnsi="Arial"/>
          <w:sz w:val="24"/>
          <w:szCs w:val="24"/>
        </w:rPr>
        <w:t xml:space="preserve">La parité n'est pas un quota discriminatoire, c'est un outil correctif face à des décennies d'invisibilisation structurelle</w:t>
      </w:r>
    </w:p>
    <w:p>
      <w:pPr>
        <w:pStyle w:val="ListParagraph"/>
        <w:numPr>
          <w:ilvl w:val="0"/>
          <w:numId w:val="2"/>
        </w:numPr>
        <w:spacing w:after="60" w:before="60"/>
      </w:pPr>
      <w:r>
        <w:rPr>
          <w:rFonts w:ascii="Arial" w:cs="Arial" w:eastAsia="Arial" w:hAnsi="Arial"/>
          <w:sz w:val="24"/>
          <w:szCs w:val="24"/>
        </w:rPr>
        <w:t xml:space="preserve">Sanction en cas de non-respect : le gouvernement ne peut pas être investi par l'Assemblée nationale si la parité n'est pas respectée</w:t>
      </w:r>
    </w:p>
    <w:p>
      <w:pPr>
        <w:spacing w:after="120" w:before="120"/>
      </w:pPr>
      <w:r>
        <w:rPr>
          <w:rFonts w:ascii="Arial" w:cs="Arial" w:eastAsia="Arial" w:hAnsi="Arial"/>
          <w:i/>
          <w:iCs/>
          <w:sz w:val="24"/>
          <w:szCs w:val="24"/>
        </w:rPr>
        <w:t xml:space="preserve">"On ne crée pas l'égalité en ignorant les inégalités structurelles, on la crée en les corrigeant par la règle."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2026-06-28T19:31:44.606Z</dcterms:created>
  <dcterms:modified xsi:type="dcterms:W3CDTF">2026-06-28T19:31:44.616Z</dcterms:modified>
</cp:coreProperties>
</file>

<file path=docProps/custom.xml><?xml version="1.0" encoding="utf-8"?>
<Properties xmlns="http://schemas.openxmlformats.org/officeDocument/2006/custom-properties" xmlns:vt="http://schemas.openxmlformats.org/officeDocument/2006/docPropsVTypes"/>
</file>