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THÉMATIQUE, ÉDUCATION</w:t>
      </w:r>
    </w:p>
    <w:bookmarkStart w:id="20" w:name="constat-général"/>
    <w:p>
      <w:pPr>
        <w:pStyle w:val="Heading1"/>
      </w:pPr>
      <w:r>
        <w:rPr>
          <w:bCs/>
          <w:b/>
        </w:rPr>
        <w:t xml:space="preserve">Constat général</w:t>
      </w:r>
    </w:p>
    <w:p>
      <w:pPr>
        <w:pStyle w:val="FirstParagraph"/>
      </w:pPr>
      <w:r>
        <w:t xml:space="preserve">Depuis quelques années au sein de l’éducation, nous observons une fragilité qui se traduit par un affaiblissement du niveau scolaire en particulier dans les matières fondamentales que sont le français et les mathématiques.</w:t>
      </w:r>
    </w:p>
    <w:p>
      <w:pPr>
        <w:pStyle w:val="BodyText"/>
      </w:pPr>
      <w:r>
        <w:t xml:space="preserve">Dans une conception plus générale c’est un désintéressement scolaire globalisé auquel nous faisons face. L’action est urgente. Dans un premier temps il est important de rappeler aux parents qu’ils ont pour charge d’éduquer leurs enfants, leur donner des limites, un cadre, car bien souvent ces mêmes parents estiment que c’est le rôle de la nourrice ou de l’école. Mais en réalité, il y a méprise sur le sens du mot : la nourrice comme l’école éduquent uniquement dans le sens de l’élévation des consciences, soit donner des connaissances et des grilles de lecture pour appréhender le monde. À l’avenir l’école devra former nos enfants à la vie d’adulte : gestion des impôts, indépendance…</w:t>
      </w:r>
    </w:p>
    <w:p>
      <w:pPr>
        <w:pStyle w:val="BodyText"/>
      </w:pPr>
      <w:r>
        <w:t xml:space="preserve">Face à l’aplanissement de l’esprit critique qui se répercute sur nos enfants, nous devons :</w:t>
      </w:r>
    </w:p>
    <w:p>
      <w:pPr>
        <w:ind w:left="720" w:hanging="360"/>
      </w:pPr>
      <w:r>
        <w:t xml:space="preserve">• Relever le niveau et former de vrais intellectuels</w:t>
      </w:r>
    </w:p>
    <w:p>
      <w:pPr>
        <w:ind w:left="720" w:hanging="360"/>
      </w:pPr>
      <w:r>
        <w:t xml:space="preserve">• Investir dans la recherche et développement pour diversifier les emplois et leur offrir un débouché</w:t>
      </w:r>
    </w:p>
    <w:p>
      <w:pPr>
        <w:ind w:left="720" w:hanging="360"/>
      </w:pPr>
      <w:r>
        <w:t xml:space="preserve">• L’éducation est la base d’une démocratie et la formation permet de contrer les biais médiatiques</w:t>
      </w:r>
    </w:p>
    <w:p>
      <w:pPr>
        <w:ind w:left="720" w:hanging="360"/>
      </w:pPr>
      <w:r>
        <w:t xml:space="preserve">• La fenêtre d’Overton doit être déplacée et le concept de famille redéfini</w:t>
      </w:r>
    </w:p>
    <w:p>
      <w:pPr>
        <w:pStyle w:val="FirstParagraph"/>
      </w:pPr>
      <w:r>
        <w:t xml:space="preserve">L’école française uniformise et abandonne les hors-système, de plus en plus nombreux. Elle recherche la praticité sans prendre en compte les difficultés individuelles. Manque de suivi, manque de stimulation dans l’enfance, inégalités de départ non comblées.</w:t>
      </w:r>
    </w:p>
    <w:p>
      <w:pPr>
        <w:pStyle w:val="BodyText"/>
      </w:pPr>
      <w:r>
        <w:rPr>
          <w:iCs/>
          <w:i/>
        </w:rPr>
        <w:t xml:space="preserve">« L’école ne doit plus former pour trier, elle doit élever pour émanciper. »</w:t>
      </w:r>
    </w:p>
    <w:p>
      <w:pPr>
        <w:pStyle w:val="BodyText"/>
      </w:pPr>
      <w:r>
        <w:t xml:space="preserve">L’école comme tremplin vers une vie digne pour tous.</w:t>
      </w:r>
    </w:p>
    <w:bookmarkEnd w:id="20"/>
    <w:bookmarkStart w:id="21" w:name="propositions"/>
    <w:p>
      <w:pPr>
        <w:pStyle w:val="Heading1"/>
      </w:pPr>
      <w:r>
        <w:rPr>
          <w:bCs/>
          <w:b/>
        </w:rPr>
        <w:t xml:space="preserve">Propositions</w:t>
      </w:r>
    </w:p>
    <w:p>
      <w:pPr>
        <w:ind w:left="720" w:hanging="360"/>
      </w:pPr>
      <w:r>
        <w:t xml:space="preserve">• Réformer les critères d’évaluation sans laxisme, valoriser la réflexion et la progression, pas seulement la restitution</w:t>
      </w:r>
    </w:p>
    <w:p>
      <w:pPr>
        <w:ind w:left="720" w:hanging="360"/>
      </w:pPr>
      <w:r>
        <w:t xml:space="preserve">• Redéfinir le rôle du professeur, pédagogie avant programme, accompagnateur plutôt que transmetteur</w:t>
      </w:r>
    </w:p>
    <w:p>
      <w:pPr>
        <w:ind w:left="720" w:hanging="360"/>
      </w:pPr>
      <w:r>
        <w:t xml:space="preserve">• Rétablir le redoublement comme filet de sécurité exceptionnel</w:t>
      </w:r>
    </w:p>
    <w:p>
      <w:pPr>
        <w:ind w:left="720" w:hanging="360"/>
      </w:pPr>
      <w:r>
        <w:t xml:space="preserve">• Retour au papier et aux manuels, arrêter l’investissement numérique à l’école</w:t>
      </w:r>
    </w:p>
    <w:p>
      <w:pPr>
        <w:ind w:left="720" w:hanging="360"/>
      </w:pPr>
      <w:r>
        <w:t xml:space="preserve">• Décentraliser les formations, lutter contre la diagonale du vide</w:t>
      </w:r>
    </w:p>
    <w:p>
      <w:pPr>
        <w:ind w:left="720" w:hanging="360"/>
      </w:pPr>
      <w:r>
        <w:t xml:space="preserve">• Revaloriser les salaires des enseignants, alignement sur la moyenne européenne via le rapport OCDE</w:t>
      </w:r>
      <w:r>
        <w:t xml:space="preserve"> </w:t>
      </w:r>
      <w:r>
        <w:t xml:space="preserve">“</w:t>
      </w:r>
      <w:r>
        <w:t xml:space="preserve">Regards sur l’éducation</w:t>
      </w:r>
      <w:r>
        <w:t xml:space="preserve">”</w:t>
      </w:r>
      <w:r>
        <w:t xml:space="preserve"> </w:t>
      </w:r>
      <w:r>
        <w:t xml:space="preserve">: entre 2015 et 2024, les salaires d’entrée n’ont progressé que de 8% en France contre 17% en moyenne dans l’OCDE, les professeurs des écoles gagnent 26% de moins que les autres diplomés du supérieur, objectif LFP : revalorisation de 26% pour atteindre la moyenne européenne. Cette revalorisation sera présentée à l’UE comme projet de convergence structurelle éligible au FSE+ (6,67 milliards dédiés à l’éducation et la formation en France pour 2021-2027) et aux fonds structurels européens. L’Europe veut des réformes structurelles, les LFP lui donnent l’occasion de financer ceux qui les portent. (Sources : OCDE Regards sur l’éducation 2024 ; Ministère de l’Éducation nationale ; FSE+)</w:t>
      </w:r>
    </w:p>
    <w:p>
      <w:pPr>
        <w:ind w:left="720" w:hanging="360"/>
      </w:pPr>
      <w:r>
        <w:t xml:space="preserve">• Refondre le statut des AESH, CDI direct dès la prise de poste, fin de la précarité contractuelle, recrutement massif pour combler les effectifs manquants, rémunération nette entre 1 800 et 2 000€, reconnaissance formelle du rôle réel dans la fiche de poste : gestion de crise, lien famille/école, soutien de proximité, formation initiale renforcée en conséquence du rôle élargi</w:t>
      </w:r>
    </w:p>
    <w:p>
      <w:pPr>
        <w:ind w:left="720" w:hanging="360"/>
      </w:pPr>
      <w:r>
        <w:t xml:space="preserve">• Supprimer les formations accélérées au rabais pour les contractuels</w:t>
      </w:r>
    </w:p>
    <w:bookmarkEnd w:id="21"/>
    <w:bookmarkStart w:id="22" w:name="X270d9be114062f24fed0e57b0576e5985ee3544"/>
    <w:p>
      <w:pPr>
        <w:pStyle w:val="Heading1"/>
      </w:pPr>
      <w:r>
        <w:rPr>
          <w:bCs/>
          <w:b/>
        </w:rPr>
        <w:t xml:space="preserve">La position des Fraternels Phrygiens sur la laïcité</w:t>
      </w:r>
    </w:p>
    <w:p>
      <w:pPr>
        <w:pStyle w:val="FirstParagraph"/>
      </w:pPr>
      <w:r>
        <w:t xml:space="preserve">Ce n’est pas un programme de réforme de la laïcité, c’est un programme de recentrage et de rappel.</w:t>
      </w:r>
    </w:p>
    <w:p>
      <w:pPr>
        <w:pStyle w:val="BodyText"/>
      </w:pPr>
      <w:r>
        <w:t xml:space="preserve">La laïcité française de 1905 est un concept bien construit, unique au monde et à préserver. Il ne s’agit pas de la réformer mais de :</w:t>
      </w:r>
    </w:p>
    <w:p>
      <w:pPr>
        <w:ind w:left="720" w:hanging="360"/>
      </w:pPr>
      <w:r>
        <w:t xml:space="preserve">• La rappeler dans sa définition universelle et non discriminatoire</w:t>
      </w:r>
    </w:p>
    <w:p>
      <w:pPr>
        <w:ind w:left="720" w:hanging="360"/>
      </w:pPr>
      <w:r>
        <w:t xml:space="preserve">• La recentrer face aux glissements actuels qui la détournent contre une religion spécifique</w:t>
      </w:r>
    </w:p>
    <w:p>
      <w:pPr>
        <w:ind w:left="720" w:hanging="360"/>
      </w:pPr>
      <w:r>
        <w:t xml:space="preserve">• La faire respecter de manière égale pour toutes les religions dans les espaces où elle s’applique</w:t>
      </w:r>
    </w:p>
    <w:p>
      <w:pPr>
        <w:ind w:left="720" w:hanging="360"/>
      </w:pPr>
      <w:r>
        <w:t xml:space="preserve">• Rappeler à l’Église catholique comme à toute institution religieuse quelle est sa place depuis 1905</w:t>
      </w:r>
    </w:p>
    <w:p>
      <w:pPr>
        <w:pStyle w:val="FirstParagraph"/>
      </w:pPr>
      <w:r>
        <w:rPr>
          <w:iCs/>
          <w:i/>
        </w:rPr>
        <w:t xml:space="preserve">« La laïcité n’est pas une arme contre une religion, c’est un bouclier pour toutes. »</w:t>
      </w:r>
    </w:p>
    <w:bookmarkEnd w:id="22"/>
    <w:bookmarkStart w:id="23" w:name="Xae18ffb4464152bd80ca85106115c34c9876328"/>
    <w:p>
      <w:pPr>
        <w:pStyle w:val="Heading1"/>
      </w:pPr>
      <w:r>
        <w:rPr>
          <w:bCs/>
          <w:b/>
        </w:rPr>
        <w:t xml:space="preserve">Éducation aux médias et résistance à la désinformation</w:t>
      </w:r>
    </w:p>
    <w:p>
      <w:pPr>
        <w:ind w:left="720" w:hanging="360"/>
      </w:pPr>
      <w:r>
        <w:t xml:space="preserve">• Formation à l’esprit critique et à la vérification des sources dès le collège</w:t>
      </w:r>
    </w:p>
    <w:p>
      <w:pPr>
        <w:ind w:left="720" w:hanging="360"/>
      </w:pPr>
      <w:r>
        <w:t xml:space="preserve">• Comprendre le biais de confirmation, on croit ce qui confirme nos émotions, pas forcément ce qui est vrai</w:t>
      </w:r>
    </w:p>
    <w:p>
      <w:pPr>
        <w:ind w:left="720" w:hanging="360"/>
      </w:pPr>
      <w:r>
        <w:t xml:space="preserve">• La désinformation moderne utilise les mêmes mécanismes que la propagande des régimes totalitaires, seule la vitesse de propagation a changé</w:t>
      </w:r>
    </w:p>
    <w:p>
      <w:pPr>
        <w:ind w:left="720" w:hanging="360"/>
      </w:pPr>
      <w:r>
        <w:t xml:space="preserve">• Responsabilité des plateformes sur les contenus viraux, sans censure mais avec des obligations de signalement et de modération</w:t>
      </w:r>
    </w:p>
    <w:p>
      <w:pPr>
        <w:ind w:left="720" w:hanging="360"/>
      </w:pPr>
      <w:r>
        <w:t xml:space="preserve">• Former des citoyens résistants à la manipulation sans tomber dans le contrôle de l’information</w:t>
      </w:r>
    </w:p>
    <w:p>
      <w:pPr>
        <w:pStyle w:val="FirstParagraph"/>
      </w:pPr>
      <w:r>
        <w:rPr>
          <w:iCs/>
          <w:i/>
        </w:rPr>
        <w:t xml:space="preserve">« Un citoyen éclairé est le meilleur rempart contre la désinformation, pas la censure. »</w:t>
      </w:r>
    </w:p>
    <w:bookmarkEnd w:id="23"/>
    <w:bookmarkStart w:id="27" w:name="X976bf660b677bf4e7edae5f3a67cfc472348830"/>
    <w:p>
      <w:pPr>
        <w:pStyle w:val="Heading1"/>
      </w:pPr>
      <w:r>
        <w:rPr>
          <w:bCs/>
          <w:b/>
        </w:rPr>
        <w:t xml:space="preserve">Réforme pédagogique, vers un modèle adapté aux cerveaux français</w:t>
      </w:r>
    </w:p>
    <w:bookmarkStart w:id="24" w:name="constat"/>
    <w:p>
      <w:pPr>
        <w:pStyle w:val="Heading2"/>
      </w:pPr>
      <w:r>
        <w:rPr>
          <w:bCs/>
          <w:b/>
        </w:rPr>
        <w:t xml:space="preserve">Constat</w:t>
      </w:r>
    </w:p>
    <w:p>
      <w:pPr>
        <w:pStyle w:val="FirstParagraph"/>
      </w:pPr>
      <w:r>
        <w:t xml:space="preserve">Le système scolaire français repose sur une logique uniforme et calendaire : chaque année ressemble à la précédente, les programmes s’accumulent sans s’assurer que les fondations sont solides, et l’évaluation compare les élèves entre eux plutôt que de mesurer leur progression individuelle. Résultat : les enfants qui ne correspondent pas au moule académique sont abandonnés en chemin, les inégalités de départ se creusent plutôt que de se combler, et le déchiffrement mécanique des mots remplace trop souvent la compréhension réelle de la langue. L’écart linguistique entre les milieux populaires et les milieux favorisés se construit dès les premières années de scolarité, et l’école, au lieu de le combler, le reproduit.</w:t>
      </w:r>
    </w:p>
    <w:p>
      <w:pPr>
        <w:pStyle w:val="BodyText"/>
      </w:pPr>
      <w:r>
        <w:t xml:space="preserve">La Finlande a construit l’un des systèmes scolaires les plus performants au monde en faisant exactement l’inverse : moins de contenu, mieux maîtrisé, des enseignants mieux formés et mieux payés, une évaluation centrée sur la progression individuelle et non sur le classement. Ce modèle n’est pas une utopie, c’est une réalité documentée et mesurable.</w:t>
      </w:r>
    </w:p>
    <w:p>
      <w:pPr>
        <w:pStyle w:val="BodyText"/>
      </w:pPr>
      <w:r>
        <w:t xml:space="preserve">Les LFP ne proposent pas de copier le modèle finlandais tel quel, ils proposent d’en adopter les principes fondateurs en les adaptant au contexte français.</w:t>
      </w:r>
    </w:p>
    <w:bookmarkEnd w:id="24"/>
    <w:bookmarkStart w:id="25" w:name="vision"/>
    <w:p>
      <w:pPr>
        <w:pStyle w:val="Heading2"/>
      </w:pPr>
      <w:r>
        <w:rPr>
          <w:bCs/>
          <w:b/>
        </w:rPr>
        <w:t xml:space="preserve">Vision</w:t>
      </w:r>
    </w:p>
    <w:p>
      <w:pPr>
        <w:pStyle w:val="FirstParagraph"/>
      </w:pPr>
      <w:r>
        <w:rPr>
          <w:iCs/>
          <w:i/>
        </w:rPr>
        <w:t xml:space="preserve">« On n’avance pas parce que le calendrier l’impose, on avance parce que les concepts sont acquis. »</w:t>
      </w:r>
    </w:p>
    <w:p>
      <w:pPr>
        <w:pStyle w:val="BodyText"/>
      </w:pPr>
      <w:r>
        <w:t xml:space="preserve">L’école doit s’adapter aux cerveaux qu’elle accueille, pas l’inverse. Réduire l’écart entre les milieux sociaux commence par réduire l’écart linguistique, donner à chaque enfant une maîtrise réelle des mots, pas une reconnaissance mécanique des lettres.</w:t>
      </w:r>
    </w:p>
    <w:bookmarkEnd w:id="25"/>
    <w:bookmarkStart w:id="26" w:name="propositions-1"/>
    <w:p>
      <w:pPr>
        <w:pStyle w:val="Heading2"/>
      </w:pPr>
      <w:r>
        <w:rPr>
          <w:bCs/>
          <w:b/>
        </w:rPr>
        <w:t xml:space="preserve">Propositions</w:t>
      </w:r>
    </w:p>
    <w:p>
      <w:pPr>
        <w:pStyle w:val="FirstParagraph"/>
      </w:pPr>
      <w:r>
        <w:rPr>
          <w:bCs/>
          <w:b/>
        </w:rPr>
        <w:t xml:space="preserve">1, Évaluation par compétences jusqu’à 12 ans</w:t>
      </w:r>
    </w:p>
    <w:p>
      <w:pPr>
        <w:pStyle w:val="BodyText"/>
      </w:pPr>
      <w:r>
        <w:t xml:space="preserve">Pas de notes avant 12 ans, l’élève est évalué sur ses compétences acquises et sa progression individuelle. On mesure ce qu’il sait faire, pas où il se situe par rapport aux autres. Les notes sont introduites progressivement à partir du collège quand le cerveau est suffisamment formé pour les contextualiser sans se construire autour d’elles.</w:t>
      </w:r>
    </w:p>
    <w:p>
      <w:pPr>
        <w:pStyle w:val="BodyText"/>
      </w:pPr>
      <w:r>
        <w:rPr>
          <w:bCs/>
          <w:b/>
        </w:rPr>
        <w:t xml:space="preserve">2, Fin du classement entre élèves</w:t>
      </w:r>
    </w:p>
    <w:p>
      <w:pPr>
        <w:pStyle w:val="BodyText"/>
      </w:pPr>
      <w:r>
        <w:t xml:space="preserve">Aucun classement entre élèves à aucun niveau. La compétition entre pairs génère de l’anxiété, renforce les inégalités de départ et décourage ceux qui partent avec moins. On valorise la progression de chaque élève par rapport à lui-même, pas par rapport à son voisin.</w:t>
      </w:r>
    </w:p>
    <w:p>
      <w:pPr>
        <w:pStyle w:val="BodyText"/>
      </w:pPr>
      <w:r>
        <w:rPr>
          <w:bCs/>
          <w:b/>
        </w:rPr>
        <w:t xml:space="preserve">3, Programme national allégé et centré sur les acquis</w:t>
      </w:r>
    </w:p>
    <w:p>
      <w:pPr>
        <w:pStyle w:val="BodyText"/>
      </w:pPr>
      <w:r>
        <w:t xml:space="preserve">Le programme national est maintenu, il garantit une cohérence nationale, mais il est allégé. Moins de contenu, mieux maîtrisé. On arrête avec les années scolaires qui se ressemblent et accumulent sans vérifier que les fondations tiennent. On s’assure que les concepts sont acquis et validés avant de passer à la suite. Une notion mal comprise en CE1 devient un mur en CM2, on ne laisse plus passer ça.</w:t>
      </w:r>
    </w:p>
    <w:p>
      <w:pPr>
        <w:pStyle w:val="BodyText"/>
      </w:pPr>
      <w:r>
        <w:rPr>
          <w:bCs/>
          <w:b/>
        </w:rPr>
        <w:t xml:space="preserve">4, Priorité à la compréhension réelle de la langue</w:t>
      </w:r>
    </w:p>
    <w:p>
      <w:pPr>
        <w:pStyle w:val="BodyText"/>
      </w:pPr>
      <w:r>
        <w:t xml:space="preserve">Fin du déchiffrement mécanique pour une compréhension réelle et une bonne utilisation des mots. Lire ce n’est pas reconnaître des lettres, c’est comprendre ce qu’on lit, savoir l’utiliser, pouvoir l’exprimer. La maîtrise du vocabulaire et de la langue est le premier levier de réduction des inégalités sociales. Un enfant qui comprend ce qu’il lit part avec les mêmes armes qu’un enfant de milieu favorisé. C’est là que se joue une partie de l’écart.</w:t>
      </w:r>
    </w:p>
    <w:p>
      <w:pPr>
        <w:pStyle w:val="BodyText"/>
      </w:pPr>
      <w:r>
        <w:rPr>
          <w:bCs/>
          <w:b/>
        </w:rPr>
        <w:t xml:space="preserve">5, Peu de devoirs à la maison</w:t>
      </w:r>
    </w:p>
    <w:p>
      <w:pPr>
        <w:pStyle w:val="BodyText"/>
      </w:pPr>
      <w:r>
        <w:t xml:space="preserve">Le travail scolaire se fait à l’école. Les devoirs à la maison creusent les inégalités, un enfant dont les parents peuvent aider repart avec un avantage structurel sur celui dont les parents ne le peuvent pas. Le temps à la maison appartient à la famille et à l’enfant. L’école assume sa mission dans ses murs.</w:t>
      </w:r>
    </w:p>
    <w:p>
      <w:pPr>
        <w:pStyle w:val="BodyText"/>
      </w:pPr>
      <w:r>
        <w:rPr>
          <w:bCs/>
          <w:b/>
        </w:rPr>
        <w:t xml:space="preserve">6, Enseignants mieux formés et mieux rémunérés</w:t>
      </w:r>
    </w:p>
    <w:p>
      <w:pPr>
        <w:pStyle w:val="BodyText"/>
      </w:pPr>
      <w:r>
        <w:t xml:space="preserve">Un système scolaire vaut ce que valent ses enseignants. La Finlande recrute ses professeurs parmi les meilleurs diplômés du pays, c’est un choix politique assumé. Les LFP proposent de revaloriser significativement la formation initiale des enseignants et leur rémunération pour redonner au métier son attractivité et sa dignité. Un enseignant bien formé, bien payé et respecté est le meilleur investissement qu’un État puisse faire dans sa jeunesse.</w:t>
      </w:r>
    </w:p>
    <w:p>
      <w:pPr>
        <w:pStyle w:val="BodyText"/>
      </w:pPr>
      <w:r>
        <w:rPr>
          <w:bCs/>
          <w:b/>
        </w:rPr>
        <w:t xml:space="preserve">7, Le redoublement comme filet de sécurité</w:t>
      </w:r>
    </w:p>
    <w:p>
      <w:pPr>
        <w:pStyle w:val="BodyText"/>
      </w:pPr>
      <w:r>
        <w:t xml:space="preserve">On accompagne mieux en amont, suivi individualisé, détection précoce des difficultés, soutien renforcé. Mais si malgré tout les acquis fondamentaux ne sont pas là, le redoublement reste possible. Ce n’est pas un échec, c’est une année supplémentaire pour construire des fondations solides. On n’abandonne pas un enfant au nom du calendrier.</w:t>
      </w:r>
    </w:p>
    <w:bookmarkEnd w:id="26"/>
    <w:bookmarkEnd w:id="27"/>
    <w:bookmarkStart w:id="31" w:name="X10d05e29d47e6d57cec23f94d3d6904dd82321e"/>
    <w:p>
      <w:pPr>
        <w:pStyle w:val="Heading1"/>
      </w:pPr>
      <w:r>
        <w:rPr>
          <w:bCs/>
          <w:b/>
        </w:rPr>
        <w:t xml:space="preserve">Rythme scolaire, de la maternelle à l’université</w:t>
      </w:r>
    </w:p>
    <w:bookmarkStart w:id="28" w:name="constat-1"/>
    <w:p>
      <w:pPr>
        <w:pStyle w:val="Heading2"/>
      </w:pPr>
      <w:r>
        <w:rPr>
          <w:bCs/>
          <w:b/>
        </w:rPr>
        <w:t xml:space="preserve">Constat</w:t>
      </w:r>
    </w:p>
    <w:p>
      <w:pPr>
        <w:pStyle w:val="FirstParagraph"/>
      </w:pPr>
      <w:r>
        <w:t xml:space="preserve">La santé physique des jeunes est en déclin. La sédentarité progresse, la malbouffe s’impose, le diabète se développe à une vitesse préoccupante et l’obésité chez les jeunes génère des problèmes de santé évitables. Le temps d’écran explose pendant que l’activité physique recule. L’école française a sa part de responsabilité : des journées longues et chargées, peu de pauses, aucune activité physique structurée et obligatoire, un rythme qui épuise sans nourrir. On forme des intellects fatigués dans des corps peu entretenus, c’est un échec global.</w:t>
      </w:r>
    </w:p>
    <w:p>
      <w:pPr>
        <w:pStyle w:val="BodyText"/>
      </w:pPr>
      <w:r>
        <w:t xml:space="preserve">Le modèle français actuel impose des journées de 6 à 7 heures de cours avec peu de pauses, des devoirs le soir et une fatigue cognitive croissante qui réduit l’attention et la qualité des apprentissages. Le rendement décroît après 14h, on continue pourtant à enseigner.</w:t>
      </w:r>
    </w:p>
    <w:bookmarkEnd w:id="28"/>
    <w:bookmarkStart w:id="29" w:name="vision-1"/>
    <w:p>
      <w:pPr>
        <w:pStyle w:val="Heading2"/>
      </w:pPr>
      <w:r>
        <w:rPr>
          <w:bCs/>
          <w:b/>
        </w:rPr>
        <w:t xml:space="preserve">Vision</w:t>
      </w:r>
    </w:p>
    <w:p>
      <w:pPr>
        <w:pStyle w:val="FirstParagraph"/>
      </w:pPr>
      <w:r>
        <w:rPr>
          <w:iCs/>
          <w:i/>
        </w:rPr>
        <w:t xml:space="preserve">« Un esprit sain dans un corps sain, pas l’un sans l’autre. »</w:t>
      </w:r>
    </w:p>
    <w:p>
      <w:pPr>
        <w:pStyle w:val="BodyText"/>
      </w:pPr>
      <w:r>
        <w:t xml:space="preserve">L’école doit former des êtres complets : intellectuellement stimulés, physiquement actifs, capables de s’organiser et de prendre soin d’eux-mêmes. Moins d’écrans, plus de mouvement, moins de contenu accumulé, plus de contenu maîtrisé.</w:t>
      </w:r>
    </w:p>
    <w:bookmarkEnd w:id="29"/>
    <w:bookmarkStart w:id="30" w:name="propositions-2"/>
    <w:p>
      <w:pPr>
        <w:pStyle w:val="Heading2"/>
      </w:pPr>
      <w:r>
        <w:rPr>
          <w:bCs/>
          <w:b/>
        </w:rPr>
        <w:t xml:space="preserve">Propositions</w:t>
      </w:r>
    </w:p>
    <w:p>
      <w:pPr>
        <w:pStyle w:val="FirstParagraph"/>
      </w:pPr>
      <w:r>
        <w:rPr>
          <w:bCs/>
          <w:b/>
        </w:rPr>
        <w:t xml:space="preserve">Maternelle et primaire</w:t>
      </w:r>
    </w:p>
    <w:p>
      <w:pPr>
        <w:pStyle w:val="BodyText"/>
      </w:pPr>
      <w:r>
        <w:t xml:space="preserve">La journée s’organise sur un modèle mixte finlandais/allemand :</w:t>
      </w:r>
    </w:p>
    <w:p>
      <w:pPr>
        <w:ind w:left="720" w:hanging="360"/>
      </w:pPr>
      <w:r>
        <w:t xml:space="preserve">• Matin → apprentissages académiques avec pauses fréquentes, 15 minutes toutes les 45 minutes de cours. La concentration d’un jeune enfant ne tient pas au-delà, on respecte ce que la neurologie enseigne</w:t>
      </w:r>
    </w:p>
    <w:p>
      <w:pPr>
        <w:ind w:left="720" w:hanging="360"/>
      </w:pPr>
      <w:r>
        <w:t xml:space="preserve">• Après-midi → activité sportive obligatoire intégrée dans le temps scolaire + activités pratiques, artistiques, projets collectifs</w:t>
      </w:r>
    </w:p>
    <w:p>
      <w:pPr>
        <w:ind w:left="720" w:hanging="360"/>
      </w:pPr>
      <w:r>
        <w:t xml:space="preserve">• Fin de journée → 15h30 maximum. Le temps familial est protégé</w:t>
      </w:r>
    </w:p>
    <w:p>
      <w:pPr>
        <w:ind w:left="720" w:hanging="360"/>
      </w:pPr>
      <w:r>
        <w:t xml:space="preserve">• Devoirs → supprimés. Tout le travail scolaire se fait à l’école</w:t>
      </w:r>
    </w:p>
    <w:p>
      <w:pPr>
        <w:pStyle w:val="FirstParagraph"/>
      </w:pPr>
      <w:r>
        <w:t xml:space="preserve">L’activité sportive n’est pas une option ni une activité parascolaire payante, elle est intégrée au programme au même titre que le français et les mathématiques. La santé physique est un apprentissage, pas un bonus.</w:t>
      </w:r>
    </w:p>
    <w:p>
      <w:pPr>
        <w:pStyle w:val="BodyText"/>
      </w:pPr>
      <w:r>
        <w:rPr>
          <w:bCs/>
          <w:b/>
        </w:rPr>
        <w:t xml:space="preserve">Collège</w:t>
      </w:r>
    </w:p>
    <w:p>
      <w:pPr>
        <w:pStyle w:val="BodyText"/>
      </w:pPr>
      <w:r>
        <w:t xml:space="preserve">Même structure que le primaire avec une montée en charge progressive :</w:t>
      </w:r>
    </w:p>
    <w:p>
      <w:pPr>
        <w:ind w:left="720" w:hanging="360"/>
      </w:pPr>
      <w:r>
        <w:t xml:space="preserve">• Matin → cours académiques avec pauses régulières</w:t>
      </w:r>
    </w:p>
    <w:p>
      <w:pPr>
        <w:ind w:left="720" w:hanging="360"/>
      </w:pPr>
      <w:r>
        <w:t xml:space="preserve">• Après-midi → activité sportive obligatoire + travaux pratiques et projets</w:t>
      </w:r>
    </w:p>
    <w:p>
      <w:pPr>
        <w:ind w:left="720" w:hanging="360"/>
      </w:pPr>
      <w:r>
        <w:t xml:space="preserve">• Fin de journée → 16h maximum</w:t>
      </w:r>
    </w:p>
    <w:p>
      <w:pPr>
        <w:ind w:left="720" w:hanging="360"/>
      </w:pPr>
      <w:r>
        <w:t xml:space="preserve">• Devoirs → limités et encadrés, les fondations du travail restent à l’école</w:t>
      </w:r>
    </w:p>
    <w:p>
      <w:pPr>
        <w:pStyle w:val="FirstParagraph"/>
      </w:pPr>
      <w:r>
        <w:t xml:space="preserve">L’activité sportive reste obligatoire. C’est l’âge où les habitudes se fixent, on ne lâche pas à ce stade.</w:t>
      </w:r>
    </w:p>
    <w:p>
      <w:pPr>
        <w:pStyle w:val="BodyText"/>
      </w:pPr>
      <w:r>
        <w:rPr>
          <w:bCs/>
          <w:b/>
        </w:rPr>
        <w:t xml:space="preserve">Lycée</w:t>
      </w:r>
    </w:p>
    <w:p>
      <w:pPr>
        <w:pStyle w:val="BodyText"/>
      </w:pPr>
      <w:r>
        <w:t xml:space="preserve">La structure reste la même mais l’autonomie progresse :</w:t>
      </w:r>
    </w:p>
    <w:p>
      <w:pPr>
        <w:ind w:left="720" w:hanging="360"/>
      </w:pPr>
      <w:r>
        <w:t xml:space="preserve">• Matin → cours académiques</w:t>
      </w:r>
    </w:p>
    <w:p>
      <w:pPr>
        <w:ind w:left="720" w:hanging="360"/>
      </w:pPr>
      <w:r>
        <w:t xml:space="preserve">• Après-midi → activité sportive obligatoire + heures de travail personnel encadrées à l’école</w:t>
      </w:r>
    </w:p>
    <w:p>
      <w:pPr>
        <w:ind w:left="720" w:hanging="360"/>
      </w:pPr>
      <w:r>
        <w:t xml:space="preserve">• Fin de journée → 16h30 maximum</w:t>
      </w:r>
    </w:p>
    <w:p>
      <w:pPr>
        <w:ind w:left="720" w:hanging="360"/>
      </w:pPr>
      <w:r>
        <w:t xml:space="preserve">• Devoirs → possibles mais raisonnables, le lycéen apprend à s’organiser dans un cadre encore structuré</w:t>
      </w:r>
    </w:p>
    <w:p>
      <w:pPr>
        <w:pStyle w:val="FirstParagraph"/>
      </w:pPr>
      <w:r>
        <w:t xml:space="preserve">L’activité sportive reste obligatoire au lycée. La sédentarité ne s’installe pas parce qu’on a 16 ans.</w:t>
      </w:r>
    </w:p>
    <w:p>
      <w:pPr>
        <w:pStyle w:val="BodyText"/>
      </w:pPr>
      <w:r>
        <w:rPr>
          <w:bCs/>
          <w:b/>
        </w:rPr>
        <w:t xml:space="preserve">Université</w:t>
      </w:r>
    </w:p>
    <w:p>
      <w:pPr>
        <w:pStyle w:val="BodyText"/>
      </w:pPr>
      <w:r>
        <w:t xml:space="preserve">La logique change à la fac, on entre dans l’âge adulte et la responsabilité individuelle devient centrale.</w:t>
      </w:r>
    </w:p>
    <w:p>
      <w:pPr>
        <w:ind w:left="720" w:hanging="360"/>
      </w:pPr>
      <w:r>
        <w:t xml:space="preserve">• Cours le matin, organisation similaire au lycée mais sans contrainte d’après-midi imposée</w:t>
      </w:r>
    </w:p>
    <w:p>
      <w:pPr>
        <w:ind w:left="720" w:hanging="360"/>
      </w:pPr>
      <w:r>
        <w:t xml:space="preserve">• L’après-midi est laissé libre pour réviser, s’organiser, travailler à son rythme</w:t>
      </w:r>
    </w:p>
    <w:p>
      <w:pPr>
        <w:ind w:left="720" w:hanging="360"/>
      </w:pPr>
      <w:r>
        <w:t xml:space="preserve">• L’activité sportive n’est plus obligatoire, elle reste accessible et encouragée via les structures universitaires, mais c’est un choix personnel</w:t>
      </w:r>
    </w:p>
    <w:p>
      <w:pPr>
        <w:pStyle w:val="FirstParagraph"/>
      </w:pPr>
      <w:r>
        <w:t xml:space="preserve">Sur le redoublement à l’université :</w:t>
      </w:r>
    </w:p>
    <w:p>
      <w:pPr>
        <w:ind w:left="720" w:hanging="360"/>
      </w:pPr>
      <w:r>
        <w:t xml:space="preserve">• Première année de licence (L1) → 1 redoublement possible. La transition lycée/fac est réelle et parfois difficile, on donne une chance supplémentaire</w:t>
      </w:r>
    </w:p>
    <w:p>
      <w:pPr>
        <w:ind w:left="720" w:hanging="360"/>
      </w:pPr>
      <w:r>
        <w:t xml:space="preserve">• Autres années de licence et master → 2 redoublements possibles. Les années sont plus exigeantes, le contenu plus dense, on reconnaît cette difficulté</w:t>
      </w:r>
    </w:p>
    <w:p>
      <w:pPr>
        <w:ind w:left="720" w:hanging="360"/>
      </w:pPr>
      <w:r>
        <w:t xml:space="preserve">• Au-delà des redoublements autorisés → on considère que l’implication n’est pas suffisante. Ce n’est pas une sanction, c’est une responsabilisation. La fac est un choix, pas une obligation</w:t>
      </w:r>
    </w:p>
    <w:p>
      <w:pPr>
        <w:pStyle w:val="FirstParagraph"/>
      </w:pPr>
      <w:r>
        <w:t xml:space="preserve">L’objectif est clair : moins de pression structurelle, plus de responsabilité individuelle. Travailler et profiter de la vie étudiante ne sont pas incompatibles, trouver cet équilibre est en soi un apprentissage de la vie adulte.</w:t>
      </w:r>
    </w:p>
    <w:bookmarkEnd w:id="30"/>
    <w:bookmarkEnd w:id="31"/>
    <w:bookmarkStart w:id="37" w:name="Xa7d07c725d82c709ca6e8540fd417d97168ad52"/>
    <w:p>
      <w:pPr>
        <w:pStyle w:val="Heading1"/>
      </w:pPr>
      <w:r>
        <w:rPr>
          <w:bCs/>
          <w:b/>
        </w:rPr>
        <w:t xml:space="preserve">Comparatif financier, système actuel vs modèle LFP</w:t>
      </w:r>
    </w:p>
    <w:bookmarkStart w:id="32" w:name="base-de-référence-le-système-actuel-2024"/>
    <w:p>
      <w:pPr>
        <w:pStyle w:val="Heading2"/>
      </w:pPr>
      <w:r>
        <w:rPr>
          <w:bCs/>
          <w:b/>
        </w:rPr>
        <w:t xml:space="preserve">Base de référence, le système actuel (2024)</w:t>
      </w:r>
    </w:p>
    <w:p>
      <w:pPr>
        <w:pStyle w:val="FirstParagraph"/>
      </w:pPr>
      <w:r>
        <w:t xml:space="preserve">La France a consacré 197,1 milliards d’euros à son système éducatif en 2024, soit 6,8% du PIB. La dépense moyenne par élève ou étudiant s’établit à 10 920€, plus élevée que la moyenne des pays de l’OCDE.</w:t>
      </w:r>
    </w:p>
    <w:p>
      <w:pPr>
        <w:pStyle w:val="BodyText"/>
      </w:pPr>
      <w:r>
        <w:t xml:space="preserve">Le détail par niveau : 9 080€ par élève du premier degré, 11 660€ pour un élève du second degré, 13 300€ pour un étudiant. (Source : DEPP, Ministère de l’Éducation nationale, 2024)</w:t>
      </w:r>
    </w:p>
    <w:bookmarkEnd w:id="32"/>
    <w:bookmarkStart w:id="33" w:name="ce-que-la-finlande-nous-enseigne"/>
    <w:p>
      <w:pPr>
        <w:pStyle w:val="Heading2"/>
      </w:pPr>
      <w:r>
        <w:rPr>
          <w:bCs/>
          <w:b/>
        </w:rPr>
        <w:t xml:space="preserve">Ce que la Finlande nous enseigne</w:t>
      </w:r>
    </w:p>
    <w:p>
      <w:pPr>
        <w:pStyle w:val="FirstParagraph"/>
      </w:pPr>
      <w:r>
        <w:t xml:space="preserve">Le budget consacré à l’éducation n’est pas plus élevé en Finlande qu’en France, les dépenses publiques représentent environ 6,3% du PIB contre 6,8% pour la France. La Finlande obtient des résultats exceptionnels sans investissement financier significativement supérieur. La différence n’est pas budgétaire, elle est structurelle et pédagogique.</w:t>
      </w:r>
    </w:p>
    <w:p>
      <w:pPr>
        <w:pStyle w:val="BodyText"/>
      </w:pPr>
      <w:r>
        <w:t xml:space="preserve">La Finlande concentre son effort sur l’éducation fondamentale et le premier cycle du secondaire, alors qu’en France c’est le lycée qui mobilise la dépense par élève la plus forte. C’est un choix de priorité, investir tôt pour ne pas payer cher plus tard. La réforme finlandaise a entraîné une réduction des inégalités scolaires de 25%. (Source : Wikipedia, système éducatif finlandais)</w:t>
      </w:r>
    </w:p>
    <w:bookmarkEnd w:id="33"/>
    <w:bookmarkStart w:id="34" w:name="X8dedbd19e320dd3059c39221f5f5d90dcdee9b4"/>
    <w:p>
      <w:pPr>
        <w:pStyle w:val="Heading2"/>
      </w:pPr>
      <w:r>
        <w:rPr>
          <w:bCs/>
          <w:b/>
        </w:rPr>
        <w:t xml:space="preserve">Le redoublement, le poste le plus coûteux et le moins efficace</w:t>
      </w:r>
    </w:p>
    <w:p>
      <w:pPr>
        <w:pStyle w:val="FirstParagraph"/>
      </w:pPr>
      <w:r>
        <w:t xml:space="preserve">Le coût annuel du redoublement en France est estimé à environ 2 milliards d’euros par an, dont 0,4 milliard pour le primaire, 0,6 milliard pour le collège et 1 milliard pour le lycée. (Source : Institut des Politiques Publiques, IPP)</w:t>
      </w:r>
    </w:p>
    <w:p>
      <w:pPr>
        <w:pStyle w:val="BodyText"/>
      </w:pPr>
      <w:r>
        <w:t xml:space="preserve">En investissant mieux en amont, suivi individualisé, acquis validés, accompagnement renforcé, on réduit mécaniquement le nombre de redoublements nécessaires. Le redoublement reste possible comme filet de sécurité mais devient exceptionnel. Une réduction de 50% des redoublements représente environ 1 milliard d’euros d’économies annuelles réaffectables au financement de la réforme elle-même.</w:t>
      </w:r>
    </w:p>
    <w:bookmarkEnd w:id="34"/>
    <w:bookmarkStart w:id="35" w:name="tableau-comparatif"/>
    <w:p>
      <w:pPr>
        <w:pStyle w:val="Heading2"/>
      </w:pPr>
      <w:r>
        <w:rPr>
          <w:bCs/>
          <w:b/>
        </w:rPr>
        <w:t xml:space="preserve">Tableau comparatif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Poste</w:t>
            </w:r>
          </w:p>
        </w:tc>
        <w:tc>
          <w:tcPr/>
          <w:p>
            <w:pPr>
              <w:pStyle w:val="Compact"/>
              <w:jc w:val="left"/>
            </w:pPr>
            <w:r>
              <w:rPr>
                <w:bCs/>
                <w:b/>
              </w:rPr>
              <w:t xml:space="preserve">Système actuel</w:t>
            </w:r>
          </w:p>
        </w:tc>
        <w:tc>
          <w:tcPr/>
          <w:p>
            <w:pPr>
              <w:pStyle w:val="Compact"/>
              <w:jc w:val="left"/>
            </w:pPr>
            <w:r>
              <w:rPr>
                <w:bCs/>
                <w:b/>
              </w:rPr>
              <w:t xml:space="preserve">Modèle LFP</w:t>
            </w:r>
          </w:p>
        </w:tc>
        <w:tc>
          <w:tcPr/>
          <w:p>
            <w:pPr>
              <w:pStyle w:val="Compact"/>
              <w:jc w:val="left"/>
            </w:pPr>
            <w:r>
              <w:rPr>
                <w:bCs/>
                <w:b/>
              </w:rPr>
              <w:t xml:space="preserve">Gain estimé</w:t>
            </w:r>
          </w:p>
        </w:tc>
      </w:tr>
      <w:tr>
        <w:tc>
          <w:tcPr/>
          <w:p>
            <w:pPr>
              <w:pStyle w:val="Compact"/>
              <w:jc w:val="left"/>
            </w:pPr>
            <w:r>
              <w:t xml:space="preserve">Redoublement</w:t>
            </w:r>
          </w:p>
        </w:tc>
        <w:tc>
          <w:tcPr/>
          <w:p>
            <w:pPr>
              <w:pStyle w:val="Compact"/>
              <w:jc w:val="left"/>
            </w:pPr>
            <w:r>
              <w:t xml:space="preserve">~2 Mds€/an</w:t>
            </w:r>
          </w:p>
        </w:tc>
        <w:tc>
          <w:tcPr/>
          <w:p>
            <w:pPr>
              <w:pStyle w:val="Compact"/>
              <w:jc w:val="left"/>
            </w:pPr>
            <w:r>
              <w:t xml:space="preserve">Exceptionnel, réduction 50%</w:t>
            </w:r>
          </w:p>
        </w:tc>
        <w:tc>
          <w:tcPr/>
          <w:p>
            <w:pPr>
              <w:pStyle w:val="Compact"/>
              <w:jc w:val="left"/>
            </w:pPr>
            <w:r>
              <w:t xml:space="preserve">~1 Md€/an</w:t>
            </w:r>
          </w:p>
        </w:tc>
      </w:tr>
      <w:tr>
        <w:tc>
          <w:tcPr/>
          <w:p>
            <w:pPr>
              <w:pStyle w:val="Compact"/>
              <w:jc w:val="left"/>
            </w:pPr>
            <w:r>
              <w:t xml:space="preserve">Manuels numériques</w:t>
            </w:r>
          </w:p>
        </w:tc>
        <w:tc>
          <w:tcPr/>
          <w:p>
            <w:pPr>
              <w:pStyle w:val="Compact"/>
              <w:jc w:val="left"/>
            </w:pPr>
            <w:r>
              <w:t xml:space="preserve">Investissement croissant</w:t>
            </w:r>
          </w:p>
        </w:tc>
        <w:tc>
          <w:tcPr/>
          <w:p>
            <w:pPr>
              <w:pStyle w:val="Compact"/>
              <w:jc w:val="left"/>
            </w:pPr>
            <w:r>
              <w:t xml:space="preserve">Retour papier, coût fixe</w:t>
            </w:r>
          </w:p>
        </w:tc>
        <w:tc>
          <w:tcPr/>
          <w:p>
            <w:pPr>
              <w:pStyle w:val="Compact"/>
              <w:jc w:val="left"/>
            </w:pPr>
            <w:r>
              <w:t xml:space="preserve">Économies sur licences</w:t>
            </w:r>
          </w:p>
        </w:tc>
      </w:tr>
      <w:tr>
        <w:tc>
          <w:tcPr/>
          <w:p>
            <w:pPr>
              <w:pStyle w:val="Compact"/>
              <w:jc w:val="left"/>
            </w:pPr>
            <w:r>
              <w:t xml:space="preserve">Décrochage scolaire</w:t>
            </w:r>
          </w:p>
        </w:tc>
        <w:tc>
          <w:tcPr/>
          <w:p>
            <w:pPr>
              <w:pStyle w:val="Compact"/>
              <w:jc w:val="left"/>
            </w:pPr>
            <w:r>
              <w:t xml:space="preserve">Coût élevé de réinsertion</w:t>
            </w:r>
          </w:p>
        </w:tc>
        <w:tc>
          <w:tcPr/>
          <w:p>
            <w:pPr>
              <w:pStyle w:val="Compact"/>
              <w:jc w:val="left"/>
            </w:pPr>
            <w:r>
              <w:t xml:space="preserve">Réduction par suivi précoce</w:t>
            </w:r>
          </w:p>
        </w:tc>
        <w:tc>
          <w:tcPr/>
          <w:p>
            <w:pPr>
              <w:pStyle w:val="Compact"/>
              <w:jc w:val="left"/>
            </w:pPr>
            <w:r>
              <w:t xml:space="preserve">Non chiffrable à ce stade</w:t>
            </w:r>
          </w:p>
        </w:tc>
      </w:tr>
      <w:tr>
        <w:tc>
          <w:tcPr/>
          <w:p>
            <w:pPr>
              <w:pStyle w:val="Compact"/>
              <w:jc w:val="left"/>
            </w:pPr>
            <w:r>
              <w:t xml:space="preserve">Revalorisation enseignants</w:t>
            </w:r>
          </w:p>
        </w:tc>
        <w:tc>
          <w:tcPr/>
          <w:p>
            <w:pPr>
              <w:pStyle w:val="Compact"/>
              <w:jc w:val="left"/>
            </w:pPr>
            <w:r>
              <w:t xml:space="preserve">Sous-investissement actuel</w:t>
            </w:r>
          </w:p>
        </w:tc>
        <w:tc>
          <w:tcPr/>
          <w:p>
            <w:pPr>
              <w:pStyle w:val="Compact"/>
              <w:jc w:val="left"/>
            </w:pPr>
            <w:r>
              <w:t xml:space="preserve">Hausse assumée</w:t>
            </w:r>
          </w:p>
        </w:tc>
        <w:tc>
          <w:tcPr/>
          <w:p>
            <w:pPr>
              <w:pStyle w:val="Compact"/>
              <w:jc w:val="left"/>
            </w:pPr>
            <w:r>
              <w:t xml:space="preserve">Coût compensé par gains</w:t>
            </w:r>
          </w:p>
        </w:tc>
      </w:tr>
    </w:tbl>
    <w:bookmarkEnd w:id="35"/>
    <w:bookmarkStart w:id="36" w:name="ce-que-ça-signifie-concrètement"/>
    <w:p>
      <w:pPr>
        <w:pStyle w:val="Heading2"/>
      </w:pPr>
      <w:r>
        <w:rPr>
          <w:bCs/>
          <w:b/>
        </w:rPr>
        <w:t xml:space="preserve">Ce que ça signifie concrètement</w:t>
      </w:r>
    </w:p>
    <w:p>
      <w:pPr>
        <w:pStyle w:val="FirstParagraph"/>
      </w:pPr>
      <w:r>
        <w:t xml:space="preserve">Le modèle LFP n’est pas moins cher à court terme, la revalorisation des enseignants et la transition représentent un investissement réel, financé par le Fonds National de Développement Républicain. À moyen terme les premiers gains apparaissent : moins de redoublements, moins de décrochage, programme allégé donc moins de coûts de supports pédagogiques inutiles.</w:t>
      </w:r>
    </w:p>
    <w:p>
      <w:pPr>
        <w:pStyle w:val="BodyText"/>
      </w:pPr>
      <w:r>
        <w:t xml:space="preserve">C’est sur le long terme que le modèle devient structurellement moins coûteux que l’actuel :</w:t>
      </w:r>
    </w:p>
    <w:p>
      <w:pPr>
        <w:ind w:left="720" w:hanging="360"/>
      </w:pPr>
      <w:r>
        <w:t xml:space="preserve">• Les redoublements devenus exceptionnels libèrent jusqu’à 2 milliards par an</w:t>
      </w:r>
    </w:p>
    <w:p>
      <w:pPr>
        <w:ind w:left="720" w:hanging="360"/>
      </w:pPr>
      <w:r>
        <w:t xml:space="preserve">• Le décrochage scolaire réduit diminue les coûts de réinsertion et d’aide sociale</w:t>
      </w:r>
    </w:p>
    <w:p>
      <w:pPr>
        <w:ind w:left="720" w:hanging="360"/>
      </w:pPr>
      <w:r>
        <w:t xml:space="preserve">• Des générations mieux formées, en meilleure santé physique, génèrent plus de recettes fiscales et moins de dépenses sociales</w:t>
      </w:r>
    </w:p>
    <w:p>
      <w:pPr>
        <w:ind w:left="720" w:hanging="360"/>
      </w:pPr>
      <w:r>
        <w:t xml:space="preserve">• La réduction des inégalités scolaires réduit mécaniquement les inégalités sociales à corriger ensuite par d’autres dispositifs coûteux</w:t>
      </w:r>
    </w:p>
    <w:p>
      <w:pPr>
        <w:pStyle w:val="FirstParagraph"/>
      </w:pPr>
      <w:r>
        <w:t xml:space="preserve">On ne fait pas une réforme pour économiser dans les trois prochaines années, on la fait pour que dans vingt ans le système coûte moins cher et produise plus. C’est la cohérence de l’ensemble du programme LFP : chaque dépense est pensée comme un investissement à rendement, pas comme une charge. On ne promet pas la gratuité, on promet la cohérence.</w:t>
      </w:r>
    </w:p>
    <w:p>
      <w:pPr>
        <w:pStyle w:val="BodyText"/>
      </w:pPr>
      <w:r>
        <w:rPr>
          <w:iCs/>
          <w:i/>
        </w:rPr>
        <w:t xml:space="preserve">« Investir dans l’éducation c’est le seul placement dont le rendement dépasse toujours l’inflation. »</w:t>
      </w:r>
    </w:p>
    <w:bookmarkEnd w:id="36"/>
    <w:bookmarkEnd w:id="37"/>
    <w:bookmarkStart w:id="43" w:name="Xdd3e19ea059b95b34b68e4b3b2dd2a5bdf88ab0"/>
    <w:p>
      <w:pPr>
        <w:pStyle w:val="Heading1"/>
      </w:pPr>
      <w:r>
        <w:rPr>
          <w:bCs/>
          <w:b/>
        </w:rPr>
        <w:t xml:space="preserve">Éducation à la sexualité et au respect de la diversité</w:t>
      </w:r>
    </w:p>
    <w:bookmarkStart w:id="38" w:name="constat-2"/>
    <w:p>
      <w:pPr>
        <w:pStyle w:val="Heading2"/>
      </w:pPr>
      <w:r>
        <w:rPr>
          <w:bCs/>
          <w:b/>
        </w:rPr>
        <w:t xml:space="preserve">Constat</w:t>
      </w:r>
    </w:p>
    <w:p>
      <w:pPr>
        <w:pStyle w:val="FirstParagraph"/>
      </w:pPr>
      <w:r>
        <w:t xml:space="preserve">En France, les infractions anti-LGBT+ enregistrées par les services de police et de gendarmerie atteignent 4 900 en 2025, en hausse de 2%, poursuivant une tendance globale à la hausse observée depuis 2016 où la progression moyenne était de 13% par an sur la période 2016-2024. Le recours au dépôt de plainte reste extrêmement faible, environ 3% des victimes, ce qui signifie que les chiffres enregistrés ne représentent qu’une fraction de la réalité. (Source : SSMSI, mai 2025)</w:t>
      </w:r>
    </w:p>
    <w:p>
      <w:pPr>
        <w:pStyle w:val="BodyText"/>
      </w:pPr>
      <w:r>
        <w:t xml:space="preserve">Sur le masculinisme, le rapport 2026 du Haut Conseil à l’Égalité est sans appel : 12,5 millions de Français adhèrent à des normes sexistes paternalistes et près de 10 millions, soit 17% des 15 ans et plus, expriment un sexisme hostile, ouvertement agressif ou dévalorisant envers les femmes. Le HCE qualifie le masculinisme de système idéologique structuré qui imprègne désormais les jeunes générations par un bombardement massif de contenus numériques, et le reconnaît comme menace d’ordre public et enjeu de sécurité nationale. (Source : HCE, janvier 2026)</w:t>
      </w:r>
    </w:p>
    <w:p>
      <w:pPr>
        <w:pStyle w:val="BodyText"/>
      </w:pPr>
      <w:r>
        <w:t xml:space="preserve">L’introduction de l’éducation sexuelle et des questions LGBT dès le primaire est une erreur de calendrier aux effets contre-productifs. De nombreux enfants ressortent de ces séances choqués ou perdus, les mots fécondation, rapport sexuel, identité de genre dépassent leur stade de développement cognitif. Le cerveau de l’enfant n’est pas formé pour recevoir et intégrer ces informations complexes. Forcer cet apprentissage à un âge inadapté lui confère une connotation perturbante qui dessert l’objectif recherché.</w:t>
      </w:r>
    </w:p>
    <w:p>
      <w:pPr>
        <w:pStyle w:val="BodyText"/>
      </w:pPr>
      <w:r>
        <w:t xml:space="preserve">Ce contexte s’inscrit dans une réalité plus large : la surexposition des enfants à la pornographie via les plateformes numériques, OnlyFans, X et leurs équivalents, capitalise sur la sexualité comme produit et ses retombées arrivent directement dans les écoles. Des enfants sont confrontés à des contenus qui ne leur sont pas destinés, déformant leur représentation de la sexualité avant même qu’elle leur ait été expliquée sainement.</w:t>
      </w:r>
    </w:p>
    <w:p>
      <w:pPr>
        <w:pStyle w:val="BodyText"/>
      </w:pPr>
      <w:r>
        <w:t xml:space="preserve">Ces chiffres posent une question fondamentale : des décennies d’éducation précoce à ces sujets n’ont pas inversé la tendance. La méthode produit l’effet inverse de celui recherché. Et pour comprendre pourquoi, il faut regarder au-delà de l’école.</w:t>
      </w:r>
    </w:p>
    <w:p>
      <w:pPr>
        <w:pStyle w:val="BodyText"/>
      </w:pPr>
      <w:r>
        <w:rPr>
          <w:bCs/>
          <w:b/>
        </w:rPr>
        <w:t xml:space="preserve">L’école seule ne peut pas éduquer</w:t>
      </w:r>
    </w:p>
    <w:p>
      <w:pPr>
        <w:pStyle w:val="BodyText"/>
      </w:pPr>
      <w:r>
        <w:t xml:space="preserve">L’école ne peut pas contrecarrer seule un environnement familial où l’hostilité envers les personnes LGBT ou envers les femmes est normalisée, banalisée voire valorisée. L’enfant absorbe les codes familiaux avant même d’arriver en classe, ce sont ses premiers repères, sa première grille de lecture du monde. L’école peut sensibiliser, transmettre des valeurs, ouvrir des perspectives. Elle ne peut pas désocialiser ce qui a été construit depuis la naissance dans le foyer familial.</w:t>
      </w:r>
    </w:p>
    <w:p>
      <w:pPr>
        <w:pStyle w:val="BodyText"/>
      </w:pPr>
      <w:r>
        <w:rPr>
          <w:bCs/>
          <w:b/>
        </w:rPr>
        <w:t xml:space="preserve">Le lien avec la montée de l’extrême droite et le déclin des nuances</w:t>
      </w:r>
    </w:p>
    <w:p>
      <w:pPr>
        <w:pStyle w:val="BodyText"/>
      </w:pPr>
      <w:r>
        <w:t xml:space="preserve">Le déclin des nuances, alimenté par le manque d’information, la désinformation sur les réseaux sociaux et les discours politiques binaires, crée un terreau fertile pour les idéologies de rejet. La montée de l’extrême droite en France et en Europe s’appuie sur ces mécanismes : simplifier, désigner, rejeter. Le recul du féminisme et de sa reconnaissance engendre un recul parallèle de la reconnaissance des minorités de genre et sexuelles. Les consciences reculent ensemble.</w:t>
      </w:r>
    </w:p>
    <w:p>
      <w:pPr>
        <w:pStyle w:val="BodyText"/>
      </w:pPr>
      <w:r>
        <w:rPr>
          <w:bCs/>
          <w:b/>
        </w:rPr>
        <w:t xml:space="preserve">Une agressivité structurante, pas conjoncturelle</w:t>
      </w:r>
    </w:p>
    <w:p>
      <w:pPr>
        <w:pStyle w:val="BodyText"/>
      </w:pPr>
      <w:r>
        <w:t xml:space="preserve">Ce n’est pas une agressivité passagère ou marginale, c’est une agressivité construite, nourrie et entretenue sur le long terme par trois sources convergentes : l’environnement familial quand il normalise le rejet, l’écosystème médiatique et numérique qui amplifie les discours haineux sans friction, et le discours politique qui légitime ces postures. On n’ouvre pas les esprits fermés par la force, on les ferme davantage.</w:t>
      </w:r>
    </w:p>
    <w:bookmarkEnd w:id="38"/>
    <w:bookmarkStart w:id="39" w:name="vision-2"/>
    <w:p>
      <w:pPr>
        <w:pStyle w:val="Heading2"/>
      </w:pPr>
      <w:r>
        <w:rPr>
          <w:bCs/>
          <w:b/>
        </w:rPr>
        <w:t xml:space="preserve">Vision</w:t>
      </w:r>
    </w:p>
    <w:p>
      <w:pPr>
        <w:pStyle w:val="FirstParagraph"/>
      </w:pPr>
      <w:r>
        <w:rPr>
          <w:iCs/>
          <w:i/>
        </w:rPr>
        <w:t xml:space="preserve">« On ne peut pas forcer la compréhension, on peut exiger le respect. »</w:t>
      </w:r>
    </w:p>
    <w:p>
      <w:pPr>
        <w:pStyle w:val="BodyText"/>
      </w:pPr>
      <w:r>
        <w:t xml:space="preserve">La société est le reflet du vivre ensemble. La liberté d’expression garantie par la démocratie n’abolit pas le droit au silence, se taire face à ce qu’on ne comprend pas, c’est déjà respecter autrui. Ce n’est pas accepter, c’est coexister. Et la coexistence respectueuse est le fondement de la République.</w:t>
      </w:r>
    </w:p>
    <w:bookmarkEnd w:id="39"/>
    <w:bookmarkStart w:id="40" w:name="calendrier-dapprentissage"/>
    <w:p>
      <w:pPr>
        <w:pStyle w:val="Heading2"/>
      </w:pPr>
      <w:r>
        <w:rPr>
          <w:bCs/>
          <w:b/>
        </w:rPr>
        <w:t xml:space="preserve">Calendrier d’apprentissage</w:t>
      </w:r>
    </w:p>
    <w:p>
      <w:pPr>
        <w:pStyle w:val="FirstParagraph"/>
      </w:pPr>
      <w:r>
        <w:rPr>
          <w:bCs/>
          <w:b/>
        </w:rPr>
        <w:t xml:space="preserve">Primaire, aucune éducation au sexuel</w:t>
      </w:r>
    </w:p>
    <w:p>
      <w:pPr>
        <w:pStyle w:val="BodyText"/>
      </w:pPr>
      <w:r>
        <w:t xml:space="preserve">Le cerveau de l’enfant n’est pas formé pour recevoir ces informations. Aucun contenu relatif à la sexualité, à la reproduction ou aux identités de genre n’est introduit à ce stade. La priorité est l’apprentissage du respect de l’autre, de l’intégrité corporelle et des émotions, sans dimension sexuelle.</w:t>
      </w:r>
    </w:p>
    <w:p>
      <w:pPr>
        <w:pStyle w:val="BodyText"/>
      </w:pPr>
      <w:r>
        <w:rPr>
          <w:bCs/>
          <w:b/>
        </w:rPr>
        <w:t xml:space="preserve">5e, 4e, 3e, éducation sexuelle et introduction à la diversité</w:t>
      </w:r>
    </w:p>
    <w:p>
      <w:pPr>
        <w:ind w:left="720" w:hanging="360"/>
      </w:pPr>
      <w:r>
        <w:t xml:space="preserve">• Biologie de la reproduction, expliquée avec le vocabulaire adapté à l’âge</w:t>
      </w:r>
    </w:p>
    <w:p>
      <w:pPr>
        <w:ind w:left="720" w:hanging="360"/>
      </w:pPr>
      <w:r>
        <w:t xml:space="preserve">• Consentement, respect du corps, relations saines</w:t>
      </w:r>
    </w:p>
    <w:p>
      <w:pPr>
        <w:ind w:left="720" w:hanging="360"/>
      </w:pPr>
      <w:r>
        <w:t xml:space="preserve">• Introduction aux orientations sexuelles et identités de genre, dans une approche factuelle et non militante</w:t>
      </w:r>
    </w:p>
    <w:p>
      <w:pPr>
        <w:ind w:left="720" w:hanging="360"/>
      </w:pPr>
      <w:r>
        <w:t xml:space="preserve">• Le respect comme valeur centrale : on n’exige pas la compréhension ni l’approbation, on exige le respect</w:t>
      </w:r>
    </w:p>
    <w:p>
      <w:pPr>
        <w:pStyle w:val="FirstParagraph"/>
      </w:pPr>
      <w:r>
        <w:rPr>
          <w:bCs/>
          <w:b/>
        </w:rPr>
        <w:t xml:space="preserve">Lycée, approfondissement</w:t>
      </w:r>
    </w:p>
    <w:p>
      <w:pPr>
        <w:ind w:left="720" w:hanging="360"/>
      </w:pPr>
      <w:r>
        <w:t xml:space="preserve">• Diversité des orientations sexuelles et identités de genre</w:t>
      </w:r>
    </w:p>
    <w:p>
      <w:pPr>
        <w:ind w:left="720" w:hanging="360"/>
      </w:pPr>
      <w:r>
        <w:t xml:space="preserve">• Histoire des droits LGBT en France et dans le monde</w:t>
      </w:r>
    </w:p>
    <w:p>
      <w:pPr>
        <w:ind w:left="720" w:hanging="360"/>
      </w:pPr>
      <w:r>
        <w:t xml:space="preserve">• Lutte contre les discriminations, homophobie, transphobie, sexisme</w:t>
      </w:r>
    </w:p>
    <w:p>
      <w:pPr>
        <w:ind w:left="720" w:hanging="360"/>
      </w:pPr>
      <w:r>
        <w:t xml:space="preserve">• Esprit critique face aux contenus numériques et à la désinformation sur ces sujets</w:t>
      </w:r>
    </w:p>
    <w:bookmarkEnd w:id="40"/>
    <w:bookmarkStart w:id="41" w:name="X7b5e05ef026df897ccea3c59ae745d4c34032ce"/>
    <w:p>
      <w:pPr>
        <w:pStyle w:val="Heading2"/>
      </w:pPr>
      <w:r>
        <w:rPr>
          <w:bCs/>
          <w:b/>
        </w:rPr>
        <w:t xml:space="preserve">Sur le rôle des familles, quatre leviers indirects</w:t>
      </w:r>
    </w:p>
    <w:p>
      <w:pPr>
        <w:pStyle w:val="FirstParagraph"/>
      </w:pPr>
      <w:r>
        <w:t xml:space="preserve">On ne légifère pas dans les foyers. Mais on peut créer les conditions du changement sans rien imposer.</w:t>
      </w:r>
    </w:p>
    <w:p>
      <w:pPr>
        <w:pStyle w:val="BodyText"/>
      </w:pPr>
      <w:r>
        <w:rPr>
          <w:bCs/>
          <w:b/>
        </w:rPr>
        <w:t xml:space="preserve">1, La formation des parents à l’école</w:t>
      </w:r>
    </w:p>
    <w:p>
      <w:pPr>
        <w:pStyle w:val="BodyText"/>
      </w:pPr>
      <w:r>
        <w:t xml:space="preserve">Des réunions d’information proposées, jamais obligatoires, aux parents sur ce que l’école enseigne et pourquoi. Certains parents hostiles le sont par ignorance ou par peur, pas par conviction profonde. L’information peut déplacer ça sans forcer.</w:t>
      </w:r>
    </w:p>
    <w:p>
      <w:pPr>
        <w:pStyle w:val="BodyText"/>
      </w:pPr>
      <w:r>
        <w:rPr>
          <w:bCs/>
          <w:b/>
        </w:rPr>
        <w:t xml:space="preserve">2, Les espaces de parole neutres</w:t>
      </w:r>
    </w:p>
    <w:p>
      <w:pPr>
        <w:pStyle w:val="BodyText"/>
      </w:pPr>
      <w:r>
        <w:t xml:space="preserve">Des lieux où les jeunes peuvent parler librement de ce qu’ils vivent, sans jugement, sans signalement systématique. Le conseiller principal d’éducation, l’infirmière scolaire, des associations partenaires présentes dans les établissements. Quand la famille est le problème, l’école doit pouvoir être le refuge.</w:t>
      </w:r>
    </w:p>
    <w:p>
      <w:pPr>
        <w:pStyle w:val="BodyText"/>
      </w:pPr>
      <w:r>
        <w:rPr>
          <w:bCs/>
          <w:b/>
        </w:rPr>
        <w:t xml:space="preserve">3, La responsabilité pénale existante</w:t>
      </w:r>
    </w:p>
    <w:p>
      <w:pPr>
        <w:pStyle w:val="BodyText"/>
      </w:pPr>
      <w:r>
        <w:t xml:space="preserve">Elle existe déjà, les propos haineux qui débouchent sur des actes sont répréhensibles. On ne crée pas de nouvelle loi, on rappelle que le droit protège déjà les jeunes victimes de discours haineux structurants.</w:t>
      </w:r>
    </w:p>
    <w:p>
      <w:pPr>
        <w:pStyle w:val="BodyText"/>
      </w:pPr>
      <w:r>
        <w:rPr>
          <w:bCs/>
          <w:b/>
        </w:rPr>
        <w:t xml:space="preserve">4, L’exemple par les pairs</w:t>
      </w:r>
    </w:p>
    <w:p>
      <w:pPr>
        <w:pStyle w:val="BodyText"/>
      </w:pPr>
      <w:r>
        <w:t xml:space="preserve">Les jeunes s’influencent entre eux plus qu’ils n’écoutent les adultes. Des campagnes portées par des jeunes eux-mêmes, témoignages, valorisation des comportements respectueux, déstigmatisation de la différence, ont plus d’impact qu’un discours institutionnel descendant.</w:t>
      </w:r>
    </w:p>
    <w:bookmarkEnd w:id="41"/>
    <w:bookmarkStart w:id="42" w:name="le-fil-conducteur-à-tous-les-niveaux"/>
    <w:p>
      <w:pPr>
        <w:pStyle w:val="Heading2"/>
      </w:pPr>
      <w:r>
        <w:rPr>
          <w:bCs/>
          <w:b/>
        </w:rPr>
        <w:t xml:space="preserve">Le fil conducteur à tous les niveaux</w:t>
      </w:r>
    </w:p>
    <w:p>
      <w:pPr>
        <w:pStyle w:val="FirstParagraph"/>
      </w:pPr>
      <w:r>
        <w:t xml:space="preserve">Le respect n’est pas conditionnel à la compréhension. Dans une démocratie, chacun a le droit de ne pas comprendre, de ne pas approuver, mais personne n’a le droit de stigmatiser, d’agresser ou d’humilier. Se taire face à ce qu’on rejette est un acte civique. La société ne demande pas l’unanimité, elle exige la dignité.</w:t>
      </w:r>
    </w:p>
    <w:p>
      <w:pPr>
        <w:pStyle w:val="BodyText"/>
      </w:pPr>
      <w:r>
        <w:rPr>
          <w:iCs/>
          <w:i/>
        </w:rPr>
        <w:t xml:space="preserve">« La liberté d’expression ne donne pas le droit à la cruauté. »</w:t>
      </w:r>
    </w:p>
    <w:bookmarkEnd w:id="42"/>
    <w:bookmarkEnd w:id="43"/>
    <w:bookmarkStart w:id="49" w:name="Xe10de7298a9a62daa6909e61846f6cf8d983f7a"/>
    <w:p>
      <w:pPr>
        <w:pStyle w:val="Heading1"/>
      </w:pPr>
      <w:r>
        <w:rPr>
          <w:bCs/>
          <w:b/>
        </w:rPr>
        <w:t xml:space="preserve">PROJET GAUS, Garantie d’Accès Universel aux Stages et à l’Insertion Professionnelle</w:t>
      </w:r>
    </w:p>
    <w:bookmarkStart w:id="44" w:name="constat-3"/>
    <w:p>
      <w:pPr>
        <w:pStyle w:val="Heading2"/>
      </w:pPr>
      <w:r>
        <w:rPr>
          <w:bCs/>
          <w:b/>
        </w:rPr>
        <w:t xml:space="preserve">Constat</w:t>
      </w:r>
    </w:p>
    <w:p>
      <w:pPr>
        <w:pStyle w:val="FirstParagraph"/>
      </w:pPr>
      <w:r>
        <w:t xml:space="preserve">En France, les stages constituent une étape obligatoire du parcours scolaire (3e, seconde, lycée pro, BTS, universités) mais les entreprises n’ont aucune obligation d’accueil. L’obtention d’un stage dépend trop souvent du réseau familial, accentuant les inégalités. De nombreux élèves, surtout dans les milieux défavorisés ou zones rurales, ne trouvent pas de stage. Les stages courts sont souvent non rémunérés, les refus sont fréquents, parfois non justifiés, et les entreprises qui n’accueillent jamais ne subissent aucune conséquence. Cela engendre une rupture d’égalité, perte de motivation, décrochage scolaire et frustration des établissements.</w:t>
      </w:r>
    </w:p>
    <w:p>
      <w:pPr>
        <w:pStyle w:val="BodyText"/>
      </w:pPr>
      <w:r>
        <w:t xml:space="preserve">Le Ministère de l’Enseignement Supérieur indique que pour l’année universitaire 2020-2021, seulement 32% des étudiants ont réalisé un stage. En 2020, seulement 22% des entrées en stage ont été enregistrées (Dares). Ce même déséquilibre se prolonge après la scolarité : l’accès au premier emploi reste lui aussi largement conditionné par le réseau et le territoire.</w:t>
      </w:r>
    </w:p>
    <w:bookmarkEnd w:id="44"/>
    <w:bookmarkStart w:id="45" w:name="vision-3"/>
    <w:p>
      <w:pPr>
        <w:pStyle w:val="Heading2"/>
      </w:pPr>
      <w:r>
        <w:rPr>
          <w:bCs/>
          <w:b/>
        </w:rPr>
        <w:t xml:space="preserve">Vision</w:t>
      </w:r>
    </w:p>
    <w:p>
      <w:pPr>
        <w:pStyle w:val="FirstParagraph"/>
      </w:pPr>
      <w:r>
        <w:rPr>
          <w:iCs/>
          <w:i/>
        </w:rPr>
        <w:t xml:space="preserve">« Le réseau familial ne doit plus être le sésame du premier contact avec le monde professionnel, ni pendant les études, ni après. »</w:t>
      </w:r>
    </w:p>
    <w:p>
      <w:pPr>
        <w:pStyle w:val="BodyText"/>
      </w:pPr>
      <w:r>
        <w:t xml:space="preserve">Garantir à chaque jeune, quel que soit son milieu social, son territoire ou son réseau, un accès équitable, simplifié et rémunéré à un stage, tout en responsabilisant les entreprises via un système cohérent, juste et incitatif.</w:t>
      </w:r>
    </w:p>
    <w:bookmarkEnd w:id="45"/>
    <w:bookmarkStart w:id="46" w:name="volet-1-accès-aux-stages-scolarité"/>
    <w:p>
      <w:pPr>
        <w:pStyle w:val="Heading2"/>
      </w:pPr>
      <w:r>
        <w:rPr>
          <w:bCs/>
          <w:b/>
        </w:rPr>
        <w:t xml:space="preserve">VOLET 1, ACCÈS AUX STAGES (scolarité)</w:t>
      </w:r>
    </w:p>
    <w:p>
      <w:pPr>
        <w:pStyle w:val="FirstParagraph"/>
      </w:pPr>
      <w:r>
        <w:rPr>
          <w:bCs/>
          <w:b/>
        </w:rPr>
        <w:t xml:space="preserve">1, Anonymstage, la plateforme nationale d’affectation anonymisée</w:t>
      </w:r>
    </w:p>
    <w:p>
      <w:pPr>
        <w:pStyle w:val="BodyText"/>
      </w:pPr>
      <w:r>
        <w:t xml:space="preserve">La plateforme nationale de mise en relation élèves/entreprises et fonction publique, dématérialisée et accessible à tous. Son principe fondateur : l’anti-réseau.</w:t>
      </w:r>
    </w:p>
    <w:p>
      <w:pPr>
        <w:pStyle w:val="BodyText"/>
      </w:pPr>
      <w:r>
        <w:t xml:space="preserve">Le CV de l’élève est anonymisé sur la plateforme. L’entreprise reçoit uniquement les compétences, motivations et localisation, aucune information favorisant la reproduction sociale : pas de nom, pas d’adresse précise, pas de profession des parents, pas d’école prestigieuse. Une fois le classement validé, la plateforme désanonymise la personne retenue.</w:t>
      </w:r>
    </w:p>
    <w:p>
      <w:pPr>
        <w:pStyle w:val="BodyText"/>
      </w:pPr>
      <w:r>
        <w:t xml:space="preserve">Les refus doivent être justifiés selon une liste limitative stricte. Les candidatures directes hors plateforme sont interdites pour les niveaux 3e, 2nde et voie professionnelle.</w:t>
      </w:r>
    </w:p>
    <w:p>
      <w:pPr>
        <w:pStyle w:val="BodyText"/>
      </w:pPr>
      <w:r>
        <w:t xml:space="preserve">Une structure n’est taxée que si elle a reçu des demandes via Anonymstage et ne les a pas honorées sans justification valable. Si aucune demande n’a été adressée → statut</w:t>
      </w:r>
      <w:r>
        <w:t xml:space="preserve"> </w:t>
      </w:r>
      <w:r>
        <w:t xml:space="preserve">“</w:t>
      </w:r>
      <w:r>
        <w:t xml:space="preserve">non sollicité</w:t>
      </w:r>
      <w:r>
        <w:t xml:space="preserve">”</w:t>
      </w:r>
      <w:r>
        <w:t xml:space="preserve"> </w:t>
      </w:r>
      <w:r>
        <w:t xml:space="preserve">affiché publiquement, pas de taxe.</w:t>
      </w:r>
    </w:p>
    <w:p>
      <w:pPr>
        <w:pStyle w:val="BodyText"/>
      </w:pPr>
      <w:r>
        <w:t xml:space="preserve">Justifications valables, liste limitative fermée :</w:t>
      </w:r>
    </w:p>
    <w:p>
      <w:pPr>
        <w:ind w:left="720" w:hanging="360"/>
      </w:pPr>
      <w:r>
        <w:t xml:space="preserve">• Danger physique avéré pour un mineur, chantier, produits chimiques, environnement à risque</w:t>
      </w:r>
    </w:p>
    <w:p>
      <w:pPr>
        <w:ind w:left="720" w:hanging="360"/>
      </w:pPr>
      <w:r>
        <w:t xml:space="preserve">• Mission légalement incompatible avec l’âge de l’élève</w:t>
      </w:r>
    </w:p>
    <w:p>
      <w:pPr>
        <w:ind w:left="720" w:hanging="360"/>
      </w:pPr>
      <w:r>
        <w:t xml:space="preserve">• Absence totale de poste disponible prouvée, structure en liquidation, fermeture temporaire officielle</w:t>
      </w:r>
    </w:p>
    <w:p>
      <w:pPr>
        <w:pStyle w:val="FirstParagraph"/>
      </w:pPr>
      <w:r>
        <w:t xml:space="preserve">Tout motif hors de cette liste est rejeté automatiquement par la plateforme et la taxe s’applique.</w:t>
      </w:r>
    </w:p>
    <w:p>
      <w:pPr>
        <w:pStyle w:val="BodyText"/>
      </w:pPr>
      <w:r>
        <w:rPr>
          <w:bCs/>
          <w:b/>
        </w:rPr>
        <w:t xml:space="preserve">2, L’obligation nationale d’accueil, quotas modulés par taille</w:t>
      </w:r>
    </w:p>
    <w:p>
      <w:pPr>
        <w:ind w:left="720" w:hanging="360"/>
      </w:pPr>
      <w:r>
        <w:t xml:space="preserve">• Moins de 10 salariés → volontaire, aucune obligation</w:t>
      </w:r>
    </w:p>
    <w:p>
      <w:pPr>
        <w:ind w:left="720" w:hanging="360"/>
      </w:pPr>
      <w:r>
        <w:t xml:space="preserve">• 10 à 50 salariés → 1 stagiaire par an minimum</w:t>
      </w:r>
    </w:p>
    <w:p>
      <w:pPr>
        <w:ind w:left="720" w:hanging="360"/>
      </w:pPr>
      <w:r>
        <w:t xml:space="preserve">• 50 à 249 salariés → 3 stagiaires par an minimum</w:t>
      </w:r>
    </w:p>
    <w:p>
      <w:pPr>
        <w:ind w:left="720" w:hanging="360"/>
      </w:pPr>
      <w:r>
        <w:t xml:space="preserve">• 250 salariés et plus → quota en pourcentage : 2% des effectifs</w:t>
      </w:r>
    </w:p>
    <w:p>
      <w:pPr>
        <w:pStyle w:val="FirstParagraph"/>
      </w:pPr>
      <w:r>
        <w:t xml:space="preserve">La fonction publique est soumise aux mêmes règles. L’État ne peut pas exiger du privé ce qu’il refuse de pratiquer.</w:t>
      </w:r>
    </w:p>
    <w:p>
      <w:pPr>
        <w:pStyle w:val="BodyText"/>
      </w:pPr>
      <w:r>
        <w:t xml:space="preserve">Entreprise qui ne respecte pas son quota → taxe automatique</w:t>
      </w:r>
    </w:p>
    <w:p>
      <w:pPr>
        <w:pStyle w:val="BodyText"/>
      </w:pPr>
      <w:r>
        <w:t xml:space="preserve">Entreprise qui dépasse son quota → réduction de taxe + label positif</w:t>
      </w:r>
    </w:p>
    <w:p>
      <w:pPr>
        <w:pStyle w:val="BodyText"/>
      </w:pPr>
      <w:r>
        <w:rPr>
          <w:bCs/>
          <w:b/>
        </w:rPr>
        <w:t xml:space="preserve">3, La rémunération obligatoire</w:t>
      </w:r>
    </w:p>
    <w:p>
      <w:pPr>
        <w:pStyle w:val="BodyText"/>
      </w:pPr>
      <w:r>
        <w:t xml:space="preserve">Tout stage est rémunéré au taux horaire brut du SMIC : 11,88€/h.</w:t>
      </w:r>
    </w:p>
    <w:p>
      <w:pPr>
        <w:ind w:left="720" w:hanging="360"/>
      </w:pPr>
      <w:r>
        <w:t xml:space="preserve">• TPE et PME (moins de 50 salariés) → exemptées de l’obligation d’accueil et de la taxe de non-accueil</w:t>
      </w:r>
    </w:p>
    <w:p>
      <w:pPr>
        <w:ind w:left="720" w:hanging="360"/>
      </w:pPr>
      <w:r>
        <w:t xml:space="preserve">• Si elles accueillent malgré tout → crédit d’impôt sur la rémunération du stagiaire</w:t>
      </w:r>
    </w:p>
    <w:p>
      <w:pPr>
        <w:ind w:left="720" w:hanging="360"/>
      </w:pPr>
      <w:r>
        <w:t xml:space="preserve">• Bonus REP/REP+ : crédit d’impôt majoré à 120% pour les TPE/PME ; label + abondement au Fonds pour les grandes structures, plafonné à 2 élèves REP/REP+ par an pour les petites structures, 5 pour les grandes</w:t>
      </w:r>
    </w:p>
    <w:p>
      <w:pPr>
        <w:pStyle w:val="FirstParagraph"/>
      </w:pPr>
      <w:r>
        <w:rPr>
          <w:bCs/>
          <w:b/>
        </w:rPr>
        <w:t xml:space="preserve">4, Les Bassins Locaux du Stage</w:t>
      </w:r>
    </w:p>
    <w:p>
      <w:pPr>
        <w:ind w:left="720" w:hanging="360"/>
      </w:pPr>
      <w:r>
        <w:t xml:space="preserve">• Comités locaux regroupant Éducation + Entreprises + Collectivités dans chaque territoire</w:t>
      </w:r>
    </w:p>
    <w:p>
      <w:pPr>
        <w:ind w:left="720" w:hanging="360"/>
      </w:pPr>
      <w:r>
        <w:t xml:space="preserve">• Cartographie des besoins locaux</w:t>
      </w:r>
    </w:p>
    <w:p>
      <w:pPr>
        <w:ind w:left="720" w:hanging="360"/>
      </w:pPr>
      <w:r>
        <w:t xml:space="preserve">• Engagements annuels d’accueil des structures participantes</w:t>
      </w:r>
    </w:p>
    <w:p>
      <w:pPr>
        <w:ind w:left="720" w:hanging="360"/>
      </w:pPr>
      <w:r>
        <w:t xml:space="preserve">• Mini-forums de stage obligatoires dans chaque territoire</w:t>
      </w:r>
    </w:p>
    <w:p>
      <w:pPr>
        <w:pStyle w:val="FirstParagraph"/>
      </w:pPr>
      <w:r>
        <w:t xml:space="preserve">Le bassin local est le premier niveau de placement, on cherche d’abord en proximité avant toute mobilité géographique.</w:t>
      </w:r>
    </w:p>
    <w:p>
      <w:pPr>
        <w:pStyle w:val="BodyText"/>
      </w:pPr>
      <w:r>
        <w:rPr>
          <w:bCs/>
          <w:b/>
        </w:rPr>
        <w:t xml:space="preserve">5, Le stage minimum universel, droit opposable</w:t>
      </w:r>
    </w:p>
    <w:p>
      <w:pPr>
        <w:pStyle w:val="BodyText"/>
      </w:pPr>
      <w:r>
        <w:t xml:space="preserve">Si un élève n’a pas de stage malgré X demandes validées par la plateforme, l’État l’affecte d’office dans une entreprise n’ayant pas rempli son quota. Cette affectation se fait en priorité dans le bassin local de l’élève, pour limiter l’éloignement familial, éviter les contraintes de logement et permettre aux parents d’intervenir rapidement si nécessaire.</w:t>
      </w:r>
    </w:p>
    <w:p>
      <w:pPr>
        <w:pStyle w:val="BodyText"/>
      </w:pPr>
      <w:r>
        <w:t xml:space="preserve">Le Service Civique de Stage reste le dernier recours : pour les cas où aucune affectation n’est possible, une mission d’intérêt général validée par l’école comme équivalent.</w:t>
      </w:r>
    </w:p>
    <w:p>
      <w:pPr>
        <w:pStyle w:val="BodyText"/>
      </w:pPr>
      <w:r>
        <w:rPr>
          <w:bCs/>
          <w:b/>
        </w:rPr>
        <w:t xml:space="preserve">6, La fin du réseautage privilégié</w:t>
      </w:r>
    </w:p>
    <w:p>
      <w:pPr>
        <w:ind w:left="720" w:hanging="360"/>
      </w:pPr>
      <w:r>
        <w:t xml:space="preserve">• Campagnes anti-piston : affiches, vidéos, témoignages</w:t>
      </w:r>
    </w:p>
    <w:p>
      <w:pPr>
        <w:ind w:left="720" w:hanging="360"/>
      </w:pPr>
      <w:r>
        <w:t xml:space="preserve">• Formation des tuteurs en entreprise</w:t>
      </w:r>
    </w:p>
    <w:p>
      <w:pPr>
        <w:ind w:left="720" w:hanging="360"/>
      </w:pPr>
      <w:r>
        <w:t xml:space="preserve">• Valorisation publique des entreprises exemplaires</w:t>
      </w:r>
    </w:p>
    <w:p>
      <w:pPr>
        <w:ind w:left="720" w:hanging="360"/>
      </w:pPr>
      <w:r>
        <w:t xml:space="preserve">• Score d’équité publié par établissement et par territoire</w:t>
      </w:r>
    </w:p>
    <w:p>
      <w:pPr>
        <w:pStyle w:val="FirstParagraph"/>
      </w:pPr>
      <w:r>
        <w:rPr>
          <w:bCs/>
          <w:b/>
        </w:rPr>
        <w:t xml:space="preserve">7, Le Passeport de Compétences</w:t>
      </w:r>
    </w:p>
    <w:p>
      <w:pPr>
        <w:pStyle w:val="BodyText"/>
      </w:pPr>
      <w:r>
        <w:t xml:space="preserve">Chaque élève reçoit une évaluation standardisée des compétences développées pendant son stage. Ce passeport l’accompagne jusqu’à l’entrée dans l’emploi et s’enrichit des expériences post-scolaires. Ce que tu sais faire compte plus que qui tu connais.</w:t>
      </w:r>
    </w:p>
    <w:bookmarkEnd w:id="46"/>
    <w:bookmarkStart w:id="47" w:name="X34def15b2415f9d9333bb07526adbc88832677e"/>
    <w:p>
      <w:pPr>
        <w:pStyle w:val="Heading2"/>
      </w:pPr>
      <w:r>
        <w:rPr>
          <w:bCs/>
          <w:b/>
        </w:rPr>
        <w:t xml:space="preserve">VOLET 2, INSERTION PROFESSIONNELLE (post-scolarité, 18-30 ans)</w:t>
      </w:r>
    </w:p>
    <w:p>
      <w:pPr>
        <w:pStyle w:val="FirstParagraph"/>
      </w:pPr>
      <w:r>
        <w:rPr>
          <w:bCs/>
          <w:b/>
        </w:rPr>
        <w:t xml:space="preserve">8, L’accompagnement au premier emploi</w:t>
      </w:r>
    </w:p>
    <w:p>
      <w:pPr>
        <w:pStyle w:val="BodyText"/>
      </w:pPr>
      <w:r>
        <w:t xml:space="preserve">Un conseiller dédié jeunesse, distinct du conseiller Pôle Emploi généraliste, accompagne chaque jeune de 18 à 30 ans dans sa recherche du premier emploi. Suivi individualisé, pas un guichet. Le seuil de 30 ans couvre les parcours atypiques : réorientation, études longues, alternance tardive, période de chômage post-diplôme.</w:t>
      </w:r>
    </w:p>
    <w:p>
      <w:pPr>
        <w:pStyle w:val="BodyText"/>
      </w:pPr>
      <w:r>
        <w:rPr>
          <w:bCs/>
          <w:b/>
        </w:rPr>
        <w:t xml:space="preserve">9, Les formations courtes complémentaires</w:t>
      </w:r>
    </w:p>
    <w:p>
      <w:pPr>
        <w:pStyle w:val="BodyText"/>
      </w:pPr>
      <w:r>
        <w:t xml:space="preserve">Si le diplôme obtenu ne suffit pas à accéder au marché, le fonds finance des formations courtes ciblées pour combler l’écart. Pas de requalification complète, des compléments opérationnels.</w:t>
      </w:r>
    </w:p>
    <w:p>
      <w:pPr>
        <w:pStyle w:val="BodyText"/>
      </w:pPr>
      <w:r>
        <w:rPr>
          <w:bCs/>
          <w:b/>
        </w:rPr>
        <w:t xml:space="preserve">10, L’aide à la mobilité géographique</w:t>
      </w:r>
    </w:p>
    <w:p>
      <w:pPr>
        <w:pStyle w:val="BodyText"/>
      </w:pPr>
      <w:r>
        <w:t xml:space="preserve">Le fonds finance les frais de déplacement et d’installation pour les jeunes contraints d’accepter un emploi éloigné de leur domicile. La diagonale du vide ne doit pas être une prison géographique.</w:t>
      </w:r>
    </w:p>
    <w:bookmarkEnd w:id="47"/>
    <w:bookmarkStart w:id="48" w:name="Xfd9bd61110b9623f588cbcd6344fc3ce4eeb918"/>
    <w:p>
      <w:pPr>
        <w:pStyle w:val="Heading2"/>
      </w:pPr>
      <w:r>
        <w:rPr>
          <w:bCs/>
          <w:b/>
        </w:rPr>
        <w:t xml:space="preserve">Le Fonds National pour l’Égalité des Chances des Jeunes</w:t>
      </w:r>
    </w:p>
    <w:p>
      <w:pPr>
        <w:pStyle w:val="FirstParagraph"/>
      </w:pPr>
      <w:r>
        <w:t xml:space="preserve">Financé par la taxe de non-accueil sur les grandes entreprises et la fonction publique, les abondements issus du label REP/REP+, et les contributions volontaires des structures engagées. Il couvre l’ensemble des deux volets, stages et insertion professionnelle, pour les jeunes de la scolarité jusqu’à 30 ans maximum. Son fonctionnement détaillé et son articulation avec les autres fonds nationaux sont intégrés au volet Économie du programme.</w:t>
      </w:r>
    </w:p>
    <w:bookmarkEnd w:id="48"/>
    <w:bookmarkEnd w:id="49"/>
    <w:bookmarkStart w:id="54" w:name="X8bcf5a78286cf506a26dcde342bb58ad4106cb5"/>
    <w:p>
      <w:pPr>
        <w:pStyle w:val="Heading1"/>
      </w:pPr>
      <w:r>
        <w:rPr>
          <w:bCs/>
          <w:b/>
        </w:rPr>
        <w:t xml:space="preserve">Lutte contre l’illettrisme et ateliers lecture/écriture</w:t>
      </w:r>
    </w:p>
    <w:bookmarkStart w:id="50" w:name="constat-4"/>
    <w:p>
      <w:pPr>
        <w:pStyle w:val="Heading2"/>
      </w:pPr>
      <w:r>
        <w:rPr>
          <w:bCs/>
          <w:b/>
        </w:rPr>
        <w:t xml:space="preserve">Constat</w:t>
      </w:r>
    </w:p>
    <w:p>
      <w:pPr>
        <w:pStyle w:val="FirstParagraph"/>
      </w:pPr>
      <w:r>
        <w:t xml:space="preserve">L’illettrisme touche environ 2,5 millions de personnes en France, soit 7% des adultes de 18 à 65 ans ayant été scolarisés en France. Dans les DROM-COM, ce taux dépasse 20% dans certains territoires. En Mayotte il atteint des niveaux critiques. L’illettrisme n’est pas une fatalité, c’est l’échec d’un système qui n’a pas détecté et traité les difficultés assez tôt. (Source : INSEE, enquête IVQ 2024)</w:t>
      </w:r>
    </w:p>
    <w:p>
      <w:pPr>
        <w:pStyle w:val="BodyText"/>
      </w:pPr>
      <w:r>
        <w:t xml:space="preserve">L’activité sportive de l’après-midi est le pilier du nouveau rythme scolaire LFP. Mais dans les territoires à fort taux d’illettrisme, zones rurales isolées, quartiers prioritaires de la politique de la ville et DROM-COM, l’après-midi libre peut accueillir des ateliers de lecture et d’écriture obligatoires en complément ou en substitution partielle de l’activité sportive.</w:t>
      </w:r>
    </w:p>
    <w:p>
      <w:pPr>
        <w:pStyle w:val="BodyText"/>
      </w:pPr>
      <w:r>
        <w:rPr>
          <w:iCs/>
          <w:i/>
        </w:rPr>
        <w:t xml:space="preserve">“</w:t>
      </w:r>
      <w:r>
        <w:rPr>
          <w:iCs/>
          <w:i/>
        </w:rPr>
        <w:t xml:space="preserve">Lire et écrire ce n’est pas une compétence scolaire parmi d’autres, c’est la condition de toutes les autres.</w:t>
      </w:r>
      <w:r>
        <w:rPr>
          <w:iCs/>
          <w:i/>
        </w:rPr>
        <w:t xml:space="preserve">”</w:t>
      </w:r>
    </w:p>
    <w:bookmarkEnd w:id="50"/>
    <w:bookmarkStart w:id="51" w:name="Xbe1984c6bd8ffca8f5901f4ba3455b6ddf40eb4"/>
    <w:p>
      <w:pPr>
        <w:pStyle w:val="Heading2"/>
      </w:pPr>
      <w:r>
        <w:rPr>
          <w:bCs/>
          <w:b/>
        </w:rPr>
        <w:t xml:space="preserve">Le dispositif LFP, ateliers lecture/écriture</w:t>
      </w:r>
    </w:p>
    <w:p>
      <w:pPr>
        <w:pStyle w:val="FirstParagraph"/>
      </w:pPr>
      <w:r>
        <w:t xml:space="preserve">Dans les établissements situés en zone à fort taux d’illettrisme, des ateliers de lecture et d’écriture sont organisés l’après-midi à partir du primaire. Ils sont animés par des professionnels formés et des associations locales partenaires.</w:t>
      </w:r>
    </w:p>
    <w:p>
      <w:pPr>
        <w:ind w:left="720" w:hanging="360"/>
      </w:pPr>
      <w:r>
        <w:t xml:space="preserve">• Ciblage par zone : REP, REP+, DROM-COM, communes rurales dont le taux d’illettrisme dépasse 10%</w:t>
      </w:r>
    </w:p>
    <w:p>
      <w:pPr>
        <w:ind w:left="720" w:hanging="360"/>
      </w:pPr>
      <w:r>
        <w:t xml:space="preserve">• Obligatoires pour les élèves dont les évaluations diagnostiques révèlent des difficultés en lecture ou en écriture</w:t>
      </w:r>
    </w:p>
    <w:p>
      <w:pPr>
        <w:ind w:left="720" w:hanging="360"/>
      </w:pPr>
      <w:r>
        <w:t xml:space="preserve">• Accessibles volontairement à tous les autres élèves de l’établissement</w:t>
      </w:r>
    </w:p>
    <w:p>
      <w:pPr>
        <w:ind w:left="720" w:hanging="360"/>
      </w:pPr>
      <w:r>
        <w:t xml:space="preserve">• Animés par des enseignants spécialisés et des associations d’alphabétisation agréées</w:t>
      </w:r>
    </w:p>
    <w:p>
      <w:pPr>
        <w:ind w:left="720" w:hanging="360"/>
      </w:pPr>
      <w:r>
        <w:t xml:space="preserve">• Format court et intensif : 45 minutes par session, deux à trois sessions par semaine</w:t>
      </w:r>
    </w:p>
    <w:p>
      <w:pPr>
        <w:ind w:left="720" w:hanging="360"/>
      </w:pPr>
      <w:r>
        <w:t xml:space="preserve">• Évaluation individualisée à chaque fin de période scolaire pour mesurer la progression</w:t>
      </w:r>
    </w:p>
    <w:bookmarkEnd w:id="51"/>
    <w:bookmarkStart w:id="52" w:name="financement-le-pass-culture-rétabli"/>
    <w:p>
      <w:pPr>
        <w:pStyle w:val="Heading2"/>
      </w:pPr>
      <w:r>
        <w:rPr>
          <w:bCs/>
          <w:b/>
        </w:rPr>
        <w:t xml:space="preserve">Financement, le Pass Culture rétabli</w:t>
      </w:r>
    </w:p>
    <w:p>
      <w:pPr>
        <w:pStyle w:val="FirstParagraph"/>
      </w:pPr>
      <w:r>
        <w:t xml:space="preserve">Ces ateliers sont financés par la part collective du Pass Culture, rétablie à 72 millions d’euros après les coupes opérées par Rachida Dati qui avaient réduit le budget collectif des établissements scolaires de 72 à 61,8 millions d’euros et abaissé le crédit individuel de 300€ à 150€.</w:t>
      </w:r>
    </w:p>
    <w:p>
      <w:pPr>
        <w:pStyle w:val="BodyText"/>
      </w:pPr>
      <w:r>
        <w:t xml:space="preserve">Les LFP rétablissent intégralement les paramètres d’avant les coupes Dati :</w:t>
      </w:r>
    </w:p>
    <w:p>
      <w:pPr>
        <w:ind w:left="720" w:hanging="360"/>
      </w:pPr>
      <w:r>
        <w:t xml:space="preserve">• Crédit individuel rétabli à 300€ pour les jeunes de 18 ans</w:t>
      </w:r>
    </w:p>
    <w:p>
      <w:pPr>
        <w:ind w:left="720" w:hanging="360"/>
      </w:pPr>
      <w:r>
        <w:t xml:space="preserve">• Éligibilité rétablie à 15 ans</w:t>
      </w:r>
    </w:p>
    <w:p>
      <w:pPr>
        <w:ind w:left="720" w:hanging="360"/>
      </w:pPr>
      <w:r>
        <w:t xml:space="preserve">• Budget de la part collective rétabli à 72 millions d’euros pour les établissements scolaires</w:t>
      </w:r>
    </w:p>
    <w:p>
      <w:pPr>
        <w:ind w:left="720" w:hanging="360"/>
      </w:pPr>
      <w:r>
        <w:t xml:space="preserve">• Plafond offres numériques rétabli à 100€</w:t>
      </w:r>
    </w:p>
    <w:p>
      <w:pPr>
        <w:pStyle w:val="FirstParagraph"/>
      </w:pPr>
      <w:r>
        <w:t xml:space="preserve">La part collective des 72 millions finance en priorité les ateliers lecture/écriture dans les zones à fort illettrisme. Le livre reste la première dépense du Pass Culture, 38% des dépenses en 2024, financer des ateliers lecture/écriture c’est renforcer ce qui fonctionne déjà, pas inventer quelque chose de nouveau. (Source : Rapport annuel Pass Culture 2024)</w:t>
      </w:r>
    </w:p>
    <w:p>
      <w:pPr>
        <w:pStyle w:val="BodyText"/>
      </w:pPr>
      <w:r>
        <w:rPr>
          <w:iCs/>
          <w:i/>
        </w:rPr>
        <w:t xml:space="preserve">“</w:t>
      </w:r>
      <w:r>
        <w:rPr>
          <w:iCs/>
          <w:i/>
        </w:rPr>
        <w:t xml:space="preserve">Dati a dit</w:t>
      </w:r>
      <w:r>
        <w:rPr>
          <w:iCs/>
          <w:i/>
        </w:rPr>
        <w:t xml:space="preserve"> </w:t>
      </w:r>
      <w:r>
        <w:rPr>
          <w:iCs/>
          <w:i/>
        </w:rPr>
        <w:t xml:space="preserve">‘</w:t>
      </w:r>
      <w:r>
        <w:rPr>
          <w:iCs/>
          <w:i/>
        </w:rPr>
        <w:t xml:space="preserve">Le Pass Culture pour tous</w:t>
      </w:r>
      <w:r>
        <w:rPr>
          <w:iCs/>
          <w:i/>
        </w:rPr>
        <w:t xml:space="preserve">’</w:t>
      </w:r>
      <w:r>
        <w:rPr>
          <w:iCs/>
          <w:i/>
        </w:rPr>
        <w:t xml:space="preserve"> </w:t>
      </w:r>
      <w:r>
        <w:rPr>
          <w:iCs/>
          <w:i/>
        </w:rPr>
        <w:t xml:space="preserve">en coupant les crédits de moitié. Les LFP disent</w:t>
      </w:r>
      <w:r>
        <w:rPr>
          <w:iCs/>
          <w:i/>
        </w:rPr>
        <w:t xml:space="preserve"> </w:t>
      </w:r>
      <w:r>
        <w:rPr>
          <w:iCs/>
          <w:i/>
        </w:rPr>
        <w:t xml:space="preserve">‘</w:t>
      </w:r>
      <w:r>
        <w:rPr>
          <w:iCs/>
          <w:i/>
        </w:rPr>
        <w:t xml:space="preserve">Le Pass Culture pour tous</w:t>
      </w:r>
      <w:r>
        <w:rPr>
          <w:iCs/>
          <w:i/>
        </w:rPr>
        <w:t xml:space="preserve">’</w:t>
      </w:r>
      <w:r>
        <w:rPr>
          <w:iCs/>
          <w:i/>
        </w:rPr>
        <w:t xml:space="preserve"> </w:t>
      </w:r>
      <w:r>
        <w:rPr>
          <w:iCs/>
          <w:i/>
        </w:rPr>
        <w:t xml:space="preserve">en rétablissant les moyens.</w:t>
      </w:r>
      <w:r>
        <w:rPr>
          <w:iCs/>
          <w:i/>
        </w:rPr>
        <w:t xml:space="preserve">”</w:t>
      </w:r>
    </w:p>
    <w:bookmarkEnd w:id="52"/>
    <w:bookmarkStart w:id="53" w:name="objectifs-mesurables"/>
    <w:p>
      <w:pPr>
        <w:pStyle w:val="Heading2"/>
      </w:pPr>
      <w:r>
        <w:rPr>
          <w:bCs/>
          <w:b/>
        </w:rPr>
        <w:t xml:space="preserve">Objectifs mesurables</w:t>
      </w:r>
    </w:p>
    <w:p>
      <w:pPr>
        <w:ind w:left="720" w:hanging="360"/>
      </w:pPr>
      <w:r>
        <w:t xml:space="preserve">• Réduire de 30% le taux d’illettrisme dans les zones ciblées sur un mandat</w:t>
      </w:r>
    </w:p>
    <w:p>
      <w:pPr>
        <w:ind w:left="720" w:hanging="360"/>
      </w:pPr>
      <w:r>
        <w:t xml:space="preserve">• Garantir qu’aucun élève ne quitte le cycle primaire sans maîtriser la lecture et l’écriture courante</w:t>
      </w:r>
    </w:p>
    <w:p>
      <w:pPr>
        <w:ind w:left="720" w:hanging="360"/>
      </w:pPr>
      <w:r>
        <w:t xml:space="preserve">• Créer un maillage territorial d’associations d’alphabétisation financées par le Pass Culture collectif</w:t>
      </w:r>
    </w:p>
    <w:bookmarkEnd w:id="53"/>
    <w:bookmarkEnd w:id="54"/>
    <w:bookmarkStart w:id="58" w:name="X2d262832090a8d3ce18b6c7670b62dcff1a297c"/>
    <w:p>
      <w:pPr>
        <w:pStyle w:val="Heading1"/>
      </w:pPr>
      <w:r>
        <w:rPr>
          <w:bCs/>
          <w:b/>
        </w:rPr>
        <w:t xml:space="preserve">Sanctuaires médico-éducatifs pour enfants victimes de violences</w:t>
      </w:r>
    </w:p>
    <w:bookmarkStart w:id="55" w:name="constat-5"/>
    <w:p>
      <w:pPr>
        <w:pStyle w:val="Heading2"/>
      </w:pPr>
      <w:r>
        <w:rPr>
          <w:bCs/>
          <w:b/>
        </w:rPr>
        <w:t xml:space="preserve">Constat</w:t>
      </w:r>
    </w:p>
    <w:p>
      <w:pPr>
        <w:pStyle w:val="FirstParagraph"/>
      </w:pPr>
      <w:r>
        <w:t xml:space="preserve">Un enfant victime de violences, notamment sexuelles, se heurte aujourd’hui à un système qui n’est pas pensé pour lui. Rester dans le milieu scolaire ordinaire, même renforcé de psychologues supplémentaires, ne suffit pas à interrompre le harcèlement ni à offrir la rupture immédiate dont l’enfant a besoin. Le dispositif existant le plus proche d’une réponse adaptée, l’ITEP, Institut Thérapeutique Éducatif et Pédagogique, n’est accessible qu’à travers une reconnaissance de handicap par la MDPH, une porte d’entrée pensée pour d’autres situations, inadaptée à l’urgence d’un enfant qui vient de subir des violences.</w:t>
      </w:r>
    </w:p>
    <w:p>
      <w:pPr>
        <w:pStyle w:val="BodyText"/>
      </w:pPr>
      <w:r>
        <w:rPr>
          <w:iCs/>
          <w:i/>
        </w:rPr>
        <w:t xml:space="preserve">« On ne répare pas un enfant brisé avec les mêmes délais administratifs que pour une orientation scolaire ordinaire. »</w:t>
      </w:r>
    </w:p>
    <w:bookmarkEnd w:id="55"/>
    <w:bookmarkStart w:id="56" w:name="les-chemins-envisagés"/>
    <w:p>
      <w:pPr>
        <w:pStyle w:val="Heading2"/>
      </w:pPr>
      <w:r>
        <w:rPr>
          <w:bCs/>
          <w:b/>
        </w:rPr>
        <w:t xml:space="preserve">Les chemins envisagés</w:t>
      </w:r>
    </w:p>
    <w:p>
      <w:pPr>
        <w:pStyle w:val="FirstParagraph"/>
      </w:pPr>
      <w:r>
        <w:rPr>
          <w:bCs/>
          <w:b/>
        </w:rPr>
        <w:t xml:space="preserve">Chemin 1, ignorer la subjectivité du vécu.</w:t>
      </w:r>
      <w:r>
        <w:t xml:space="preserve"> </w:t>
      </w:r>
      <w:r>
        <w:t xml:space="preserve">Réformer le système en ne gardant que le regard extérieur sur la gravité objective des violences, sans considérer que pour l’enfant, sur l’instant, il n’existe pas de hiérarchie de la souffrance tant qu’il n’a pas connu pire que ce qu’il a déjà subi. Cette approche réforme en surface sans régler les tensions réelles vécues par l’enfant.</w:t>
      </w:r>
    </w:p>
    <w:p>
      <w:pPr>
        <w:pStyle w:val="BodyText"/>
      </w:pPr>
      <w:r>
        <w:rPr>
          <w:bCs/>
          <w:b/>
        </w:rPr>
        <w:t xml:space="preserve">Chemin 2, catégoriser en masse selon la nature du traumatisme.</w:t>
      </w:r>
      <w:r>
        <w:t xml:space="preserve"> </w:t>
      </w:r>
      <w:r>
        <w:t xml:space="preserve">Séparer systématiquement les enfants selon le type de violence subie, en perdant de vue que l’union autour de l’expérience commune d’avoir vu ses limites transgressées est elle-même un vecteur de reconstruction. Cette approche fragmente les consciences plutôt que de les rassembler là où l’union aide justement à se relever.</w:t>
      </w:r>
    </w:p>
    <w:bookmarkEnd w:id="56"/>
    <w:bookmarkStart w:id="57" w:name="le-chemin-choisi-et-pourquoi"/>
    <w:p>
      <w:pPr>
        <w:pStyle w:val="Heading2"/>
      </w:pPr>
      <w:r>
        <w:rPr>
          <w:bCs/>
          <w:b/>
        </w:rPr>
        <w:t xml:space="preserve">Le chemin choisi, et pourquoi</w:t>
      </w:r>
    </w:p>
    <w:p>
      <w:pPr>
        <w:pStyle w:val="FirstParagraph"/>
      </w:pPr>
      <w:r>
        <w:t xml:space="preserve">La structure s’appuie sur le cadre juridique et financier déjà existant de l’ITEP, autorisation par l’Agence Régionale de Santé, financement intégral par l’Assurance Maladie, équipe pluridisciplinaire de psychologues, psychiatres, éducateurs spécialisés et enseignants formés. Les LFP y ajoutent une entrée spécifique, adaptée à l’urgence et à la nature du traumatisme.</w:t>
      </w:r>
    </w:p>
    <w:p>
      <w:pPr>
        <w:ind w:left="720" w:hanging="360"/>
      </w:pPr>
      <w:r>
        <w:t xml:space="preserve">• Entrée par signalement et protection judiciaire, juge des enfants, PJJ, ASE ou procureur, et non plus par la seule MDPH, pour une prise en charge rapide et directe</w:t>
      </w:r>
    </w:p>
    <w:p>
      <w:pPr>
        <w:ind w:left="720" w:hanging="360"/>
      </w:pPr>
      <w:r>
        <w:t xml:space="preserve">• Petits effectifs, 6 à 8 élèves par groupe, encadrés par une équipe pluridisciplinaire formée à la clinique du traumatisme</w:t>
      </w:r>
    </w:p>
    <w:p>
      <w:pPr>
        <w:ind w:left="720" w:hanging="360"/>
      </w:pPr>
      <w:r>
        <w:t xml:space="preserve">• Caractère transitoire assumé, de quelques mois à deux ans, conçu comme un sas de reconstruction avant un retour progressif vers un cursus ordinaire, pas une filière définitive</w:t>
      </w:r>
    </w:p>
    <w:p>
      <w:pPr>
        <w:ind w:left="720" w:hanging="360"/>
      </w:pPr>
      <w:r>
        <w:t xml:space="preserve">• Organisation hybride : apprentissages scolaires et suivi psychologique personnalisé en petits groupes différenciés selon les besoins de chaque enfant, moments de vie collective, récréation, cantine, cours de socialisation, activités partagées, scoutisme, accrobranche, ferme, stages pour les plus âgés, réunissant tous les enfants accueillis quelle que soit la nature de la violence subie</w:t>
      </w:r>
    </w:p>
    <w:p>
      <w:pPr>
        <w:ind w:left="720" w:hanging="360"/>
      </w:pPr>
      <w:r>
        <w:t xml:space="preserve">• Accompagnement possible à tous les niveaux, jusqu’au Master, avec des parcours individualisés à chaque étape, à l’image de la réforme de l’Aide Sociale à l’Enfance déjà portée par les Fraternels Phrygiens</w:t>
      </w:r>
    </w:p>
    <w:p>
      <w:pPr>
        <w:pStyle w:val="FirstParagraph"/>
      </w:pPr>
      <w:r>
        <w:rPr>
          <w:iCs/>
          <w:i/>
        </w:rPr>
        <w:t xml:space="preserve">« Ce n’est pas le type de violence qui rapproche les enfants entre eux, c’est l’expérience commune d’avoir vu ses propres limites transgressées, et le chemin de reconstruction qui s’ensuit. »</w:t>
      </w:r>
    </w:p>
    <w:p>
      <w:pPr>
        <w:ind w:left="720" w:hanging="360"/>
        <w:pStyle w:val="Compact"/>
      </w:pPr>
      <w:r>
        <w:t xml:space="preserve">• Publier annuellement les taux de progression par établissement et par territoire</w:t>
      </w:r>
    </w:p>
    <w:bookmarkEnd w:id="57"/>
    <w:bookmarkEnd w:id="58"/>
    <w:sectPr>
      <w:pgSz w:h="16838" w:w="11906"/>
      <w:pgMar w:bottom="1134" w:footer="708" w:gutter="0" w:header="708"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fr-F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fr-FR" w:val="fr-FR"/>
      </w:rPr>
    </w:rPrDefault>
    <w:pPrDefault>
      <w:pPr>
        <w:spacing w:after="160"/>
      </w:pPr>
    </w:pPrDefault>
  </w:docDefaults>
  <w:latentStyles w:count="276" w:defLockedState="0" w:defQFormat="0" w:defSemiHidden="0" w:defUIPriority="0" w:defUnhideWhenUsed="0"/>
  <w:style w:default="1" w:styleId="Normal" w:type="paragraph">
    <w:name w:val="Normal"/>
    <w:qFormat/>
    <w:pPr>
      <w:spacing w:after="160" w:before="0"/>
    </w:pPr>
    <w:rPr>
      <w:rFonts w:ascii="Arial" w:cs="Arial" w:hAnsi="Arial"/>
      <w:sz w:val="24"/>
      <w:szCs w:val="24"/>
    </w:rPr>
  </w:style>
  <w:style w:styleId="BodyText" w:type="paragraph">
    <w:name w:val="Body Text"/>
    <w:basedOn w:val="Normal"/>
    <w:link w:val="BodyTextChar"/>
    <w:pPr>
      <w:spacing w:after="160" w:before="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80" w:before="360"/>
      <w:outlineLvl w:val="0"/>
    </w:pPr>
    <w:rPr>
      <w:rFonts w:ascii="Arial" w:cstheme="majorBidi" w:eastAsiaTheme="majorEastAsia" w:hAnsi="Arial"/>
      <w:b/>
      <w:bCs/>
      <w:color w:val="1F3864"/>
      <w:sz w:val="32"/>
      <w:szCs w:val="32"/>
    </w:rPr>
  </w:style>
  <w:style w:styleId="Heading2" w:type="paragraph">
    <w:name w:val="Heading 2"/>
    <w:basedOn w:val="Normal"/>
    <w:next w:val="BodyText"/>
    <w:uiPriority w:val="9"/>
    <w:unhideWhenUsed/>
    <w:qFormat/>
    <w:pPr>
      <w:keepNext/>
      <w:keepLines/>
      <w:spacing w:after="120" w:before="240"/>
      <w:outlineLvl w:val="1"/>
    </w:pPr>
    <w:rPr>
      <w:rFonts w:ascii="Arial" w:cstheme="majorBidi" w:eastAsiaTheme="majorEastAsia" w:hAnsi="Arial"/>
      <w:b/>
      <w:bCs/>
      <w:color w:val="2E509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2026-07-23T14:49:04Z</dcterms:created>
  <dcterms:modified xsi:type="dcterms:W3CDTF">2026-07-23T14:49:04Z</dcterms:modified>
</cp:coreProperties>
</file>

<file path=docProps/custom.xml><?xml version="1.0" encoding="utf-8"?>
<Properties xmlns="http://schemas.openxmlformats.org/officeDocument/2006/custom-properties" xmlns:vt="http://schemas.openxmlformats.org/officeDocument/2006/docPropsVTypes"/>
</file>