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 w:before="0"/>
      </w:pPr>
      <w:r>
        <w:rPr>
          <w:rFonts w:ascii="Calibri" w:hAnsi="Calibri" w:eastAsia="Calibri"/>
          <w:sz w:val="22"/>
        </w:rPr>
        <w:t>Procédure interne - Accueil d'un nouveau collaborateur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Avant l'arrivée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Préparer les accès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responsable vérifie que les demandes d'accès sont introduites avant l'arrivée du collaborateur.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Préparer le matériel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poste de travail, le badge et les informations utiles sont préparés avec les personnes concernées.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Le premier jour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Accueil dans l'équipe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collaborateur est accueilli par son référent et reçoit les informations pratiques.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Présentation des outils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outils principaux sont présentés : session Windows, messagerie, intranet et dossiers partagés.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Après la première semaine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Point de suivi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Un court échange permet de vérifier que les accès, les outils et les premières tâches sont compris.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Ajustements éventuels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difficultés sont notées et transmises aux personnes concernées.</w:t>
      </w:r>
    </w:p>
    <w:p>
      <w:pPr>
        <w:pStyle w:val="Heading1"/>
        <w:spacing w:after="120" w:before="280"/>
      </w:pPr>
      <w:r>
        <w:rPr>
          <w:rFonts w:ascii="Calibri" w:hAnsi="Calibri" w:eastAsia="Calibri"/>
          <w:sz w:val="22"/>
        </w:rPr>
        <w:t>Tableau de suivi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2B579A"/>
          <w:left w:val="single" w:sz="8" w:space="0" w:color="2B579A"/>
          <w:bottom w:val="single" w:sz="8" w:space="0" w:color="2B579A"/>
          <w:right w:val="single" w:sz="8" w:space="0" w:color="2B579A"/>
          <w:insideH w:val="single" w:sz="8" w:space="0" w:color="2B579A"/>
          <w:insideV w:val="single" w:sz="8" w:space="0" w:color="2B579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DDEBF7" w:val="clear"/>
          </w:tcPr>
          <w:p>
            <w:r>
              <w:rPr>
                <w:b/>
                <w:color w:val="2B579A"/>
              </w:rPr>
              <w:t>Action</w:t>
            </w:r>
          </w:p>
        </w:tc>
        <w:tc>
          <w:tcPr>
            <w:tcW w:type="dxa" w:w="3024"/>
            <w:shd w:fill="DDEBF7" w:val="clear"/>
          </w:tcPr>
          <w:p>
            <w:r>
              <w:rPr>
                <w:b/>
                <w:color w:val="2B579A"/>
              </w:rPr>
              <w:t>Responsable</w:t>
            </w:r>
          </w:p>
        </w:tc>
        <w:tc>
          <w:tcPr>
            <w:tcW w:type="dxa" w:w="3024"/>
            <w:shd w:fill="DDEBF7" w:val="clear"/>
          </w:tcPr>
          <w:p>
            <w:r>
              <w:rPr>
                <w:b/>
                <w:color w:val="2B579A"/>
              </w:rPr>
              <w:t>Échéance</w:t>
            </w:r>
          </w:p>
        </w:tc>
      </w:tr>
      <w:tr>
        <w:tc>
          <w:tcPr>
            <w:tcW w:type="dxa" w:w="3024"/>
          </w:tcPr>
          <w:p>
            <w:r>
              <w:t>Préparer les accès</w:t>
            </w:r>
          </w:p>
        </w:tc>
        <w:tc>
          <w:tcPr>
            <w:tcW w:type="dxa" w:w="3024"/>
          </w:tcPr>
          <w:p>
            <w:r>
              <w:t>Service IT</w:t>
            </w:r>
          </w:p>
        </w:tc>
        <w:tc>
          <w:tcPr>
            <w:tcW w:type="dxa" w:w="3024"/>
          </w:tcPr>
          <w:p>
            <w:r>
              <w:t>J-2</w:t>
            </w:r>
          </w:p>
        </w:tc>
      </w:tr>
      <w:tr>
        <w:tc>
          <w:tcPr>
            <w:tcW w:type="dxa" w:w="3024"/>
          </w:tcPr>
          <w:p>
            <w:r>
              <w:t>Préparer le matériel</w:t>
            </w:r>
          </w:p>
        </w:tc>
        <w:tc>
          <w:tcPr>
            <w:tcW w:type="dxa" w:w="3024"/>
          </w:tcPr>
          <w:p>
            <w:r>
              <w:t>Logistique</w:t>
            </w:r>
          </w:p>
        </w:tc>
        <w:tc>
          <w:tcPr>
            <w:tcW w:type="dxa" w:w="3024"/>
          </w:tcPr>
          <w:p>
            <w:r>
              <w:t>J-1</w:t>
            </w:r>
          </w:p>
        </w:tc>
      </w:tr>
      <w:tr>
        <w:tc>
          <w:tcPr>
            <w:tcW w:type="dxa" w:w="3024"/>
          </w:tcPr>
          <w:p>
            <w:r>
              <w:t>Accueil du collaborateur</w:t>
            </w:r>
          </w:p>
        </w:tc>
        <w:tc>
          <w:tcPr>
            <w:tcW w:type="dxa" w:w="3024"/>
          </w:tcPr>
          <w:p>
            <w:r>
              <w:t>Référent</w:t>
            </w:r>
          </w:p>
        </w:tc>
        <w:tc>
          <w:tcPr>
            <w:tcW w:type="dxa" w:w="3024"/>
          </w:tcPr>
          <w:p>
            <w:r>
              <w:t>Jour J</w:t>
            </w:r>
          </w:p>
        </w:tc>
      </w:tr>
      <w:tr>
        <w:tc>
          <w:tcPr>
            <w:tcW w:type="dxa" w:w="3024"/>
          </w:tcPr>
          <w:p>
            <w:r>
              <w:t>Présentation des outils</w:t>
            </w:r>
          </w:p>
        </w:tc>
        <w:tc>
          <w:tcPr>
            <w:tcW w:type="dxa" w:w="3024"/>
          </w:tcPr>
          <w:p>
            <w:r>
              <w:t>Référent</w:t>
            </w:r>
          </w:p>
        </w:tc>
        <w:tc>
          <w:tcPr>
            <w:tcW w:type="dxa" w:w="3024"/>
          </w:tcPr>
          <w:p>
            <w:r>
              <w:t>Jour J</w:t>
            </w:r>
          </w:p>
        </w:tc>
      </w:tr>
      <w:tr>
        <w:tc>
          <w:tcPr>
            <w:tcW w:type="dxa" w:w="3024"/>
          </w:tcPr>
          <w:p>
            <w:r>
              <w:t>Point de suivi</w:t>
            </w:r>
          </w:p>
        </w:tc>
        <w:tc>
          <w:tcPr>
            <w:tcW w:type="dxa" w:w="3024"/>
          </w:tcPr>
          <w:p>
            <w:r>
              <w:t>Responsable</w:t>
            </w:r>
          </w:p>
        </w:tc>
        <w:tc>
          <w:tcPr>
            <w:tcW w:type="dxa" w:w="3024"/>
          </w:tcPr>
          <w:p>
            <w:r>
              <w:t>J+7</w:t>
            </w:r>
          </w:p>
        </w:tc>
      </w:tr>
    </w:tbl>
    <w:p>
      <w:pPr>
        <w:pStyle w:val="Heading2"/>
        <w:spacing w:after="80" w:before="280"/>
      </w:pPr>
      <w:r>
        <w:rPr>
          <w:rFonts w:ascii="Calibri" w:hAnsi="Calibri" w:eastAsia="Calibri"/>
          <w:sz w:val="22"/>
        </w:rPr>
        <w:t>Déroulé du premier jour</w:t>
      </w:r>
    </w:p>
    <w:p>
      <w:pPr>
        <w:pStyle w:val="ListNumber"/>
      </w:pPr>
      <w:r>
        <w:t>Accueil par le référent.</w:t>
      </w:r>
    </w:p>
    <w:p>
      <w:pPr>
        <w:pStyle w:val="ListNumber"/>
      </w:pPr>
      <w:r>
        <w:t>Présentation des outils principaux.</w:t>
      </w:r>
    </w:p>
    <w:p>
      <w:pPr>
        <w:pStyle w:val="ListNumber"/>
      </w:pPr>
      <w:r>
        <w:t>Lecture des consignes utiles.</w:t>
      </w:r>
    </w:p>
    <w:p>
      <w:pPr>
        <w:pStyle w:val="ListNumber"/>
      </w:pPr>
      <w:r>
        <w:t>Planification d'un point de suivi.</w:t>
      </w:r>
    </w:p>
    <w:p>
      <w:pPr>
        <w:pStyle w:val="Heading2"/>
        <w:spacing w:after="80" w:before="240"/>
      </w:pPr>
      <w:r>
        <w:rPr>
          <w:rFonts w:ascii="Calibri" w:hAnsi="Calibri" w:eastAsia="Calibri"/>
          <w:sz w:val="22"/>
        </w:rPr>
        <w:t>Points d'attention</w:t>
      </w:r>
    </w:p>
    <w:p>
      <w:pPr>
        <w:pStyle w:val="ListBullet"/>
      </w:pPr>
      <w:r>
        <w:t>Vérifier le badge</w:t>
      </w:r>
    </w:p>
    <w:p>
      <w:pPr>
        <w:pStyle w:val="ListBullet"/>
      </w:pPr>
      <w:r>
        <w:t>Tester la session Windows</w:t>
      </w:r>
    </w:p>
    <w:p>
      <w:pPr>
        <w:pStyle w:val="ListBullet"/>
      </w:pPr>
      <w:r>
        <w:t>Remettre les contacts utiles</w:t>
      </w:r>
    </w:p>
    <w:p>
      <w:pPr>
        <w:spacing w:after="160" w:before="320"/>
        <w:jc w:val="center"/>
      </w:pPr>
      <w:r>
        <w:rPr>
          <w:rFonts w:ascii="Calibri" w:hAnsi="Calibri" w:eastAsia="Calibri"/>
          <w:b/>
          <w:color w:val="2B579A"/>
          <w:sz w:val="56"/>
        </w:rPr>
        <w:t>Accueil CHC</w:t>
      </w:r>
    </w:p>
    <w:p>
      <w:pPr>
        <w:spacing w:after="160" w:before="0"/>
        <w:jc w:val="center"/>
      </w:pPr>
      <w:r>
        <w:rPr>
          <w:rFonts w:ascii="Calibri" w:hAnsi="Calibri" w:eastAsia="Calibri"/>
          <w:i/>
          <w:sz w:val="22"/>
        </w:rPr>
        <w:t>WordArt — titre décoratif du service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1224000" cy="524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c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52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Calibri" w:hAnsi="Calibri" w:eastAsia="Calibri"/>
          <w:i/>
          <w:sz w:val="22"/>
        </w:rPr>
        <w:t>Logo du service (habillage Aligné sur le texte).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