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before="0"/>
        <w:jc w:val="center"/>
      </w:pPr>
      <w:r>
        <w:rPr>
          <w:rFonts w:ascii="Calibri" w:hAnsi="Calibri" w:eastAsia="Calibri"/>
          <w:sz w:val="22"/>
        </w:rPr>
        <w:t>Compte rendu de réunion</w:t>
      </w:r>
    </w:p>
    <w:p>
      <w:pPr>
        <w:pStyle w:val="Subtitle"/>
        <w:spacing w:after="160" w:before="0"/>
        <w:jc w:val="center"/>
      </w:pPr>
      <w:r>
        <w:rPr>
          <w:rFonts w:ascii="Calibri" w:hAnsi="Calibri" w:eastAsia="Calibri"/>
          <w:sz w:val="22"/>
        </w:rPr>
        <w:t>Suivi d'équipe — Service Formation CHC</w:t>
      </w:r>
    </w:p>
    <w:p>
      <w:pPr>
        <w:spacing w:after="160" w:before="0"/>
        <w:jc w:val="center"/>
      </w:pPr>
      <w:r>
        <w:rPr>
          <w:rFonts w:ascii="Calibri" w:hAnsi="Calibri" w:eastAsia="Calibri"/>
          <w:sz w:val="22"/>
        </w:rPr>
        <w:t>Date : 23 septembre 2026</w:t>
      </w:r>
    </w:p>
    <w:p>
      <w:pPr>
        <w:spacing w:after="160" w:before="0"/>
        <w:jc w:val="center"/>
      </w:pPr>
      <w:r>
        <w:rPr>
          <w:rFonts w:ascii="Calibri" w:hAnsi="Calibri" w:eastAsia="Calibri"/>
          <w:sz w:val="22"/>
        </w:rPr>
        <w:t>Participants : responsable, référents, service IT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1080000" cy="46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c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Calibri" w:hAnsi="Calibri" w:eastAsia="Calibri"/>
          <w:sz w:val="22"/>
        </w:rPr>
        <w:t>Table des matières</w:t>
      </w:r>
    </w:p>
    <w:p>
      <w:pPr>
        <w:spacing w:after="240"/>
      </w:pPr>
      <w:r>
        <w:fldChar w:fldCharType="begin"/>
        <w:instrText xml:space="preserve"> TOC \o "1-3" \h \z \u </w:instrText>
        <w:fldChar w:fldCharType="separate"/>
        <w:t xml:space="preserve">Mettez le champ à jour (F9) pour afficher toute la table des matières.</w:t>
        <w:fldChar w:fldCharType="end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hAnsi="Calibri" w:eastAsia="Calibri"/>
          <w:sz w:val="22"/>
        </w:rPr>
        <w:t>Objectif de la réunion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Contexte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La réunion vise à faire le point sur l'accueil des nouveaux collaborateurs et à valider les documents de formation Word. Le service Formation souhaite un compte rendu lisible, structuré et prêt à diffuser sans explication orale.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Périmètre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Les échanges portent sur la procédure d'accueil, le calendrier des sessions et les supports à mettre à jour. Les sujets hors périmètre sont reportés au prochain comité.</w:t>
      </w:r>
    </w:p>
    <w:p>
      <w:pPr>
        <w:pStyle w:val="Heading1"/>
        <w:spacing w:after="120" w:before="240"/>
      </w:pPr>
      <w:r>
        <w:rPr>
          <w:rFonts w:ascii="Calibri" w:hAnsi="Calibri" w:eastAsia="Calibri"/>
          <w:sz w:val="22"/>
        </w:rPr>
        <w:t>Décisions prises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Documents de référence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groupe valide le modèle de procédure d'accueil et demande sa diffusion aux référents. Les titres doivent rester gérés par les styles Titre 1 et Titre 2.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Organisation des sessions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Les sessions Word Module 1 restent le mardi matin. Une session de rattrapage est prévue pour les absents justifiés. Le service Formation confirme les salles.</w:t>
      </w:r>
    </w:p>
    <w:p>
      <w:pPr>
        <w:pStyle w:val="Heading1"/>
        <w:spacing w:after="120" w:before="240"/>
      </w:pPr>
      <w:r>
        <w:rPr>
          <w:rFonts w:ascii="Calibri" w:hAnsi="Calibri" w:eastAsia="Calibri"/>
          <w:sz w:val="22"/>
        </w:rPr>
        <w:t>Actions à suivre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Suivi immédiat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Chaque action ci-dessous a un responsable et une échéance. Le tableau sera relu avant envoi du compte rendu.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Préparation du prochain point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prochain point d'avancement reprendra les actions ouvertes et les documents modifiés. Un rappel sera envoyé 48 heures avant la réunion.</w:t>
      </w:r>
    </w:p>
    <w:p>
      <w:pPr>
        <w:pStyle w:val="Heading1"/>
        <w:spacing w:after="120" w:before="240"/>
      </w:pPr>
      <w:r>
        <w:rPr>
          <w:rFonts w:ascii="Calibri" w:hAnsi="Calibri" w:eastAsia="Calibri"/>
          <w:sz w:val="22"/>
        </w:rPr>
        <w:t>Commentaires et validation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Relecture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texte a été relu : orthographe corrigée, phrases clarifiées, vocabulaire homogène. Aucune mention personnelle n'apparaît dans le document diffusé.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Diffusion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Après mise à jour de la table des matières et aperçu avant impression, le compte rendu est envoyé aux participants et déposé dans le dossier partagé du service.</w:t>
      </w:r>
    </w:p>
    <w:p>
      <w:pPr>
        <w:pStyle w:val="Heading2"/>
        <w:spacing w:after="160" w:before="200"/>
      </w:pPr>
      <w:r>
        <w:rPr>
          <w:rFonts w:ascii="Calibri" w:hAnsi="Calibri" w:eastAsia="Calibri"/>
          <w:sz w:val="22"/>
        </w:rPr>
        <w:t>Tableau des décisions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2B579A"/>
          <w:left w:val="single" w:sz="8" w:space="0" w:color="2B579A"/>
          <w:bottom w:val="single" w:sz="8" w:space="0" w:color="2B579A"/>
          <w:right w:val="single" w:sz="8" w:space="0" w:color="2B579A"/>
          <w:insideH w:val="single" w:sz="8" w:space="0" w:color="2B579A"/>
          <w:insideV w:val="single" w:sz="8" w:space="0" w:color="2B579A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DDEBF7" w:val="clear"/>
          </w:tcPr>
          <w:p>
            <w:r>
              <w:rPr>
                <w:b/>
                <w:color w:val="2B579A"/>
              </w:rPr>
              <w:t>Décision</w:t>
            </w:r>
          </w:p>
        </w:tc>
        <w:tc>
          <w:tcPr>
            <w:tcW w:type="dxa" w:w="3024"/>
            <w:shd w:fill="DDEBF7" w:val="clear"/>
          </w:tcPr>
          <w:p>
            <w:r>
              <w:rPr>
                <w:b/>
                <w:color w:val="2B579A"/>
              </w:rPr>
              <w:t>Responsable</w:t>
            </w:r>
          </w:p>
        </w:tc>
        <w:tc>
          <w:tcPr>
            <w:tcW w:type="dxa" w:w="3024"/>
            <w:shd w:fill="DDEBF7" w:val="clear"/>
          </w:tcPr>
          <w:p>
            <w:r>
              <w:rPr>
                <w:b/>
                <w:color w:val="2B579A"/>
              </w:rPr>
              <w:t>Échéance</w:t>
            </w:r>
          </w:p>
        </w:tc>
      </w:tr>
      <w:tr>
        <w:tc>
          <w:tcPr>
            <w:tcW w:type="dxa" w:w="3024"/>
          </w:tcPr>
          <w:p>
            <w:r>
              <w:t>Valider le nouveau modèle</w:t>
            </w:r>
          </w:p>
        </w:tc>
        <w:tc>
          <w:tcPr>
            <w:tcW w:type="dxa" w:w="3024"/>
          </w:tcPr>
          <w:p>
            <w:r>
              <w:t>Service Formation</w:t>
            </w:r>
          </w:p>
        </w:tc>
        <w:tc>
          <w:tcPr>
            <w:tcW w:type="dxa" w:w="3024"/>
          </w:tcPr>
          <w:p>
            <w:r>
              <w:t>Semaine 1</w:t>
            </w:r>
          </w:p>
        </w:tc>
      </w:tr>
      <w:tr>
        <w:tc>
          <w:tcPr>
            <w:tcW w:type="dxa" w:w="3024"/>
          </w:tcPr>
          <w:p>
            <w:r>
              <w:t>Diffuser la procédure</w:t>
            </w:r>
          </w:p>
        </w:tc>
        <w:tc>
          <w:tcPr>
            <w:tcW w:type="dxa" w:w="3024"/>
          </w:tcPr>
          <w:p>
            <w:r>
              <w:t>Référent</w:t>
            </w:r>
          </w:p>
        </w:tc>
        <w:tc>
          <w:tcPr>
            <w:tcW w:type="dxa" w:w="3024"/>
          </w:tcPr>
          <w:p>
            <w:r>
              <w:t>Semaine 2</w:t>
            </w:r>
          </w:p>
        </w:tc>
      </w:tr>
      <w:tr>
        <w:tc>
          <w:tcPr>
            <w:tcW w:type="dxa" w:w="3024"/>
          </w:tcPr>
          <w:p>
            <w:r>
              <w:t>Planifier le suivi</w:t>
            </w:r>
          </w:p>
        </w:tc>
        <w:tc>
          <w:tcPr>
            <w:tcW w:type="dxa" w:w="3024"/>
          </w:tcPr>
          <w:p>
            <w:r>
              <w:t>Responsable</w:t>
            </w:r>
          </w:p>
        </w:tc>
        <w:tc>
          <w:tcPr>
            <w:tcW w:type="dxa" w:w="3024"/>
          </w:tcPr>
          <w:p>
            <w:r>
              <w:t>Semaine 3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hAnsi="Calibri" w:eastAsia="Calibri"/>
          <w:sz w:val="22"/>
        </w:rPr>
        <w:t>Prochaines étapes</w:t>
      </w:r>
    </w:p>
    <w:p>
      <w:pPr>
        <w:pStyle w:val="ListNumber"/>
      </w:pPr>
      <w:r>
        <w:t>Envoyer le compte rendu aux participants.</w:t>
      </w:r>
    </w:p>
    <w:p>
      <w:pPr>
        <w:pStyle w:val="ListNumber"/>
      </w:pPr>
      <w:r>
        <w:t>Mettre à jour les documents concernés.</w:t>
      </w:r>
    </w:p>
    <w:p>
      <w:pPr>
        <w:pStyle w:val="ListNumber"/>
      </w:pPr>
      <w:r>
        <w:t>Préparer le prochain point d'avancement.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134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sz w:val="20"/>
      </w:rP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i/>
        <w:color w:val="2B579A"/>
        <w:sz w:val="20"/>
      </w:rPr>
      <w:t>Compte rendu de réunion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