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before="0"/>
      </w:pPr>
      <w:r>
        <w:rPr>
          <w:rFonts w:ascii="Calibri" w:hAnsi="Calibri" w:eastAsia="Calibri"/>
          <w:sz w:val="22"/>
        </w:rPr>
        <w:t>Maîtriser les tableaux</w:t>
      </w:r>
    </w:p>
    <w:p>
      <w:pPr>
        <w:spacing w:after="240" w:before="0"/>
      </w:pPr>
      <w:r>
        <w:rPr>
          <w:rFonts w:ascii="Calibri" w:hAnsi="Calibri" w:eastAsia="Calibri"/>
          <w:i/>
          <w:color w:val="666666"/>
          <w:sz w:val="22"/>
        </w:rPr>
        <w:t>Consigne : convertissez le texte (séparateur ;) en tableau, fusionnez les cellules d'une ligne d'en-tête, fractionnez une cellule, ajoutez une ligne de total avec =SUM(ABOVE), reconvertissez une partie du tableau en texte, puis présentez le dernier paragraphe sur deux colonnes façon journal.</w:t>
      </w:r>
    </w:p>
    <w:p>
      <w:pPr>
        <w:pStyle w:val="Heading1"/>
        <w:spacing w:after="160" w:before="0"/>
      </w:pPr>
      <w:r>
        <w:rPr>
          <w:rFonts w:ascii="Calibri" w:hAnsi="Calibri" w:eastAsia="Calibri"/>
          <w:sz w:val="22"/>
        </w:rPr>
        <w:t>Texte à convertir en tableau (séparateur : point-virgule)</w:t>
      </w:r>
    </w:p>
    <w:p>
      <w:pPr>
        <w:spacing w:after="40" w:before="0"/>
      </w:pPr>
      <w:r>
        <w:rPr>
          <w:rFonts w:ascii="Calibri" w:hAnsi="Calibri" w:eastAsia="Calibri"/>
          <w:sz w:val="22"/>
        </w:rPr>
        <w:t>Action;Responsable;Heures</w:t>
      </w:r>
    </w:p>
    <w:p>
      <w:pPr>
        <w:spacing w:after="40" w:before="0"/>
      </w:pPr>
      <w:r>
        <w:rPr>
          <w:rFonts w:ascii="Calibri" w:hAnsi="Calibri" w:eastAsia="Calibri"/>
          <w:sz w:val="22"/>
        </w:rPr>
        <w:t>Préparer les accès;Service IT;2</w:t>
      </w:r>
    </w:p>
    <w:p>
      <w:pPr>
        <w:spacing w:after="40" w:before="0"/>
      </w:pPr>
      <w:r>
        <w:rPr>
          <w:rFonts w:ascii="Calibri" w:hAnsi="Calibri" w:eastAsia="Calibri"/>
          <w:sz w:val="22"/>
        </w:rPr>
        <w:t>Préparer le matériel;Logistique;3</w:t>
      </w:r>
    </w:p>
    <w:p>
      <w:pPr>
        <w:spacing w:after="40" w:before="0"/>
      </w:pPr>
      <w:r>
        <w:rPr>
          <w:rFonts w:ascii="Calibri" w:hAnsi="Calibri" w:eastAsia="Calibri"/>
          <w:sz w:val="22"/>
        </w:rPr>
        <w:t>Accueil du collaborateur;Référent;4</w:t>
      </w:r>
    </w:p>
    <w:p>
      <w:pPr>
        <w:pStyle w:val="Heading1"/>
        <w:spacing w:after="160" w:before="0"/>
      </w:pPr>
      <w:r>
        <w:rPr>
          <w:rFonts w:ascii="Calibri" w:hAnsi="Calibri" w:eastAsia="Calibri"/>
          <w:sz w:val="22"/>
        </w:rPr>
        <w:t>Totaux à calculer avec une formule</w:t>
      </w:r>
    </w:p>
    <w:p>
      <w:pPr>
        <w:spacing w:after="160" w:before="0"/>
      </w:pPr>
      <w:r>
        <w:rPr>
          <w:rFonts w:ascii="Calibri" w:hAnsi="Calibri" w:eastAsia="Calibri"/>
          <w:sz w:val="22"/>
        </w:rPr>
        <w:t>Après conversion, ajoutez une ligne de total et utilisez =SUM(ABOVE) sur la colonne Heures.</w:t>
      </w:r>
    </w:p>
    <w:p>
      <w:pPr>
        <w:pStyle w:val="Heading1"/>
        <w:spacing w:after="160" w:before="0"/>
      </w:pPr>
      <w:r>
        <w:rPr>
          <w:rFonts w:ascii="Calibri" w:hAnsi="Calibri" w:eastAsia="Calibri"/>
          <w:sz w:val="22"/>
        </w:rPr>
        <w:t>Texte à présenter en colonnes</w:t>
      </w:r>
    </w:p>
    <w:p>
      <w:pPr>
        <w:spacing w:after="160" w:before="0"/>
      </w:pPr>
      <w:r>
        <w:rPr>
          <w:rFonts w:ascii="Calibri" w:hAnsi="Calibri" w:eastAsia="Calibri"/>
          <w:sz w:val="22"/>
        </w:rPr>
        <w:t>Ce paragraphe doit être présenté sur deux colonnes façon journal afin d'illustrer la mise en page multicolonne. Ajoutez suffisamment de texte pour remplir les deux colonnes et observer le passage automatique d'une colonne à l'autre. Le service Formation utilise ce type de présentation pour les notes internes courtes, les extraits de procédure et les encadrés d'information destinés aux nouveaux collaborateurs. Gardez un texte lisible, sans justifier excessivement, et vérifiez l'aperçu avant impression.</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