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before="0"/>
      </w:pPr>
      <w:r>
        <w:rPr>
          <w:rFonts w:ascii="Calibri" w:hAnsi="Calibri" w:eastAsia="Calibri"/>
          <w:sz w:val="22"/>
        </w:rPr>
        <w:t>Tableaux avancés - résultat</w:t>
      </w:r>
    </w:p>
    <w:p>
      <w:pPr>
        <w:pStyle w:val="Heading1"/>
        <w:spacing w:after="160" w:before="0"/>
      </w:pPr>
      <w:r>
        <w:rPr>
          <w:rFonts w:ascii="Calibri" w:hAnsi="Calibri" w:eastAsia="Calibri"/>
          <w:sz w:val="22"/>
        </w:rPr>
        <w:t>Texte converti en tableau</w:t>
      </w:r>
    </w:p>
    <w:tbl>
      <w:tblPr>
        <w:tblStyle w:val="TableGrid"/>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2268"/>
        <w:gridCol w:w="2268"/>
        <w:gridCol w:w="2268"/>
        <w:gridCol w:w="2268"/>
      </w:tblGrid>
      <w:tr>
        <w:tc>
          <w:tcPr>
            <w:tcW w:type="dxa" w:w="9072"/>
            <w:gridSpan w:val="4"/>
            <w:shd w:fill="DDEBF7" w:val="clear"/>
            <w:shd w:fill="DDEBF7" w:val="clear"/>
            <w:shd w:fill="DDEBF7" w:val="clear"/>
            <w:shd w:fill="DDEBF7" w:val="clear"/>
          </w:tcPr>
          <w:p>
            <w:r>
              <w:rPr>
                <w:b/>
                <w:color w:val="2B579A"/>
              </w:rPr>
              <w:t>Plan d'actions — accueil d'un collaborateur</w:t>
            </w:r>
          </w:p>
        </w:tc>
      </w:tr>
      <w:tr>
        <w:tc>
          <w:tcPr>
            <w:tcW w:type="dxa" w:w="2268"/>
          </w:tcPr>
          <w:p>
            <w:r>
              <w:t>Action</w:t>
            </w:r>
          </w:p>
        </w:tc>
        <w:tc>
          <w:tcPr>
            <w:tcW w:type="dxa" w:w="2268"/>
          </w:tcPr>
          <w:p>
            <w:r>
              <w:t>Responsable</w:t>
            </w:r>
          </w:p>
        </w:tc>
        <w:tc>
          <w:tcPr>
            <w:tcW w:type="dxa" w:w="2268"/>
          </w:tcPr>
          <w:p>
            <w:r>
              <w:t>Heures</w:t>
            </w:r>
          </w:p>
        </w:tc>
        <w:tc>
          <w:tcPr>
            <w:tcW w:type="dxa" w:w="2268"/>
          </w:tcPr>
          <w:p>
            <w:r>
              <w:t>Commentaire</w:t>
            </w:r>
          </w:p>
        </w:tc>
      </w:tr>
      <w:tr>
        <w:tc>
          <w:tcPr>
            <w:tcW w:type="dxa" w:w="2268"/>
          </w:tcPr>
          <w:p>
            <w:r>
              <w:t>Préparer les accès</w:t>
            </w:r>
          </w:p>
        </w:tc>
        <w:tc>
          <w:tcPr>
            <w:tcW w:type="dxa" w:w="2268"/>
          </w:tcPr>
          <w:p>
            <w:r>
              <w:t>Service IT</w:t>
            </w:r>
          </w:p>
        </w:tc>
        <w:tc>
          <w:tcPr>
            <w:tcW w:type="dxa" w:w="2268"/>
          </w:tcPr>
          <w:p>
            <w:r>
              <w:t>2</w:t>
            </w:r>
          </w:p>
        </w:tc>
        <w:tc>
          <w:tcPr>
            <w:tcW w:type="dxa" w:w="2268"/>
          </w:tcPr>
          <w:p>
            <w:r>
              <w:t>Badge</w:t>
            </w:r>
          </w:p>
        </w:tc>
      </w:tr>
      <w:tr>
        <w:tc>
          <w:tcPr>
            <w:tcW w:type="dxa" w:w="2268"/>
          </w:tcPr>
          <w:p>
            <w:r>
              <w:t>Préparer le matériel</w:t>
            </w:r>
          </w:p>
        </w:tc>
        <w:tc>
          <w:tcPr>
            <w:tcW w:type="dxa" w:w="2268"/>
          </w:tcPr>
          <w:p>
            <w:r>
              <w:t>Logistique</w:t>
            </w:r>
          </w:p>
        </w:tc>
        <w:tc>
          <w:tcPr>
            <w:tcW w:type="dxa" w:w="2268"/>
          </w:tcPr>
          <w:p>
            <w:r>
              <w:t>3</w:t>
            </w:r>
          </w:p>
        </w:tc>
        <w:tc>
          <w:tcPr>
            <w:tcW w:type="dxa" w:w="2268"/>
          </w:tcPr>
          <w:p>
            <w:r>
              <w:t>Poste</w:t>
            </w:r>
          </w:p>
        </w:tc>
      </w:tr>
      <w:tr>
        <w:tc>
          <w:tcPr>
            <w:tcW w:type="dxa" w:w="2268"/>
          </w:tcPr>
          <w:p>
            <w:r>
              <w:t>Accueil du collaborateur</w:t>
            </w:r>
          </w:p>
        </w:tc>
        <w:tc>
          <w:tcPr>
            <w:tcW w:type="dxa" w:w="2268"/>
          </w:tcPr>
          <w:p>
            <w:r>
              <w:t>Référent</w:t>
            </w:r>
          </w:p>
        </w:tc>
        <w:tc>
          <w:tcPr>
            <w:tcW w:type="dxa" w:w="2268"/>
          </w:tcPr>
          <w:p>
            <w:r>
              <w:t>4</w:t>
            </w:r>
          </w:p>
        </w:tc>
        <w:tc>
          <w:tcPr>
            <w:tcW w:type="dxa" w:w="2268"/>
          </w:tcPr>
          <w:p>
            <w:r>
              <w:t>Jour J</w:t>
            </w:r>
          </w:p>
        </w:tc>
      </w:tr>
      <w:tr>
        <w:tc>
          <w:tcPr>
            <w:tcW w:type="dxa" w:w="4536"/>
            <w:gridSpan w:val="2"/>
          </w:tcPr>
          <w:p>
            <w:r>
              <w:t>Total</w:t>
            </w:r>
          </w:p>
        </w:tc>
        <w:tc>
          <w:tcPr>
            <w:tcW w:type="dxa" w:w="2268"/>
          </w:tcPr>
          <w:p>
            <w:r/>
            <w:r>
              <w:fldChar w:fldCharType="begin"/>
              <w:instrText xml:space="preserve"> =SUM(ABOVE) </w:instrText>
              <w:fldChar w:fldCharType="separate"/>
              <w:t>9</w:t>
              <w:fldChar w:fldCharType="end"/>
            </w:r>
          </w:p>
        </w:tc>
        <w:tc>
          <w:tcPr>
            <w:tcW w:type="dxa" w:w="2268"/>
          </w:tcPr>
          <w:p>
            <w:r/>
          </w:p>
        </w:tc>
      </w:tr>
    </w:tbl>
    <w:p>
      <w:pPr>
        <w:spacing w:after="160" w:before="160"/>
      </w:pPr>
      <w:r>
        <w:rPr>
          <w:rFonts w:ascii="Calibri" w:hAnsi="Calibri" w:eastAsia="Calibri"/>
          <w:i/>
          <w:sz w:val="22"/>
        </w:rPr>
        <w:t>La première ligne d'en-tête est fusionnée. La colonne Commentaire correspond à une cellule fractionnée (Heures / Commentaire).</w:t>
      </w:r>
    </w:p>
    <w:p>
      <w:pPr>
        <w:pStyle w:val="Heading1"/>
        <w:spacing w:after="160" w:before="0"/>
      </w:pPr>
      <w:r>
        <w:rPr>
          <w:rFonts w:ascii="Calibri" w:hAnsi="Calibri" w:eastAsia="Calibri"/>
          <w:sz w:val="22"/>
        </w:rPr>
        <w:t>Partie reconvertie en texte</w:t>
      </w:r>
    </w:p>
    <w:p>
      <w:pPr>
        <w:spacing w:after="160" w:before="0"/>
      </w:pPr>
      <w:r>
        <w:rPr>
          <w:rFonts w:ascii="Calibri" w:hAnsi="Calibri" w:eastAsia="Calibri"/>
          <w:sz w:val="22"/>
        </w:rPr>
        <w:t>Action;Responsable;Heures</w:t>
      </w:r>
    </w:p>
    <w:p>
      <w:pPr>
        <w:spacing w:after="160" w:before="0"/>
      </w:pPr>
      <w:r>
        <w:rPr>
          <w:rFonts w:ascii="Calibri" w:hAnsi="Calibri" w:eastAsia="Calibri"/>
          <w:sz w:val="22"/>
        </w:rPr>
        <w:t>Préparer les accès;Service IT;2</w:t>
      </w:r>
    </w:p>
    <w:p>
      <w:pPr>
        <w:spacing w:after="160" w:before="0"/>
      </w:pPr>
      <w:r>
        <w:rPr>
          <w:rFonts w:ascii="Calibri" w:hAnsi="Calibri" w:eastAsia="Calibri"/>
          <w:sz w:val="22"/>
        </w:rPr>
        <w:t>Préparer le matériel;Logistique;3</w:t>
      </w:r>
    </w:p>
    <w:p>
      <w:pPr>
        <w:spacing w:after="160" w:before="0"/>
      </w:pPr>
      <w:r>
        <w:rPr>
          <w:rFonts w:ascii="Calibri" w:hAnsi="Calibri" w:eastAsia="Calibri"/>
          <w:sz w:val="22"/>
        </w:rPr>
        <w:t>Accueil du collaborateur;Référent;4</w:t>
      </w:r>
    </w:p>
    <w:p>
      <w:pPr>
        <w:sectPr>
          <w:pgSz w:w="11906" w:h="16838"/>
          <w:pgMar w:top="1134" w:right="1417" w:bottom="1134" w:left="1417" w:header="720" w:footer="720" w:gutter="0"/>
          <w:cols w:space="720" w:num="1"/>
          <w:docGrid w:linePitch="360"/>
        </w:sectPr>
      </w:pPr>
    </w:p>
    <w:p>
      <w:pPr>
        <w:pStyle w:val="Heading1"/>
        <w:spacing w:after="160" w:before="0"/>
      </w:pPr>
      <w:r>
        <w:rPr>
          <w:rFonts w:ascii="Calibri" w:hAnsi="Calibri" w:eastAsia="Calibri"/>
          <w:sz w:val="22"/>
        </w:rPr>
        <w:t>Texte présenté en colonnes</w:t>
      </w:r>
    </w:p>
    <w:p>
      <w:pPr>
        <w:spacing w:after="160" w:before="0"/>
      </w:pPr>
      <w:r>
        <w:rPr>
          <w:rFonts w:ascii="Calibri" w:hAnsi="Calibri" w:eastAsia="Calibri"/>
          <w:sz w:val="22"/>
        </w:rPr>
        <w:t>Ce paragraphe est présenté sur deux colonnes façon journal afin d'illustrer la mise en page multicolonne. Le texte passe automatiquement d'une colonne à l'autre. Le service Formation utilise ce type de présentation pour les notes internes courtes, les extraits de procédure et les encadrés d'information destinés aux nouveaux collaborateurs. Gardez un texte lisible et vérifiez l'aperçu avant impression.</w:t>
      </w:r>
    </w:p>
    <w:sectPr w:rsidR="00FC693F" w:rsidRPr="0006063C" w:rsidSect="00034616">
      <w:type w:val="continuous"/>
      <w:pgSz w:w="11906" w:h="16838"/>
      <w:pgMar w:top="1134" w:right="1417" w:bottom="1134" w:left="141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