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</w:pPr>
      <w:r>
        <w:rPr>
          <w:rFonts w:ascii="Calibri" w:hAnsi="Calibri" w:eastAsia="Calibri"/>
          <w:sz w:val="22"/>
        </w:rPr>
        <w:t>Document structuré - résultat</w:t>
      </w:r>
    </w:p>
    <w:p>
      <w:pPr>
        <w:spacing w:after="240"/>
      </w:pPr>
      <w:r>
        <w:fldChar w:fldCharType="begin"/>
        <w:instrText xml:space="preserve"> TOC \o "1-3" \h \z \u </w:instrText>
        <w:fldChar w:fldCharType="separate"/>
        <w:t xml:space="preserve">Mettez le champ à jour (F9) pour afficher toute la table des matières.</w:t>
        <w:fldChar w:fldCharType="end"/>
      </w:r>
    </w:p>
    <w:p>
      <w:r>
        <w:br w:type="page"/>
      </w:r>
    </w:p>
    <w:p>
      <w:pPr>
        <w:pStyle w:val="Heading1"/>
        <w:spacing w:after="160" w:before="0"/>
        <w:numPr>
          <w:ilvl w:val="0"/>
          <w:numId w:val="12"/>
        </w:numPr>
      </w:pPr>
      <w:r>
        <w:rPr>
          <w:rFonts w:ascii="Calibri" w:hAnsi="Calibri" w:eastAsia="Calibri"/>
          <w:sz w:val="22"/>
        </w:rPr>
        <w:t>Présentation du service</w:t>
      </w:r>
    </w:p>
    <w:p>
      <w:pPr>
        <w:pStyle w:val="Heading2"/>
        <w:spacing w:after="160" w:before="0"/>
        <w:numPr>
          <w:ilvl w:val="1"/>
          <w:numId w:val="12"/>
        </w:numPr>
      </w:pPr>
      <w:r>
        <w:rPr>
          <w:rFonts w:ascii="Calibri" w:hAnsi="Calibri" w:eastAsia="Calibri"/>
          <w:sz w:val="22"/>
        </w:rPr>
        <w:t>Missions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Texte d'exemple complété pour cette sous-partie.</w:t>
      </w:r>
    </w:p>
    <w:p>
      <w:pPr>
        <w:spacing w:after="80" w:before="0"/>
      </w:pPr>
      <w:r>
        <w:rPr>
          <w:rFonts w:ascii="Calibri" w:hAnsi="Calibri" w:eastAsia="Calibri"/>
          <w:sz w:val="22"/>
        </w:rPr>
        <w:t>Liste hiérarchisée des missions :</w:t>
      </w:r>
    </w:p>
    <w:p>
      <w:pPr>
        <w:numPr>
          <w:ilvl w:val="0"/>
          <w:numId w:val="13"/>
        </w:numPr>
      </w:pPr>
      <w:r>
        <w:t>Accueillir les nouveaux collaborateurs</w:t>
      </w:r>
    </w:p>
    <w:p>
      <w:pPr>
        <w:numPr>
          <w:ilvl w:val="1"/>
          <w:numId w:val="13"/>
        </w:numPr>
      </w:pPr>
      <w:r>
        <w:t>Préparer les accès et le matériel</w:t>
      </w:r>
    </w:p>
    <w:p>
      <w:pPr>
        <w:numPr>
          <w:ilvl w:val="1"/>
          <w:numId w:val="13"/>
        </w:numPr>
      </w:pPr>
      <w:r>
        <w:t>Organiser le premier jour</w:t>
      </w:r>
    </w:p>
    <w:p>
      <w:pPr>
        <w:numPr>
          <w:ilvl w:val="0"/>
          <w:numId w:val="13"/>
        </w:numPr>
      </w:pPr>
      <w:r>
        <w:t>Assurer le suivi des demandes</w:t>
      </w:r>
    </w:p>
    <w:p>
      <w:pPr>
        <w:numPr>
          <w:ilvl w:val="1"/>
          <w:numId w:val="13"/>
        </w:numPr>
      </w:pPr>
      <w:r>
        <w:t>Collecter les difficultés</w:t>
      </w:r>
    </w:p>
    <w:p>
      <w:pPr>
        <w:numPr>
          <w:ilvl w:val="1"/>
          <w:numId w:val="13"/>
        </w:numPr>
      </w:pPr>
      <w:r>
        <w:t>Transmettre aux services concernés</w:t>
      </w:r>
    </w:p>
    <w:p>
      <w:pPr>
        <w:pStyle w:val="Heading2"/>
        <w:spacing w:after="160" w:before="0"/>
        <w:numPr>
          <w:ilvl w:val="1"/>
          <w:numId w:val="12"/>
        </w:numPr>
      </w:pPr>
      <w:r>
        <w:rPr>
          <w:rFonts w:ascii="Calibri" w:hAnsi="Calibri" w:eastAsia="Calibri"/>
          <w:sz w:val="22"/>
        </w:rPr>
        <w:t>Organisation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Texte d'exemple complété pour cette sous-partie.</w:t>
      </w:r>
    </w:p>
    <w:p>
      <w:pPr>
        <w:pStyle w:val="Heading1"/>
        <w:spacing w:after="160" w:before="0"/>
        <w:numPr>
          <w:ilvl w:val="0"/>
          <w:numId w:val="12"/>
        </w:numPr>
      </w:pPr>
      <w:r>
        <w:rPr>
          <w:rFonts w:ascii="Calibri" w:hAnsi="Calibri" w:eastAsia="Calibri"/>
          <w:sz w:val="22"/>
        </w:rPr>
        <w:t>Procédures internes</w:t>
      </w:r>
    </w:p>
    <w:p>
      <w:pPr>
        <w:pStyle w:val="Heading2"/>
        <w:spacing w:after="160" w:before="0"/>
        <w:numPr>
          <w:ilvl w:val="1"/>
          <w:numId w:val="12"/>
        </w:numPr>
      </w:pPr>
      <w:r>
        <w:rPr>
          <w:rFonts w:ascii="Calibri" w:hAnsi="Calibri" w:eastAsia="Calibri"/>
          <w:sz w:val="22"/>
        </w:rPr>
        <w:t>Accueil d'un collaborateur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Texte d'exemple complété pour cette sous-partie.</w:t>
      </w:r>
    </w:p>
    <w:p>
      <w:pPr>
        <w:pStyle w:val="Heading2"/>
        <w:spacing w:after="160" w:before="0"/>
        <w:numPr>
          <w:ilvl w:val="1"/>
          <w:numId w:val="12"/>
        </w:numPr>
      </w:pPr>
      <w:r>
        <w:rPr>
          <w:rFonts w:ascii="Calibri" w:hAnsi="Calibri" w:eastAsia="Calibri"/>
          <w:sz w:val="22"/>
        </w:rPr>
        <w:t>Gestion des accès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Texte d'exemple complété pour cette sous-partie.</w:t>
      </w:r>
    </w:p>
    <w:p>
      <w:pPr>
        <w:pStyle w:val="Heading2"/>
        <w:spacing w:after="160" w:before="0"/>
        <w:numPr>
          <w:ilvl w:val="1"/>
          <w:numId w:val="12"/>
        </w:numPr>
      </w:pPr>
      <w:r>
        <w:rPr>
          <w:rFonts w:ascii="Calibri" w:hAnsi="Calibri" w:eastAsia="Calibri"/>
          <w:sz w:val="22"/>
        </w:rPr>
        <w:t>Suivi des demandes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Texte d'exemple complété pour cette sous-partie.</w:t>
      </w:r>
    </w:p>
    <w:p>
      <w:pPr>
        <w:pStyle w:val="Heading2"/>
        <w:spacing w:after="160" w:before="0"/>
        <w:numPr>
          <w:ilvl w:val="1"/>
          <w:numId w:val="12"/>
        </w:numPr>
      </w:pPr>
      <w:r>
        <w:rPr>
          <w:rFonts w:ascii="Calibri" w:hAnsi="Calibri" w:eastAsia="Calibri"/>
          <w:sz w:val="22"/>
        </w:rPr>
        <w:t>Évaluation des besoins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Texte d'exemple complété pour cette sous-partie.</w:t>
      </w:r>
    </w:p>
    <w:p>
      <w:pPr>
        <w:pStyle w:val="Heading1"/>
        <w:spacing w:after="160" w:before="0"/>
        <w:numPr>
          <w:ilvl w:val="0"/>
          <w:numId w:val="12"/>
        </w:numPr>
      </w:pPr>
      <w:r>
        <w:rPr>
          <w:rFonts w:ascii="Calibri" w:hAnsi="Calibri" w:eastAsia="Calibri"/>
          <w:sz w:val="22"/>
        </w:rPr>
        <w:t>Annexes</w:t>
      </w:r>
    </w:p>
    <w:p>
      <w:pPr>
        <w:pStyle w:val="Heading2"/>
        <w:spacing w:after="160" w:before="0"/>
        <w:numPr>
          <w:ilvl w:val="1"/>
          <w:numId w:val="12"/>
        </w:numPr>
      </w:pPr>
      <w:r>
        <w:rPr>
          <w:rFonts w:ascii="Calibri" w:hAnsi="Calibri" w:eastAsia="Calibri"/>
          <w:sz w:val="22"/>
        </w:rPr>
        <w:t>Contacts utiles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Texte d'exemple complété pour cette sous-partie.</w:t>
      </w:r>
    </w:p>
    <w:p>
      <w:pPr>
        <w:pStyle w:val="Heading2"/>
        <w:spacing w:after="160" w:before="0"/>
        <w:numPr>
          <w:ilvl w:val="1"/>
          <w:numId w:val="12"/>
        </w:numPr>
      </w:pPr>
      <w:r>
        <w:rPr>
          <w:rFonts w:ascii="Calibri" w:hAnsi="Calibri" w:eastAsia="Calibri"/>
          <w:sz w:val="22"/>
        </w:rPr>
        <w:t>Documents de référence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Texte d'exemple complété pour cette sous-partie.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sz w:val="20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i/>
        <w:color w:val="2B579A"/>
        <w:sz w:val="20"/>
      </w:rPr>
      <w:t>Document structuré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3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</w:abstractNum>
  <w:abstractNum w:abstractNumId="12">
    <w:multiLevelType w:val="multilevel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ind w:left="720" w:hanging="360"/>
      </w:p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