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 d'activité</w:t>
      </w:r>
    </w:p>
    <w:p>
      <w:pPr>
        <w:pStyle w:val="Heading1"/>
      </w:pPr>
      <w:r>
        <w:t>Introduction</w:t>
      </w:r>
    </w:p>
    <w:p>
      <w:r>
        <w:t>Texte courant au style Normal, homogène sur tout le document.</w:t>
      </w:r>
    </w:p>
    <w:p>
      <w:pPr>
        <w:pStyle w:val="Heading1"/>
      </w:pPr>
      <w:r>
        <w:t>Bilan</w:t>
      </w:r>
    </w:p>
    <w:p>
      <w:r>
        <w:t>Les espacements et retraits sont désormais gérés par les styles.</w:t>
      </w:r>
    </w:p>
    <w:p>
      <w:pPr>
        <w:pStyle w:val="Heading1"/>
      </w:pPr>
      <w:r>
        <w:t>Perspectives</w:t>
      </w:r>
    </w:p>
    <w:p>
      <w:r>
        <w:t>Conclusion au style Normal ; l'ensemble est enregistré comme modèle réutilisable.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