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Consigne : ajoutez une page de garde, un saut de page, un en-tête, un pied de page et une numérotation, puis appliquez un thème.</w:t>
      </w:r>
    </w:p>
    <w:p>
      <w:pPr>
        <w:pStyle w:val="Title"/>
      </w:pPr>
      <w:r>
        <w:t>Procédure interne - Accueil d'un nouveau collaborateur</w:t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>Le responsable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>Le collaborateur est accueilli par son référent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 session Windows, messagerie, intranet et dossiers partagés.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