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pBdr>
          <w:top w:val="single" w:sz="18" w:space="8" w:color="2B579A"/>
          <w:left w:val="single" w:sz="18" w:space="8" w:color="2B579A"/>
          <w:bottom w:val="single" w:sz="18" w:space="8" w:color="2B579A"/>
          <w:right w:val="single" w:sz="18" w:space="8" w:color="2B579A"/>
        </w:pBdr>
        <w:shd w:val="clear" w:color="auto" w:fill="DDEBF7"/>
      </w:pPr>
      <w:r>
        <w:t>Procédure interne - Accueil d'un nouveau collaborateur</w:t>
      </w:r>
    </w:p>
    <w:p>
      <w:pPr>
        <w:pStyle w:val="Heading1"/>
      </w:pPr>
      <w:r>
        <w:t>Avant l'arrivée</w:t>
      </w:r>
    </w:p>
    <w:p>
      <w:pPr>
        <w:pStyle w:val="Heading2"/>
      </w:pPr>
      <w:r>
        <w:t>Préparer les accès</w:t>
      </w:r>
    </w:p>
    <w:p>
      <w:r>
        <w:t xml:space="preserve">Le </w:t>
      </w:r>
      <w:r>
        <w:rPr>
          <w:b/>
        </w:rPr>
        <w:t>responsable</w:t>
      </w:r>
      <w:r>
        <w:t xml:space="preserve"> vérifie que les demandes d'accès sont introduites avant l'arrivée du collaborateur.</w:t>
      </w:r>
    </w:p>
    <w:p>
      <w:pPr>
        <w:pStyle w:val="Heading2"/>
      </w:pPr>
      <w:r>
        <w:t>Préparer le matériel</w:t>
      </w:r>
    </w:p>
    <w:p>
      <w:r>
        <w:t>Le poste de travail, le badge et les informations utiles sont préparés avec les personnes concernées.</w:t>
      </w:r>
    </w:p>
    <w:p>
      <w:pPr>
        <w:pStyle w:val="Heading1"/>
      </w:pPr>
      <w:r>
        <w:t>Le premier jour</w:t>
      </w:r>
    </w:p>
    <w:p>
      <w:pPr>
        <w:pStyle w:val="Heading2"/>
      </w:pPr>
      <w:r>
        <w:t>Accueil dans l'équipe</w:t>
      </w:r>
    </w:p>
    <w:p>
      <w:r>
        <w:t xml:space="preserve">Le collaborateur est accueilli par son </w:t>
      </w:r>
      <w:r>
        <w:rPr>
          <w:b/>
        </w:rPr>
        <w:t>référent</w:t>
      </w:r>
      <w:r>
        <w:t xml:space="preserve"> et reçoit les informations pratiques.</w:t>
      </w:r>
    </w:p>
    <w:p>
      <w:pPr>
        <w:pStyle w:val="Heading2"/>
      </w:pPr>
      <w:r>
        <w:t>Présentation des outils</w:t>
      </w:r>
    </w:p>
    <w:p>
      <w:r>
        <w:t>Les outils principaux sont présentés :</w:t>
      </w:r>
    </w:p>
    <w:p>
      <w:pPr>
        <w:pStyle w:val="ListBullet"/>
      </w:pPr>
      <w:r>
        <w:t>Session Windows</w:t>
      </w:r>
    </w:p>
    <w:p>
      <w:pPr>
        <w:pStyle w:val="ListBullet"/>
      </w:pPr>
      <w:r>
        <w:t>Messagerie</w:t>
      </w:r>
    </w:p>
    <w:p>
      <w:pPr>
        <w:pStyle w:val="ListBullet"/>
      </w:pPr>
      <w:r>
        <w:t>Intranet</w:t>
      </w:r>
    </w:p>
    <w:p>
      <w:pPr>
        <w:pStyle w:val="ListBullet"/>
      </w:pPr>
      <w:r>
        <w:t>Dossiers partagés</w:t>
      </w:r>
    </w:p>
    <w:p>
      <w:pPr>
        <w:pStyle w:val="Heading1"/>
      </w:pPr>
      <w:r>
        <w:t>Après la première semaine</w:t>
      </w:r>
    </w:p>
    <w:p>
      <w:pPr>
        <w:pStyle w:val="Heading2"/>
      </w:pPr>
      <w:r>
        <w:t>Point de suivi</w:t>
      </w:r>
    </w:p>
    <w:p>
      <w:r>
        <w:t>Un court échange permet de vérifier que les accès, les outils et les premières tâches sont compris.</w:t>
      </w:r>
    </w:p>
    <w:p>
      <w:pPr>
        <w:pStyle w:val="Heading2"/>
      </w:pPr>
      <w:r>
        <w:t>Ajustements éventuels</w:t>
      </w:r>
    </w:p>
    <w:p>
      <w:r>
        <w:t>Les difficultés sont notées et transmises aux personnes concernées.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