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C49CA" w14:textId="5FE2902C" w:rsidR="00FB4FA1" w:rsidRDefault="00097249" w:rsidP="005B5261">
      <w:pPr>
        <w:pStyle w:val="Heading2"/>
        <w:rPr>
          <w:lang w:val="en-US"/>
        </w:rPr>
      </w:pPr>
      <w:r>
        <w:rPr>
          <w:lang w:val="en-US"/>
        </w:rPr>
        <w:t xml:space="preserve">PAA and PAH </w:t>
      </w:r>
    </w:p>
    <w:p w14:paraId="55C778B0" w14:textId="5C13F6D9" w:rsidR="00097249" w:rsidRDefault="00103F7B" w:rsidP="00103F7B">
      <w:pPr>
        <w:pStyle w:val="Heading3"/>
      </w:pPr>
      <w:r>
        <w:t xml:space="preserve">Gibbs ideal interface </w:t>
      </w:r>
    </w:p>
    <w:p w14:paraId="4D1013EB" w14:textId="65914B26" w:rsidR="00103F7B" w:rsidRDefault="00103F7B" w:rsidP="00103F7B">
      <w:pPr>
        <w:rPr>
          <w:lang w:val="en-US"/>
        </w:rPr>
      </w:pPr>
      <w:r w:rsidRPr="00103F7B">
        <w:rPr>
          <w:rFonts w:hint="eastAsia"/>
        </w:rPr>
        <w:t>在</w:t>
      </w:r>
      <w:r w:rsidRPr="00103F7B">
        <w:rPr>
          <w:rFonts w:hint="eastAsia"/>
        </w:rPr>
        <w:t>Langmuir</w:t>
      </w:r>
      <w:r w:rsidRPr="00103F7B">
        <w:rPr>
          <w:rFonts w:hint="eastAsia"/>
        </w:rPr>
        <w:t>以及表面科学和界面科学中研究</w:t>
      </w:r>
      <w:r w:rsidRPr="00103F7B">
        <w:rPr>
          <w:rFonts w:hint="eastAsia"/>
        </w:rPr>
        <w:t>Gibbs</w:t>
      </w:r>
      <w:r w:rsidRPr="00103F7B">
        <w:rPr>
          <w:rFonts w:hint="eastAsia"/>
        </w:rPr>
        <w:t>理想界面主要是因为它提供了一个理论模型来理解和描述液体表面或液体与其他相（如气体或另一种液体）之间界面的热力学性质。</w:t>
      </w:r>
      <w:r w:rsidRPr="00103F7B">
        <w:rPr>
          <w:rFonts w:hint="eastAsia"/>
        </w:rPr>
        <w:t>Gibbs</w:t>
      </w:r>
      <w:r w:rsidRPr="00103F7B">
        <w:rPr>
          <w:rFonts w:hint="eastAsia"/>
        </w:rPr>
        <w:t>理想界面模型帮助科学家们深入了解表面现象的基本原理，尤其是表面张力、吸附等。</w:t>
      </w:r>
    </w:p>
    <w:p w14:paraId="6868CFF0" w14:textId="62D8B504" w:rsidR="00103F7B" w:rsidRDefault="00B050BC" w:rsidP="00103F7B">
      <w:pPr>
        <w:pStyle w:val="Heading3"/>
        <w:rPr>
          <w:lang w:val="en-US"/>
        </w:rPr>
      </w:pPr>
      <w:r>
        <w:rPr>
          <w:lang w:val="en-US"/>
        </w:rPr>
        <w:t>SCD and LCD</w:t>
      </w:r>
    </w:p>
    <w:p w14:paraId="77D58E1E" w14:textId="26904468" w:rsidR="00B050BC" w:rsidRPr="00B050BC" w:rsidRDefault="00B050BC" w:rsidP="00B050BC">
      <w:pPr>
        <w:rPr>
          <w:lang w:val="en-US"/>
        </w:rPr>
      </w:pPr>
      <w:r w:rsidRPr="00B050BC">
        <w:rPr>
          <w:rFonts w:hint="eastAsia"/>
          <w:b/>
          <w:bCs/>
          <w:lang w:val="en-US"/>
        </w:rPr>
        <w:t>表面电荷密度</w:t>
      </w:r>
      <w:r w:rsidRPr="00B050BC">
        <w:rPr>
          <w:rFonts w:hint="eastAsia"/>
          <w:lang w:val="en-US"/>
        </w:rPr>
        <w:t>：表面电荷密度指单位面积上的电荷数量，通常以</w:t>
      </w:r>
      <w:r w:rsidRPr="00B050BC">
        <w:rPr>
          <w:rFonts w:hint="eastAsia"/>
          <w:lang w:val="en-US"/>
        </w:rPr>
        <w:t>C/m</w:t>
      </w:r>
      <w:r w:rsidRPr="00B050BC">
        <w:rPr>
          <w:rFonts w:hint="eastAsia"/>
          <w:lang w:val="en-US"/>
        </w:rPr>
        <w:t>²（库仑每平方米）来表示。在多层膜系统中，表面电荷密度影响聚电解质吸附的效率和多层膜的稳定性。较高的表面电荷密度意味着较强的静电吸引力，可以促进更多的聚电解质分子吸附到表面。</w:t>
      </w:r>
    </w:p>
    <w:p w14:paraId="1554F615" w14:textId="56BA1DF1" w:rsidR="00B050BC" w:rsidRDefault="00B050BC" w:rsidP="00B050BC">
      <w:pPr>
        <w:rPr>
          <w:lang w:val="en-US"/>
        </w:rPr>
      </w:pPr>
      <w:r w:rsidRPr="00B050BC">
        <w:rPr>
          <w:rFonts w:hint="eastAsia"/>
          <w:b/>
          <w:bCs/>
          <w:lang w:val="en-US"/>
        </w:rPr>
        <w:t>线性电荷密度</w:t>
      </w:r>
      <w:r w:rsidRPr="00B050BC">
        <w:rPr>
          <w:rFonts w:hint="eastAsia"/>
          <w:lang w:val="en-US"/>
        </w:rPr>
        <w:t>：线性电荷密度则是指单位长度上的电荷量，常用于描述聚电解质分子链上的电荷分布，以</w:t>
      </w:r>
      <w:r w:rsidRPr="00B050BC">
        <w:rPr>
          <w:rFonts w:hint="eastAsia"/>
          <w:lang w:val="en-US"/>
        </w:rPr>
        <w:t>C/m</w:t>
      </w:r>
      <w:r w:rsidRPr="00B050BC">
        <w:rPr>
          <w:rFonts w:hint="eastAsia"/>
          <w:lang w:val="en-US"/>
        </w:rPr>
        <w:t>（库仑每米）表示。这一参数对于理解聚电解质在溶液中的行为以及它们与其他带电分子的相互作用具有重要意义。</w:t>
      </w:r>
    </w:p>
    <w:p w14:paraId="2C198879" w14:textId="2DD0B206" w:rsidR="00B050BC" w:rsidRDefault="00D3339E" w:rsidP="00D3339E">
      <w:pPr>
        <w:pStyle w:val="Heading3"/>
        <w:rPr>
          <w:lang w:val="en-US"/>
        </w:rPr>
      </w:pPr>
      <w:proofErr w:type="spellStart"/>
      <w:r>
        <w:rPr>
          <w:lang w:val="en-US"/>
        </w:rPr>
        <w:t>pKa</w:t>
      </w:r>
      <w:proofErr w:type="spellEnd"/>
      <w:r>
        <w:rPr>
          <w:lang w:val="en-US"/>
        </w:rPr>
        <w:t xml:space="preserve"> definition </w:t>
      </w:r>
    </w:p>
    <w:p w14:paraId="3E8E1CCA" w14:textId="660D3CB9" w:rsidR="00D3339E" w:rsidRPr="00D3339E" w:rsidRDefault="00D3339E" w:rsidP="00D3339E">
      <w:pPr>
        <w:rPr>
          <w:rFonts w:hint="eastAsia"/>
          <w:lang w:val="en-US"/>
        </w:rPr>
      </w:pPr>
      <w:r w:rsidRPr="00D3339E">
        <w:rPr>
          <w:rFonts w:hint="eastAsia"/>
          <w:lang w:val="en-US"/>
        </w:rPr>
        <w:t>在化学中，</w:t>
      </w:r>
      <w:proofErr w:type="spellStart"/>
      <w:r w:rsidRPr="00D3339E">
        <w:rPr>
          <w:lang w:val="en-US"/>
        </w:rPr>
        <w:t>pKa</w:t>
      </w:r>
      <w:proofErr w:type="spellEnd"/>
      <w:r w:rsidRPr="00D3339E">
        <w:rPr>
          <w:rFonts w:hint="eastAsia"/>
          <w:lang w:val="en-US"/>
        </w:rPr>
        <w:t>是一个衡量酸性强度的重要指标，具体来说，它是酸性质子化合物（通常是酸）的酸解离常数（</w:t>
      </w:r>
      <w:r w:rsidRPr="00D3339E">
        <w:rPr>
          <w:lang w:val="en-US"/>
        </w:rPr>
        <w:t>Ka</w:t>
      </w:r>
      <w:r w:rsidRPr="00D3339E">
        <w:rPr>
          <w:rFonts w:hint="eastAsia"/>
          <w:lang w:val="en-US"/>
        </w:rPr>
        <w:t>）的负对数。</w:t>
      </w:r>
      <w:proofErr w:type="spellStart"/>
      <w:r w:rsidRPr="00D3339E">
        <w:rPr>
          <w:lang w:val="en-US"/>
        </w:rPr>
        <w:t>pKa</w:t>
      </w:r>
      <w:proofErr w:type="spellEnd"/>
      <w:r w:rsidRPr="00D3339E">
        <w:rPr>
          <w:rFonts w:hint="eastAsia"/>
          <w:lang w:val="en-US"/>
        </w:rPr>
        <w:t>的数值用于描述一个酸在水溶液中释放质子（</w:t>
      </w:r>
      <w:r w:rsidRPr="00D3339E">
        <w:rPr>
          <w:lang w:val="en-US"/>
        </w:rPr>
        <w:t>H</w:t>
      </w:r>
      <w:r w:rsidRPr="00D3339E">
        <w:rPr>
          <w:rFonts w:ascii="Cambria Math" w:hAnsi="Cambria Math" w:cs="Cambria Math"/>
          <w:lang w:val="en-US"/>
        </w:rPr>
        <w:t>⁺</w:t>
      </w:r>
      <w:r w:rsidRPr="00D3339E">
        <w:rPr>
          <w:rFonts w:hint="eastAsia"/>
          <w:lang w:val="en-US"/>
        </w:rPr>
        <w:t>）的能力，即酸的强度。</w:t>
      </w:r>
      <w:proofErr w:type="spellStart"/>
      <w:r w:rsidRPr="00D3339E">
        <w:rPr>
          <w:lang w:val="en-US"/>
        </w:rPr>
        <w:t>pKa</w:t>
      </w:r>
      <w:proofErr w:type="spellEnd"/>
      <w:r w:rsidRPr="00D3339E">
        <w:rPr>
          <w:rFonts w:hint="eastAsia"/>
          <w:lang w:val="en-US"/>
        </w:rPr>
        <w:t>值越低，表明酸越强，意味着该酸更容易放出质子。</w:t>
      </w:r>
    </w:p>
    <w:p w14:paraId="6CF33BDD" w14:textId="77777777" w:rsidR="00D3339E" w:rsidRPr="00D3339E" w:rsidRDefault="00D3339E" w:rsidP="00D3339E">
      <w:pPr>
        <w:rPr>
          <w:rFonts w:hint="eastAsia"/>
          <w:lang w:val="en-US"/>
        </w:rPr>
      </w:pPr>
      <w:proofErr w:type="spellStart"/>
      <w:r w:rsidRPr="00D3339E">
        <w:rPr>
          <w:rFonts w:hint="eastAsia"/>
          <w:lang w:val="en-US"/>
        </w:rPr>
        <w:t>pKa</w:t>
      </w:r>
      <w:proofErr w:type="spellEnd"/>
      <w:r w:rsidRPr="00D3339E">
        <w:rPr>
          <w:rFonts w:hint="eastAsia"/>
          <w:lang w:val="en-US"/>
        </w:rPr>
        <w:t>定义为</w:t>
      </w:r>
      <w:r w:rsidRPr="00D3339E">
        <w:rPr>
          <w:rFonts w:hint="eastAsia"/>
          <w:lang w:val="en-US"/>
        </w:rPr>
        <w:t>Ka</w:t>
      </w:r>
      <w:r w:rsidRPr="00D3339E">
        <w:rPr>
          <w:rFonts w:hint="eastAsia"/>
          <w:lang w:val="en-US"/>
        </w:rPr>
        <w:t>（酸解离常数）的负对数：</w:t>
      </w:r>
    </w:p>
    <w:p w14:paraId="4D061350" w14:textId="1A9A9D05" w:rsidR="00D3339E" w:rsidRPr="00D3339E" w:rsidRDefault="00CF169C" w:rsidP="00D3339E">
      <w:pPr>
        <w:rPr>
          <w:lang w:val="en-US"/>
        </w:rPr>
      </w:pPr>
      <w:proofErr w:type="spellStart"/>
      <w:r>
        <w:rPr>
          <w:rStyle w:val="mord"/>
          <w:color w:val="000000"/>
        </w:rPr>
        <w:t>pKa</w:t>
      </w:r>
      <w:proofErr w:type="spellEnd"/>
      <w:r>
        <w:rPr>
          <w:rStyle w:val="mrel"/>
          <w:color w:val="000000"/>
        </w:rPr>
        <w:t>=</w:t>
      </w:r>
      <w:r>
        <w:rPr>
          <w:rStyle w:val="mord"/>
          <w:color w:val="000000"/>
        </w:rPr>
        <w:t>−</w:t>
      </w:r>
      <w:r>
        <w:rPr>
          <w:rStyle w:val="mop"/>
          <w:color w:val="000000"/>
        </w:rPr>
        <w:t>log</w:t>
      </w:r>
      <w:r>
        <w:rPr>
          <w:rStyle w:val="mord"/>
          <w:color w:val="000000"/>
        </w:rPr>
        <w:t>10</w:t>
      </w:r>
      <w:r>
        <w:rPr>
          <w:rStyle w:val="vlist-s"/>
          <w:rFonts w:ascii="Arial" w:hAnsi="Arial" w:cs="Arial"/>
          <w:color w:val="000000"/>
        </w:rPr>
        <w:t>​</w:t>
      </w:r>
      <w:r>
        <w:rPr>
          <w:rStyle w:val="mord"/>
          <w:color w:val="000000"/>
        </w:rPr>
        <w:t>Ka</w:t>
      </w:r>
    </w:p>
    <w:p w14:paraId="350CDE3F" w14:textId="7274704F" w:rsidR="00D3339E" w:rsidRPr="00D3339E" w:rsidRDefault="00D3339E" w:rsidP="00D3339E">
      <w:pPr>
        <w:rPr>
          <w:lang w:val="en-US"/>
        </w:rPr>
      </w:pPr>
      <w:r w:rsidRPr="00D3339E">
        <w:rPr>
          <w:rFonts w:hint="eastAsia"/>
          <w:lang w:val="en-US"/>
        </w:rPr>
        <w:t>其中</w:t>
      </w:r>
      <w:r w:rsidRPr="00D3339E">
        <w:rPr>
          <w:rFonts w:hint="eastAsia"/>
          <w:lang w:val="en-US"/>
        </w:rPr>
        <w:t>Ka</w:t>
      </w:r>
      <w:r w:rsidRPr="00D3339E">
        <w:rPr>
          <w:rFonts w:hint="eastAsia"/>
          <w:lang w:val="en-US"/>
        </w:rPr>
        <w:t>的计算公式为：</w:t>
      </w:r>
      <w:r w:rsidRPr="00D3339E">
        <w:rPr>
          <w:lang w:val="en-US"/>
        </w:rPr>
        <w:t xml:space="preserve"> </w:t>
      </w:r>
    </w:p>
    <w:p w14:paraId="49B6D90C" w14:textId="6B960592" w:rsidR="00D3339E" w:rsidRPr="00D3339E" w:rsidRDefault="002206A1" w:rsidP="00D3339E">
      <w:pPr>
        <w:rPr>
          <w:lang w:val="en-US"/>
        </w:rPr>
      </w:pPr>
      <w:r>
        <w:rPr>
          <w:rStyle w:val="mord"/>
          <w:color w:val="000000"/>
        </w:rPr>
        <w:t>Ka</w:t>
      </w:r>
      <w:r>
        <w:rPr>
          <w:rStyle w:val="mrel"/>
          <w:color w:val="000000"/>
        </w:rPr>
        <w:t>=</w:t>
      </w:r>
      <w:r>
        <w:rPr>
          <w:rStyle w:val="mopen"/>
          <w:color w:val="000000"/>
        </w:rPr>
        <w:t>[</w:t>
      </w:r>
      <w:r>
        <w:rPr>
          <w:rStyle w:val="mord"/>
          <w:color w:val="000000"/>
        </w:rPr>
        <w:t>H</w:t>
      </w:r>
      <w:proofErr w:type="gramStart"/>
      <w:r>
        <w:rPr>
          <w:rStyle w:val="mbin"/>
          <w:color w:val="000000"/>
        </w:rPr>
        <w:t>+</w:t>
      </w:r>
      <w:r>
        <w:rPr>
          <w:rStyle w:val="mclose"/>
          <w:color w:val="000000"/>
        </w:rPr>
        <w:t>]</w:t>
      </w:r>
      <w:r>
        <w:rPr>
          <w:rStyle w:val="mopen"/>
          <w:color w:val="000000"/>
        </w:rPr>
        <w:t>[</w:t>
      </w:r>
      <w:proofErr w:type="gramEnd"/>
      <w:r>
        <w:rPr>
          <w:rStyle w:val="mord"/>
          <w:color w:val="000000"/>
        </w:rPr>
        <w:t>A</w:t>
      </w:r>
      <w:r>
        <w:rPr>
          <w:rStyle w:val="mbin"/>
          <w:color w:val="000000"/>
        </w:rPr>
        <w:t>−</w:t>
      </w:r>
      <w:r>
        <w:rPr>
          <w:rStyle w:val="mclose"/>
          <w:color w:val="000000"/>
        </w:rPr>
        <w:t>]</w:t>
      </w:r>
      <w:r>
        <w:rPr>
          <w:rStyle w:val="mclose"/>
          <w:color w:val="000000"/>
        </w:rPr>
        <w:t>/[HA]</w:t>
      </w:r>
      <w:r>
        <w:rPr>
          <w:rStyle w:val="vlist-s"/>
          <w:rFonts w:ascii="Arial" w:hAnsi="Arial" w:cs="Arial"/>
          <w:color w:val="000000"/>
        </w:rPr>
        <w:t>​</w:t>
      </w:r>
    </w:p>
    <w:p w14:paraId="06B18A1D" w14:textId="77777777" w:rsidR="00D3339E" w:rsidRDefault="00D3339E" w:rsidP="00D3339E">
      <w:pPr>
        <w:rPr>
          <w:lang w:val="en-US"/>
        </w:rPr>
      </w:pPr>
      <w:r w:rsidRPr="00D3339E">
        <w:rPr>
          <w:rFonts w:hint="eastAsia"/>
          <w:lang w:val="en-US"/>
        </w:rPr>
        <w:t>这里的</w:t>
      </w:r>
      <w:r w:rsidRPr="00D3339E">
        <w:rPr>
          <w:lang w:val="en-US"/>
        </w:rPr>
        <w:t>HA</w:t>
      </w:r>
      <w:r w:rsidRPr="00D3339E">
        <w:rPr>
          <w:rFonts w:hint="eastAsia"/>
          <w:lang w:val="en-US"/>
        </w:rPr>
        <w:t>代表未解离的酸，</w:t>
      </w:r>
      <w:r w:rsidRPr="00D3339E">
        <w:rPr>
          <w:lang w:val="en-US"/>
        </w:rPr>
        <w:t>H</w:t>
      </w:r>
      <w:r w:rsidRPr="00D3339E">
        <w:rPr>
          <w:rFonts w:ascii="Cambria Math" w:hAnsi="Cambria Math" w:cs="Cambria Math"/>
          <w:lang w:val="en-US"/>
        </w:rPr>
        <w:t>⁺</w:t>
      </w:r>
      <w:r w:rsidRPr="00D3339E">
        <w:rPr>
          <w:rFonts w:hint="eastAsia"/>
          <w:lang w:val="en-US"/>
        </w:rPr>
        <w:t>是解离后的氢离子（质子），</w:t>
      </w:r>
      <w:r w:rsidRPr="00D3339E">
        <w:rPr>
          <w:lang w:val="en-US"/>
        </w:rPr>
        <w:t>A</w:t>
      </w:r>
      <w:r w:rsidRPr="00D3339E">
        <w:rPr>
          <w:rFonts w:ascii="Cambria Math" w:hAnsi="Cambria Math" w:cs="Cambria Math"/>
          <w:lang w:val="en-US"/>
        </w:rPr>
        <w:t>⁻</w:t>
      </w:r>
      <w:r w:rsidRPr="00D3339E">
        <w:rPr>
          <w:rFonts w:hint="eastAsia"/>
          <w:lang w:val="en-US"/>
        </w:rPr>
        <w:t>是酸的共轭碱。</w:t>
      </w:r>
    </w:p>
    <w:p w14:paraId="17FF1928" w14:textId="18372CE7" w:rsidR="002206A1" w:rsidRDefault="00AC7DC6" w:rsidP="0085527D">
      <w:pPr>
        <w:pStyle w:val="Heading3"/>
      </w:pPr>
      <w:r>
        <w:t xml:space="preserve">Ionised with the relationship with the </w:t>
      </w:r>
      <w:r w:rsidR="00964151">
        <w:t>reaction</w:t>
      </w:r>
    </w:p>
    <w:p w14:paraId="088FD9B4" w14:textId="27E3CFFE" w:rsidR="00FF29C7" w:rsidRPr="00964151" w:rsidRDefault="00FF29C7" w:rsidP="00FF29C7">
      <w:pPr>
        <w:rPr>
          <w:b/>
          <w:bCs/>
        </w:rPr>
      </w:pPr>
      <w:r w:rsidRPr="00964151">
        <w:rPr>
          <w:b/>
          <w:bCs/>
        </w:rPr>
        <w:t xml:space="preserve">Optimal Ionization for </w:t>
      </w:r>
      <w:proofErr w:type="spellStart"/>
      <w:r w:rsidRPr="00964151">
        <w:rPr>
          <w:b/>
          <w:bCs/>
        </w:rPr>
        <w:t>LbL</w:t>
      </w:r>
      <w:proofErr w:type="spellEnd"/>
      <w:r w:rsidRPr="00964151">
        <w:rPr>
          <w:b/>
          <w:bCs/>
        </w:rPr>
        <w:t xml:space="preserve"> Assembly:</w:t>
      </w:r>
      <w:r w:rsidR="00964151">
        <w:rPr>
          <w:b/>
          <w:bCs/>
        </w:rPr>
        <w:t xml:space="preserve"> </w:t>
      </w:r>
      <w:r>
        <w:t xml:space="preserve">The assembly of PAH and PAA into multilayer structures through </w:t>
      </w:r>
      <w:proofErr w:type="spellStart"/>
      <w:r>
        <w:t>LbL</w:t>
      </w:r>
      <w:proofErr w:type="spellEnd"/>
      <w:r>
        <w:t xml:space="preserve"> techniques is highly dependent on the electrostatic interactions between the oppositely charged polymers. For effective layer formation, it is crucial that both polymers are sufficiently ionized to maximize their interaction:</w:t>
      </w:r>
    </w:p>
    <w:p w14:paraId="119F7EF3" w14:textId="77777777" w:rsidR="00FF29C7" w:rsidRDefault="00FF29C7" w:rsidP="00FF29C7"/>
    <w:p w14:paraId="2ED5D85E" w14:textId="77777777" w:rsidR="00FF29C7" w:rsidRDefault="00FF29C7" w:rsidP="00FF29C7">
      <w:r w:rsidRPr="00964151">
        <w:rPr>
          <w:b/>
          <w:bCs/>
        </w:rPr>
        <w:lastRenderedPageBreak/>
        <w:t>More Ionized PAH:</w:t>
      </w:r>
      <w:r>
        <w:t xml:space="preserve"> This occurs under more acidic conditions (lower pH) where PAH's amine groups are more likely to be protonated, making the polymer positively charged.</w:t>
      </w:r>
    </w:p>
    <w:p w14:paraId="53D7D33B" w14:textId="509FA55F" w:rsidR="00D3339E" w:rsidRDefault="00FF29C7" w:rsidP="00D3339E">
      <w:r w:rsidRPr="00964151">
        <w:rPr>
          <w:b/>
          <w:bCs/>
        </w:rPr>
        <w:t>More Ionized PAA:</w:t>
      </w:r>
      <w:r>
        <w:t xml:space="preserve"> This occurs under more basic conditions (higher pH) where PAA's carboxylic acid groups are more likely to be deprotonated, making the polymer negatively charged.</w:t>
      </w:r>
    </w:p>
    <w:p w14:paraId="6C69CC8B" w14:textId="600F08CA" w:rsidR="000D4A8A" w:rsidRPr="000D4A8A" w:rsidRDefault="000D4A8A" w:rsidP="00D3339E">
      <w:pPr>
        <w:rPr>
          <w:lang w:val="en-US"/>
        </w:rPr>
      </w:pPr>
      <w:r>
        <w:rPr>
          <w:rFonts w:hint="eastAsia"/>
        </w:rPr>
        <w:t>More ionized</w:t>
      </w:r>
      <w:r>
        <w:rPr>
          <w:lang w:val="en-US"/>
        </w:rPr>
        <w:t xml:space="preserve">, </w:t>
      </w:r>
      <w:r w:rsidR="001F22FF">
        <w:rPr>
          <w:lang w:val="en-US"/>
        </w:rPr>
        <w:t xml:space="preserve">thinner. Less ionized, thicker. </w:t>
      </w:r>
    </w:p>
    <w:p w14:paraId="1384B45A" w14:textId="522F953A" w:rsidR="00AC7DC6" w:rsidRDefault="002717C9" w:rsidP="00AC7DC6">
      <w:pPr>
        <w:pStyle w:val="Heading3"/>
        <w:rPr>
          <w:lang w:val="en-US"/>
        </w:rPr>
      </w:pPr>
      <w:r>
        <w:rPr>
          <w:lang w:val="en-US"/>
        </w:rPr>
        <w:t>P</w:t>
      </w:r>
      <w:r w:rsidR="00633A28">
        <w:rPr>
          <w:lang w:val="en-US"/>
        </w:rPr>
        <w:t>A</w:t>
      </w:r>
      <w:r w:rsidR="00A6079B">
        <w:rPr>
          <w:lang w:val="en-US"/>
        </w:rPr>
        <w:t>H</w:t>
      </w:r>
      <w:r w:rsidR="00633A28">
        <w:rPr>
          <w:lang w:val="en-US"/>
        </w:rPr>
        <w:t>/PA</w:t>
      </w:r>
      <w:r w:rsidR="00A6079B">
        <w:rPr>
          <w:lang w:val="en-US"/>
        </w:rPr>
        <w:t>A pH 6.5/6.5 and pH 3.5/7.5</w:t>
      </w:r>
    </w:p>
    <w:p w14:paraId="065393F7" w14:textId="7F2C7EFA" w:rsidR="008A582C" w:rsidRPr="008A582C" w:rsidRDefault="008A582C" w:rsidP="008A582C">
      <w:pPr>
        <w:rPr>
          <w:b/>
          <w:bCs/>
        </w:rPr>
      </w:pPr>
      <w:r w:rsidRPr="008A582C">
        <w:rPr>
          <w:rFonts w:hint="eastAsia"/>
          <w:b/>
          <w:bCs/>
        </w:rPr>
        <w:t>在</w:t>
      </w:r>
      <w:r w:rsidRPr="008A582C">
        <w:rPr>
          <w:rFonts w:hint="eastAsia"/>
          <w:b/>
          <w:bCs/>
        </w:rPr>
        <w:t>pH 6.5</w:t>
      </w:r>
      <w:r w:rsidRPr="008A582C">
        <w:rPr>
          <w:rFonts w:hint="eastAsia"/>
          <w:b/>
          <w:bCs/>
        </w:rPr>
        <w:t>时，</w:t>
      </w:r>
      <w:r w:rsidRPr="008A582C">
        <w:rPr>
          <w:rFonts w:hint="eastAsia"/>
          <w:b/>
          <w:bCs/>
        </w:rPr>
        <w:t>PAA</w:t>
      </w:r>
      <w:r w:rsidRPr="008A582C">
        <w:rPr>
          <w:rFonts w:hint="eastAsia"/>
          <w:b/>
          <w:bCs/>
        </w:rPr>
        <w:t>和</w:t>
      </w:r>
      <w:r w:rsidRPr="008A582C">
        <w:rPr>
          <w:rFonts w:hint="eastAsia"/>
          <w:b/>
          <w:bCs/>
        </w:rPr>
        <w:t>PAH</w:t>
      </w:r>
      <w:r w:rsidRPr="008A582C">
        <w:rPr>
          <w:rFonts w:hint="eastAsia"/>
          <w:b/>
          <w:bCs/>
        </w:rPr>
        <w:t>的电荷状态如下：</w:t>
      </w:r>
    </w:p>
    <w:p w14:paraId="4F600E05" w14:textId="77777777" w:rsidR="008A582C" w:rsidRDefault="008A582C" w:rsidP="008A582C">
      <w:pPr>
        <w:rPr>
          <w:rFonts w:hint="eastAsia"/>
        </w:rPr>
      </w:pPr>
      <w:r>
        <w:rPr>
          <w:rFonts w:hint="eastAsia"/>
        </w:rPr>
        <w:t>PAH</w:t>
      </w:r>
      <w:r>
        <w:rPr>
          <w:rFonts w:hint="eastAsia"/>
        </w:rPr>
        <w:t>：</w:t>
      </w:r>
      <w:proofErr w:type="spellStart"/>
      <w:r>
        <w:rPr>
          <w:rFonts w:hint="eastAsia"/>
        </w:rPr>
        <w:t>pKa</w:t>
      </w:r>
      <w:proofErr w:type="spellEnd"/>
      <w:r>
        <w:rPr>
          <w:rFonts w:hint="eastAsia"/>
        </w:rPr>
        <w:t>大约在</w:t>
      </w:r>
      <w:r>
        <w:rPr>
          <w:rFonts w:hint="eastAsia"/>
        </w:rPr>
        <w:t>8.8</w:t>
      </w:r>
      <w:r>
        <w:rPr>
          <w:rFonts w:hint="eastAsia"/>
        </w:rPr>
        <w:t>至</w:t>
      </w:r>
      <w:r>
        <w:rPr>
          <w:rFonts w:hint="eastAsia"/>
        </w:rPr>
        <w:t>9.5</w:t>
      </w:r>
      <w:r>
        <w:rPr>
          <w:rFonts w:hint="eastAsia"/>
        </w:rPr>
        <w:t>之间，因此在</w:t>
      </w:r>
      <w:r>
        <w:rPr>
          <w:rFonts w:hint="eastAsia"/>
        </w:rPr>
        <w:t>pH 6.5</w:t>
      </w:r>
      <w:r>
        <w:rPr>
          <w:rFonts w:hint="eastAsia"/>
        </w:rPr>
        <w:t>时，</w:t>
      </w:r>
      <w:r>
        <w:rPr>
          <w:rFonts w:hint="eastAsia"/>
        </w:rPr>
        <w:t>PAH</w:t>
      </w:r>
      <w:r>
        <w:rPr>
          <w:rFonts w:hint="eastAsia"/>
        </w:rPr>
        <w:t>的大部分胺基团都会被质子化，带正电。</w:t>
      </w:r>
    </w:p>
    <w:p w14:paraId="3306C4DC" w14:textId="77777777" w:rsidR="008A582C" w:rsidRDefault="008A582C" w:rsidP="008A582C">
      <w:r>
        <w:t>PAA</w:t>
      </w:r>
      <w:r>
        <w:rPr>
          <w:rFonts w:hint="eastAsia"/>
        </w:rPr>
        <w:t>：其</w:t>
      </w:r>
      <w:proofErr w:type="spellStart"/>
      <w:r>
        <w:t>pKa</w:t>
      </w:r>
      <w:proofErr w:type="spellEnd"/>
      <w:r>
        <w:rPr>
          <w:rFonts w:hint="eastAsia"/>
        </w:rPr>
        <w:t>约为</w:t>
      </w:r>
      <w:r>
        <w:t>4.5</w:t>
      </w:r>
      <w:r>
        <w:rPr>
          <w:rFonts w:hint="eastAsia"/>
        </w:rPr>
        <w:t>至</w:t>
      </w:r>
      <w:r>
        <w:t>5</w:t>
      </w:r>
      <w:r>
        <w:rPr>
          <w:rFonts w:hint="eastAsia"/>
        </w:rPr>
        <w:t>，所以在</w:t>
      </w:r>
      <w:r>
        <w:t>pH 6.5</w:t>
      </w:r>
      <w:r>
        <w:rPr>
          <w:rFonts w:hint="eastAsia"/>
        </w:rPr>
        <w:t>时，大部分羧基都会解离成羧酸盐</w:t>
      </w:r>
      <w:r>
        <w:t>(-COO</w:t>
      </w:r>
      <w:r>
        <w:rPr>
          <w:rFonts w:ascii="Cambria Math" w:hAnsi="Cambria Math" w:cs="Cambria Math"/>
        </w:rPr>
        <w:t>⁻</w:t>
      </w:r>
      <w:r>
        <w:t>)</w:t>
      </w:r>
      <w:r>
        <w:rPr>
          <w:rFonts w:hint="eastAsia"/>
        </w:rPr>
        <w:t>，带负电。</w:t>
      </w:r>
    </w:p>
    <w:p w14:paraId="13F28ED7" w14:textId="60B1AA86" w:rsidR="008A582C" w:rsidRDefault="008A582C" w:rsidP="008A582C">
      <w:r>
        <w:rPr>
          <w:rFonts w:hint="eastAsia"/>
        </w:rPr>
        <w:t>在这个</w:t>
      </w:r>
      <w:r>
        <w:rPr>
          <w:rFonts w:hint="eastAsia"/>
        </w:rPr>
        <w:t>pH</w:t>
      </w:r>
      <w:r>
        <w:rPr>
          <w:rFonts w:hint="eastAsia"/>
        </w:rPr>
        <w:t>值下，两种聚电解质都处于较高的电荷密度状态，有利于形成较为致密和均匀的层次结构，但膜的整体厚度可能不会特别厚，因为两者的强烈电荷相互作用导致较为紧密的层次结构。</w:t>
      </w:r>
    </w:p>
    <w:p w14:paraId="5B5E9343" w14:textId="77777777" w:rsidR="008A582C" w:rsidRPr="00C247D6" w:rsidRDefault="008A582C" w:rsidP="008A582C">
      <w:pPr>
        <w:rPr>
          <w:rFonts w:hint="eastAsia"/>
          <w:b/>
          <w:bCs/>
        </w:rPr>
      </w:pPr>
      <w:r w:rsidRPr="00C247D6">
        <w:rPr>
          <w:rFonts w:hint="eastAsia"/>
          <w:b/>
          <w:bCs/>
        </w:rPr>
        <w:t>pH 3.5/7.5</w:t>
      </w:r>
      <w:r w:rsidRPr="00C247D6">
        <w:rPr>
          <w:rFonts w:hint="eastAsia"/>
          <w:b/>
          <w:bCs/>
        </w:rPr>
        <w:t>的情况</w:t>
      </w:r>
    </w:p>
    <w:p w14:paraId="3F35A199" w14:textId="77777777" w:rsidR="00CB477C" w:rsidRDefault="00CB477C" w:rsidP="00CB477C">
      <w:pPr>
        <w:rPr>
          <w:rFonts w:hint="eastAsia"/>
        </w:rPr>
      </w:pPr>
      <w:r>
        <w:rPr>
          <w:rFonts w:hint="eastAsia"/>
        </w:rPr>
        <w:t>PAA</w:t>
      </w:r>
      <w:r>
        <w:rPr>
          <w:rFonts w:hint="eastAsia"/>
        </w:rPr>
        <w:t>在</w:t>
      </w:r>
      <w:r>
        <w:rPr>
          <w:rFonts w:hint="eastAsia"/>
        </w:rPr>
        <w:t>pH 3.5</w:t>
      </w:r>
    </w:p>
    <w:p w14:paraId="07854327" w14:textId="72488F3E" w:rsidR="00CB477C" w:rsidRDefault="00CB477C" w:rsidP="00CB477C">
      <w:r>
        <w:rPr>
          <w:rFonts w:hint="eastAsia"/>
        </w:rPr>
        <w:t>解离程度低：</w:t>
      </w:r>
      <w:r>
        <w:t>PAA</w:t>
      </w:r>
      <w:r>
        <w:rPr>
          <w:rFonts w:hint="eastAsia"/>
        </w:rPr>
        <w:t>的</w:t>
      </w:r>
      <w:proofErr w:type="spellStart"/>
      <w:r>
        <w:t>pKa</w:t>
      </w:r>
      <w:proofErr w:type="spellEnd"/>
      <w:r>
        <w:rPr>
          <w:rFonts w:hint="eastAsia"/>
        </w:rPr>
        <w:t>大约在</w:t>
      </w:r>
      <w:r>
        <w:t>4.5</w:t>
      </w:r>
      <w:r>
        <w:rPr>
          <w:rFonts w:hint="eastAsia"/>
        </w:rPr>
        <w:t>到</w:t>
      </w:r>
      <w:r>
        <w:t>5</w:t>
      </w:r>
      <w:r>
        <w:rPr>
          <w:rFonts w:hint="eastAsia"/>
        </w:rPr>
        <w:t>之间，这意味着在</w:t>
      </w:r>
      <w:r>
        <w:t>pH 3.5</w:t>
      </w:r>
      <w:r>
        <w:rPr>
          <w:rFonts w:hint="eastAsia"/>
        </w:rPr>
        <w:t>时，大多数</w:t>
      </w:r>
      <w:r>
        <w:t>PAA</w:t>
      </w:r>
      <w:r>
        <w:rPr>
          <w:rFonts w:hint="eastAsia"/>
        </w:rPr>
        <w:t>的羧基</w:t>
      </w:r>
      <w:r>
        <w:t>(-COOH)</w:t>
      </w:r>
      <w:r>
        <w:rPr>
          <w:rFonts w:hint="eastAsia"/>
        </w:rPr>
        <w:t>不会解离成羧酸盐</w:t>
      </w:r>
      <w:r>
        <w:t>(-COO</w:t>
      </w:r>
      <w:r>
        <w:rPr>
          <w:rFonts w:ascii="Cambria Math" w:hAnsi="Cambria Math" w:cs="Cambria Math"/>
        </w:rPr>
        <w:t>⁻</w:t>
      </w:r>
      <w:r>
        <w:t>)</w:t>
      </w:r>
      <w:r>
        <w:rPr>
          <w:rFonts w:hint="eastAsia"/>
        </w:rPr>
        <w:t>（因为</w:t>
      </w:r>
      <w:r>
        <w:rPr>
          <w:rFonts w:hint="eastAsia"/>
        </w:rPr>
        <w:t>H+</w:t>
      </w:r>
      <w:r>
        <w:rPr>
          <w:rFonts w:hint="eastAsia"/>
        </w:rPr>
        <w:t>解离被抑制）</w:t>
      </w:r>
      <w:r>
        <w:rPr>
          <w:rFonts w:hint="eastAsia"/>
        </w:rPr>
        <w:t>。因此，在这种酸性条件下，</w:t>
      </w:r>
      <w:r>
        <w:t>PAA</w:t>
      </w:r>
      <w:r>
        <w:rPr>
          <w:rFonts w:hint="eastAsia"/>
        </w:rPr>
        <w:t>的电荷密度较低，呈现出低度的负电荷状态。</w:t>
      </w:r>
    </w:p>
    <w:p w14:paraId="1E6DD71B" w14:textId="77777777" w:rsidR="00CB477C" w:rsidRDefault="00CB477C" w:rsidP="00CB477C">
      <w:pPr>
        <w:rPr>
          <w:rFonts w:hint="eastAsia"/>
        </w:rPr>
      </w:pPr>
      <w:r>
        <w:rPr>
          <w:rFonts w:hint="eastAsia"/>
        </w:rPr>
        <w:t>PAH</w:t>
      </w:r>
      <w:r>
        <w:rPr>
          <w:rFonts w:hint="eastAsia"/>
        </w:rPr>
        <w:t>在</w:t>
      </w:r>
      <w:r>
        <w:rPr>
          <w:rFonts w:hint="eastAsia"/>
        </w:rPr>
        <w:t>pH 7.5</w:t>
      </w:r>
    </w:p>
    <w:p w14:paraId="3CF8553C" w14:textId="76E1F987" w:rsidR="00C247D6" w:rsidRDefault="00CB477C" w:rsidP="00CB477C">
      <w:r>
        <w:rPr>
          <w:rFonts w:hint="eastAsia"/>
        </w:rPr>
        <w:t>完全质子化：</w:t>
      </w:r>
      <w:r>
        <w:t>PAH</w:t>
      </w:r>
      <w:r>
        <w:rPr>
          <w:rFonts w:hint="eastAsia"/>
        </w:rPr>
        <w:t>的胺基团在</w:t>
      </w:r>
      <w:r>
        <w:t>pH</w:t>
      </w:r>
      <w:r>
        <w:rPr>
          <w:rFonts w:hint="eastAsia"/>
        </w:rPr>
        <w:t>值低于其</w:t>
      </w:r>
      <w:proofErr w:type="spellStart"/>
      <w:r>
        <w:t>pKa</w:t>
      </w:r>
      <w:proofErr w:type="spellEnd"/>
      <w:r>
        <w:rPr>
          <w:rFonts w:hint="eastAsia"/>
        </w:rPr>
        <w:t>（约为</w:t>
      </w:r>
      <w:r>
        <w:t>8.8</w:t>
      </w:r>
      <w:r>
        <w:rPr>
          <w:rFonts w:hint="eastAsia"/>
        </w:rPr>
        <w:t>至</w:t>
      </w:r>
      <w:r>
        <w:t>9.5</w:t>
      </w:r>
      <w:r>
        <w:rPr>
          <w:rFonts w:hint="eastAsia"/>
        </w:rPr>
        <w:t>）时，会处于质子化（</w:t>
      </w:r>
      <w:r>
        <w:t>-NH₃</w:t>
      </w:r>
      <w:r>
        <w:rPr>
          <w:rFonts w:ascii="Cambria Math" w:hAnsi="Cambria Math" w:cs="Cambria Math"/>
        </w:rPr>
        <w:t>⁺</w:t>
      </w:r>
      <w:r>
        <w:rPr>
          <w:rFonts w:hint="eastAsia"/>
        </w:rPr>
        <w:t>）状态。因此，在</w:t>
      </w:r>
      <w:r>
        <w:t>pH 7.5</w:t>
      </w:r>
      <w:r>
        <w:rPr>
          <w:rFonts w:hint="eastAsia"/>
        </w:rPr>
        <w:t>时，</w:t>
      </w:r>
      <w:r>
        <w:t>PAH</w:t>
      </w:r>
      <w:r>
        <w:rPr>
          <w:rFonts w:hint="eastAsia"/>
        </w:rPr>
        <w:t>接近完全质子化，带有高密度的正电荷。</w:t>
      </w:r>
    </w:p>
    <w:p w14:paraId="3CFFCECE" w14:textId="77777777" w:rsidR="00CB477C" w:rsidRPr="000D4A8A" w:rsidRDefault="00CB477C" w:rsidP="00CB477C">
      <w:pPr>
        <w:rPr>
          <w:rFonts w:hint="eastAsia"/>
          <w:lang w:val="en-US"/>
        </w:rPr>
      </w:pPr>
    </w:p>
    <w:sectPr w:rsidR="00CB477C" w:rsidRPr="000D4A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6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700"/>
    <w:rsid w:val="00011700"/>
    <w:rsid w:val="00097249"/>
    <w:rsid w:val="000D4A8A"/>
    <w:rsid w:val="00103F7B"/>
    <w:rsid w:val="001C504C"/>
    <w:rsid w:val="001F22FF"/>
    <w:rsid w:val="002206A1"/>
    <w:rsid w:val="002717C9"/>
    <w:rsid w:val="00305482"/>
    <w:rsid w:val="003233AD"/>
    <w:rsid w:val="004540C6"/>
    <w:rsid w:val="005378DF"/>
    <w:rsid w:val="005B5261"/>
    <w:rsid w:val="00633A28"/>
    <w:rsid w:val="00744834"/>
    <w:rsid w:val="007824CA"/>
    <w:rsid w:val="007B0EFC"/>
    <w:rsid w:val="0085527D"/>
    <w:rsid w:val="008A582C"/>
    <w:rsid w:val="00921CCE"/>
    <w:rsid w:val="00947133"/>
    <w:rsid w:val="00964151"/>
    <w:rsid w:val="0097110C"/>
    <w:rsid w:val="00A6079B"/>
    <w:rsid w:val="00A70863"/>
    <w:rsid w:val="00AC7DC6"/>
    <w:rsid w:val="00B050BC"/>
    <w:rsid w:val="00B9233D"/>
    <w:rsid w:val="00C247D6"/>
    <w:rsid w:val="00C44794"/>
    <w:rsid w:val="00CB477C"/>
    <w:rsid w:val="00CF169C"/>
    <w:rsid w:val="00D3339E"/>
    <w:rsid w:val="00FB4FA1"/>
    <w:rsid w:val="00FF29C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286EDD"/>
  <w15:chartTrackingRefBased/>
  <w15:docId w15:val="{C923B919-AE71-494A-B37F-C2F8522A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7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17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17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17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17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17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17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17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17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7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17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17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17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17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17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17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17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1700"/>
    <w:rPr>
      <w:rFonts w:eastAsiaTheme="majorEastAsia" w:cstheme="majorBidi"/>
      <w:color w:val="272727" w:themeColor="text1" w:themeTint="D8"/>
    </w:rPr>
  </w:style>
  <w:style w:type="paragraph" w:styleId="Title">
    <w:name w:val="Title"/>
    <w:basedOn w:val="Normal"/>
    <w:next w:val="Normal"/>
    <w:link w:val="TitleChar"/>
    <w:uiPriority w:val="10"/>
    <w:qFormat/>
    <w:rsid w:val="000117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7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17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17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1700"/>
    <w:pPr>
      <w:spacing w:before="160"/>
      <w:jc w:val="center"/>
    </w:pPr>
    <w:rPr>
      <w:i/>
      <w:iCs/>
      <w:color w:val="404040" w:themeColor="text1" w:themeTint="BF"/>
    </w:rPr>
  </w:style>
  <w:style w:type="character" w:customStyle="1" w:styleId="QuoteChar">
    <w:name w:val="Quote Char"/>
    <w:basedOn w:val="DefaultParagraphFont"/>
    <w:link w:val="Quote"/>
    <w:uiPriority w:val="29"/>
    <w:rsid w:val="00011700"/>
    <w:rPr>
      <w:i/>
      <w:iCs/>
      <w:color w:val="404040" w:themeColor="text1" w:themeTint="BF"/>
    </w:rPr>
  </w:style>
  <w:style w:type="paragraph" w:styleId="ListParagraph">
    <w:name w:val="List Paragraph"/>
    <w:basedOn w:val="Normal"/>
    <w:uiPriority w:val="34"/>
    <w:qFormat/>
    <w:rsid w:val="00011700"/>
    <w:pPr>
      <w:ind w:left="720"/>
      <w:contextualSpacing/>
    </w:pPr>
  </w:style>
  <w:style w:type="character" w:styleId="IntenseEmphasis">
    <w:name w:val="Intense Emphasis"/>
    <w:basedOn w:val="DefaultParagraphFont"/>
    <w:uiPriority w:val="21"/>
    <w:qFormat/>
    <w:rsid w:val="00011700"/>
    <w:rPr>
      <w:i/>
      <w:iCs/>
      <w:color w:val="0F4761" w:themeColor="accent1" w:themeShade="BF"/>
    </w:rPr>
  </w:style>
  <w:style w:type="paragraph" w:styleId="IntenseQuote">
    <w:name w:val="Intense Quote"/>
    <w:basedOn w:val="Normal"/>
    <w:next w:val="Normal"/>
    <w:link w:val="IntenseQuoteChar"/>
    <w:uiPriority w:val="30"/>
    <w:qFormat/>
    <w:rsid w:val="000117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1700"/>
    <w:rPr>
      <w:i/>
      <w:iCs/>
      <w:color w:val="0F4761" w:themeColor="accent1" w:themeShade="BF"/>
    </w:rPr>
  </w:style>
  <w:style w:type="character" w:styleId="IntenseReference">
    <w:name w:val="Intense Reference"/>
    <w:basedOn w:val="DefaultParagraphFont"/>
    <w:uiPriority w:val="32"/>
    <w:qFormat/>
    <w:rsid w:val="00011700"/>
    <w:rPr>
      <w:b/>
      <w:bCs/>
      <w:smallCaps/>
      <w:color w:val="0F4761" w:themeColor="accent1" w:themeShade="BF"/>
      <w:spacing w:val="5"/>
    </w:rPr>
  </w:style>
  <w:style w:type="character" w:customStyle="1" w:styleId="mord">
    <w:name w:val="mord"/>
    <w:basedOn w:val="DefaultParagraphFont"/>
    <w:rsid w:val="00CF169C"/>
  </w:style>
  <w:style w:type="character" w:customStyle="1" w:styleId="mrel">
    <w:name w:val="mrel"/>
    <w:basedOn w:val="DefaultParagraphFont"/>
    <w:rsid w:val="00CF169C"/>
  </w:style>
  <w:style w:type="character" w:customStyle="1" w:styleId="mop">
    <w:name w:val="mop"/>
    <w:basedOn w:val="DefaultParagraphFont"/>
    <w:rsid w:val="00CF169C"/>
  </w:style>
  <w:style w:type="character" w:customStyle="1" w:styleId="vlist-s">
    <w:name w:val="vlist-s"/>
    <w:basedOn w:val="DefaultParagraphFont"/>
    <w:rsid w:val="00CF169C"/>
  </w:style>
  <w:style w:type="character" w:customStyle="1" w:styleId="mopen">
    <w:name w:val="mopen"/>
    <w:basedOn w:val="DefaultParagraphFont"/>
    <w:rsid w:val="002206A1"/>
  </w:style>
  <w:style w:type="character" w:customStyle="1" w:styleId="mclose">
    <w:name w:val="mclose"/>
    <w:basedOn w:val="DefaultParagraphFont"/>
    <w:rsid w:val="002206A1"/>
  </w:style>
  <w:style w:type="character" w:customStyle="1" w:styleId="mbin">
    <w:name w:val="mbin"/>
    <w:basedOn w:val="DefaultParagraphFont"/>
    <w:rsid w:val="00220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77330">
      <w:bodyDiv w:val="1"/>
      <w:marLeft w:val="0"/>
      <w:marRight w:val="0"/>
      <w:marTop w:val="0"/>
      <w:marBottom w:val="0"/>
      <w:divBdr>
        <w:top w:val="none" w:sz="0" w:space="0" w:color="auto"/>
        <w:left w:val="none" w:sz="0" w:space="0" w:color="auto"/>
        <w:bottom w:val="none" w:sz="0" w:space="0" w:color="auto"/>
        <w:right w:val="none" w:sz="0" w:space="0" w:color="auto"/>
      </w:divBdr>
    </w:div>
    <w:div w:id="398095033">
      <w:bodyDiv w:val="1"/>
      <w:marLeft w:val="0"/>
      <w:marRight w:val="0"/>
      <w:marTop w:val="0"/>
      <w:marBottom w:val="0"/>
      <w:divBdr>
        <w:top w:val="none" w:sz="0" w:space="0" w:color="auto"/>
        <w:left w:val="none" w:sz="0" w:space="0" w:color="auto"/>
        <w:bottom w:val="none" w:sz="0" w:space="0" w:color="auto"/>
        <w:right w:val="none" w:sz="0" w:space="0" w:color="auto"/>
      </w:divBdr>
    </w:div>
    <w:div w:id="786118001">
      <w:bodyDiv w:val="1"/>
      <w:marLeft w:val="0"/>
      <w:marRight w:val="0"/>
      <w:marTop w:val="0"/>
      <w:marBottom w:val="0"/>
      <w:divBdr>
        <w:top w:val="none" w:sz="0" w:space="0" w:color="auto"/>
        <w:left w:val="none" w:sz="0" w:space="0" w:color="auto"/>
        <w:bottom w:val="none" w:sz="0" w:space="0" w:color="auto"/>
        <w:right w:val="none" w:sz="0" w:space="0" w:color="auto"/>
      </w:divBdr>
    </w:div>
    <w:div w:id="907963153">
      <w:bodyDiv w:val="1"/>
      <w:marLeft w:val="0"/>
      <w:marRight w:val="0"/>
      <w:marTop w:val="0"/>
      <w:marBottom w:val="0"/>
      <w:divBdr>
        <w:top w:val="none" w:sz="0" w:space="0" w:color="auto"/>
        <w:left w:val="none" w:sz="0" w:space="0" w:color="auto"/>
        <w:bottom w:val="none" w:sz="0" w:space="0" w:color="auto"/>
        <w:right w:val="none" w:sz="0" w:space="0" w:color="auto"/>
      </w:divBdr>
    </w:div>
    <w:div w:id="1880973134">
      <w:bodyDiv w:val="1"/>
      <w:marLeft w:val="0"/>
      <w:marRight w:val="0"/>
      <w:marTop w:val="0"/>
      <w:marBottom w:val="0"/>
      <w:divBdr>
        <w:top w:val="none" w:sz="0" w:space="0" w:color="auto"/>
        <w:left w:val="none" w:sz="0" w:space="0" w:color="auto"/>
        <w:bottom w:val="none" w:sz="0" w:space="0" w:color="auto"/>
        <w:right w:val="none" w:sz="0" w:space="0" w:color="auto"/>
      </w:divBdr>
    </w:div>
    <w:div w:id="206008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284</Words>
  <Characters>1619</Characters>
  <Application>Microsoft Office Word</Application>
  <DocSecurity>0</DocSecurity>
  <Lines>13</Lines>
  <Paragraphs>3</Paragraphs>
  <ScaleCrop>false</ScaleCrop>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Tianle Xu</dc:creator>
  <cp:keywords/>
  <dc:description/>
  <cp:lastModifiedBy>Tianle Xu</cp:lastModifiedBy>
  <cp:revision>29</cp:revision>
  <dcterms:created xsi:type="dcterms:W3CDTF">2024-06-03T02:44:00Z</dcterms:created>
  <dcterms:modified xsi:type="dcterms:W3CDTF">2024-06-06T18:35:00Z</dcterms:modified>
</cp:coreProperties>
</file>