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40"/>
      </w:pPr>
      <w:r>
        <w:rPr>
          <w:rFonts w:ascii="Times New Roman" w:hAnsi="Times New Roman"/>
          <w:b/>
          <w:color w:val="1F497D"/>
          <w:sz w:val="40"/>
        </w:rPr>
        <w:t>CHAPTER ONE: INTRODUCTION</w:t>
      </w:r>
    </w:p>
    <w:p>
      <w:pPr>
        <w:keepNext/>
        <w:spacing w:before="280" w:after="160"/>
      </w:pPr>
      <w:r>
        <w:rPr>
          <w:rFonts w:ascii="Times New Roman" w:hAnsi="Times New Roman"/>
          <w:b/>
          <w:color w:val="1F497D"/>
          <w:sz w:val="32"/>
        </w:rPr>
        <w:t>1.0 Introduction</w:t>
      </w:r>
    </w:p>
    <w:p>
      <w:pPr>
        <w:spacing w:after="120" w:line="300" w:lineRule="auto"/>
      </w:pPr>
      <w:r>
        <w:rPr>
          <w:rFonts w:ascii="Times New Roman" w:hAnsi="Times New Roman"/>
          <w:sz w:val="24"/>
        </w:rPr>
        <w:t>Cloud computing has become a central component of contemporary enterprise information technology. Organisations increasingly depend on public cloud platforms to host applications, store information, analyse data, support remote access, and provide digital services to customers. In sectors such as financial services, telecommunications, healthcare, government, and electronic commerce, cloud infrastructure is no longer used only for secondary systems. It now supports customer-facing applications, identity services, business intelligence, backup environments, disaster recovery facilities, and other workloads that are critical to organisational continuity.</w:t>
      </w:r>
    </w:p>
    <w:p>
      <w:pPr>
        <w:spacing w:after="120" w:line="300" w:lineRule="auto"/>
      </w:pPr>
      <w:r>
        <w:rPr>
          <w:rFonts w:ascii="Times New Roman" w:hAnsi="Times New Roman"/>
          <w:sz w:val="24"/>
        </w:rPr>
        <w:t>The growing importance of cloud services has changed how enterprises design their technology environments. Rather than placing all workloads with a single cloud service provider, organisations frequently distribute applications and supporting services across two or more cloud platforms—a arrangement commonly described as a multi-cloud architecture. A multi-cloud strategy enables an organisation to leverage specialised capabilities of different providers, reduce excessive vendor lock-in, improve service continuity, and satisfy operational or regulatory requirements. However, it also introduces complex security and architectural challenges regarding inter-cloud network connectivity, identity management, security-policy consistency, monitoring, incident detection, and regulatory governance.</w:t>
      </w:r>
    </w:p>
    <w:p>
      <w:pPr>
        <w:spacing w:after="120" w:line="300" w:lineRule="auto"/>
      </w:pPr>
      <w:r>
        <w:rPr>
          <w:rFonts w:ascii="Times New Roman" w:hAnsi="Times New Roman"/>
          <w:sz w:val="24"/>
        </w:rPr>
        <w:t>This Professional Master’s Project addresses these challenges through the design, implementation, and empirical evaluation of a secure reference architecture connecting Amazon Web Services (AWS) and Microsoft Azure. The project is deliberately practice-oriented and solution-driven. It moves beyond theoretical discussions of multi-cloud security by developing a deployable, reproducible technical artefact comprising segmented cloud networks, encrypted inter-cloud connectivity, federated identity controls, centralised observability, Infrastructure as Code (IaC), and a representative three-tier enterprise workload. The resulting system is evaluated against quantitative security posture, network performance, and operational resilience criteria.</w:t>
      </w:r>
    </w:p>
    <w:p>
      <w:pPr>
        <w:spacing w:after="120" w:line="300" w:lineRule="auto"/>
      </w:pPr>
      <w:r>
        <w:rPr>
          <w:rFonts w:ascii="Times New Roman" w:hAnsi="Times New Roman"/>
          <w:sz w:val="24"/>
        </w:rPr>
        <w:t>This orientation aligns directly with the MIVA Open University Professional Master’s Project framework, which requires an applied, solution-driven project demonstrating the ability to identify a real-world IT problem, design and implement a practical solution, and evaluate the system under empirical conditions.</w:t>
      </w:r>
    </w:p>
    <w:p>
      <w:pPr>
        <w:spacing w:before="120" w:after="120"/>
      </w:pPr>
      <w:r>
        <w:rPr>
          <w:color w:val="CCCCCC"/>
        </w:rPr>
        <w:t>――――――――――――――――――――――――――――――――――――――――――――――――――</w:t>
      </w:r>
    </w:p>
    <w:p>
      <w:pPr>
        <w:keepNext/>
        <w:spacing w:before="280" w:after="160"/>
      </w:pPr>
      <w:r>
        <w:rPr>
          <w:rFonts w:ascii="Times New Roman" w:hAnsi="Times New Roman"/>
          <w:b/>
          <w:color w:val="1F497D"/>
          <w:sz w:val="32"/>
        </w:rPr>
        <w:t>1.1 Background to the Project</w:t>
      </w:r>
    </w:p>
    <w:p>
      <w:pPr>
        <w:keepNext/>
        <w:spacing w:before="240" w:after="120"/>
      </w:pPr>
      <w:r>
        <w:rPr>
          <w:rFonts w:ascii="Times New Roman" w:hAnsi="Times New Roman"/>
          <w:b/>
          <w:color w:val="366092"/>
          <w:sz w:val="27"/>
        </w:rPr>
        <w:t>1.1.1 Evolution of Enterprise Cloud Computing</w:t>
      </w:r>
    </w:p>
    <w:p>
      <w:pPr>
        <w:spacing w:after="120" w:line="300" w:lineRule="auto"/>
      </w:pPr>
      <w:r>
        <w:rPr>
          <w:rFonts w:ascii="Times New Roman" w:hAnsi="Times New Roman"/>
          <w:sz w:val="24"/>
        </w:rPr>
        <w:t>Cloud computing is defined by the National Institute of Standards and Technology (NIST) as a model for enabling convenient, on-demand network access to a shared pool of configurable computing resources (Mell &amp; Grance, 2011). Key characteristics include on-demand self-service, broad network access, resource pooling, rapid elasticity, and measured service. Service models span Infrastructure as a Service (IaaS), Platform as a Service (PaaS), and Software as a Service (SaaS), deployed across public, private, community, or hybrid environments.</w:t>
      </w:r>
    </w:p>
    <w:p>
      <w:pPr>
        <w:spacing w:after="120" w:line="300" w:lineRule="auto"/>
      </w:pPr>
      <w:r>
        <w:rPr>
          <w:rFonts w:ascii="Times New Roman" w:hAnsi="Times New Roman"/>
          <w:sz w:val="24"/>
        </w:rPr>
        <w:t>The strategic attraction of cloud computing lies in decoupling computing capacity from physical infrastructure ownership. Compute, storage, network, and security services can be provisioned through automated APIs rather than lengthy physical procurement processes. This shortens time-to-market, supports geographically distributed operations, and enforces configuration consistency across development, testing, and production environments.</w:t>
      </w:r>
    </w:p>
    <w:p>
      <w:pPr>
        <w:spacing w:after="120" w:line="300" w:lineRule="auto"/>
      </w:pPr>
      <w:r>
        <w:rPr>
          <w:rFonts w:ascii="Times New Roman" w:hAnsi="Times New Roman"/>
          <w:sz w:val="24"/>
        </w:rPr>
        <w:t>However, cloud migration alters the distribution of security responsibilities. Under the shared-responsibility model, cloud providers secure the underlying physical facilities and managed infrastructure, while customers retain responsibility for user access, workload configuration, data classification, network filtering, and application security. Misunderstanding this boundary often leads to critical control failures, even on underlying infrastructure that is technically secure.</w:t>
      </w:r>
    </w:p>
    <w:p>
      <w:pPr>
        <w:keepNext/>
        <w:spacing w:before="240" w:after="120"/>
      </w:pPr>
      <w:r>
        <w:rPr>
          <w:rFonts w:ascii="Times New Roman" w:hAnsi="Times New Roman"/>
          <w:b/>
          <w:color w:val="366092"/>
          <w:sz w:val="27"/>
        </w:rPr>
        <w:t>1.1.2 Emergence of Multi-Cloud Enterprise Environments</w:t>
      </w:r>
    </w:p>
    <w:p>
      <w:pPr>
        <w:spacing w:after="120" w:line="300" w:lineRule="auto"/>
      </w:pPr>
      <w:r>
        <w:rPr>
          <w:rFonts w:ascii="Times New Roman" w:hAnsi="Times New Roman"/>
          <w:sz w:val="24"/>
        </w:rPr>
        <w:t>A multi-cloud environment exists when an organisation deliberately consumes public cloud services from more than one provider. This ranges from loosely coupled deployments (e.g., primary applications in AWS with backup in Azure) to tightly integrated architectures where identity, application processing, data storage, and disaster recovery services communicate continuously across platforms.</w:t>
      </w:r>
    </w:p>
    <w:p>
      <w:pPr>
        <w:spacing w:after="120" w:line="300" w:lineRule="auto"/>
      </w:pPr>
      <w:r>
        <w:rPr>
          <w:rFonts w:ascii="Times New Roman" w:hAnsi="Times New Roman"/>
          <w:sz w:val="24"/>
        </w:rPr>
        <w:t>Motivations for multi-cloud adoption include:</w:t>
      </w:r>
    </w:p>
    <w:p>
      <w:pPr>
        <w:pStyle w:val="ListNumber"/>
        <w:spacing w:after="80"/>
        <w:ind w:left="360"/>
      </w:pPr>
      <w:r>
        <w:rPr>
          <w:rFonts w:ascii="Times New Roman" w:hAnsi="Times New Roman"/>
          <w:b/>
          <w:sz w:val="24"/>
        </w:rPr>
        <w:t>Avoiding Vendor Lock-in</w:t>
      </w:r>
      <w:r>
        <w:rPr>
          <w:rFonts w:ascii="Times New Roman" w:hAnsi="Times New Roman"/>
          <w:sz w:val="24"/>
        </w:rPr>
        <w:t>: Mitigating commercial dependency and operational risk associated with single-provider disruptions.</w:t>
      </w:r>
    </w:p>
    <w:p>
      <w:pPr>
        <w:pStyle w:val="ListNumber"/>
        <w:spacing w:after="80"/>
        <w:ind w:left="360"/>
      </w:pPr>
      <w:r>
        <w:rPr>
          <w:rFonts w:ascii="Times New Roman" w:hAnsi="Times New Roman"/>
          <w:b/>
          <w:sz w:val="24"/>
        </w:rPr>
        <w:t>Accessing Specialised Services</w:t>
      </w:r>
      <w:r>
        <w:rPr>
          <w:rFonts w:ascii="Times New Roman" w:hAnsi="Times New Roman"/>
          <w:sz w:val="24"/>
        </w:rPr>
        <w:t>: Exploiting differentiated capabilities, such as AWS for scalable compute or Azure for Microsoft Entra ID governance.</w:t>
      </w:r>
    </w:p>
    <w:p>
      <w:pPr>
        <w:pStyle w:val="ListNumber"/>
        <w:spacing w:after="80"/>
        <w:ind w:left="360"/>
      </w:pPr>
      <w:r>
        <w:rPr>
          <w:rFonts w:ascii="Times New Roman" w:hAnsi="Times New Roman"/>
          <w:b/>
          <w:sz w:val="24"/>
        </w:rPr>
        <w:t>Enhancing Resilience</w:t>
      </w:r>
      <w:r>
        <w:rPr>
          <w:rFonts w:ascii="Times New Roman" w:hAnsi="Times New Roman"/>
          <w:sz w:val="24"/>
        </w:rPr>
        <w:t>: Creating multi-provider disaster recovery pathways. However, resilience is not automatic; single points of failure (e.g., a single DNS provider, unredundant VPN tunnel, or single identity broker) can compromise the entire topology.</w:t>
      </w:r>
    </w:p>
    <w:p>
      <w:pPr>
        <w:pStyle w:val="ListNumber"/>
        <w:spacing w:after="80"/>
        <w:ind w:left="360"/>
      </w:pPr>
      <w:r>
        <w:rPr>
          <w:rFonts w:ascii="Times New Roman" w:hAnsi="Times New Roman"/>
          <w:b/>
          <w:sz w:val="24"/>
        </w:rPr>
        <w:t>Regulatory and Data Sovereignty Compliance</w:t>
      </w:r>
      <w:r>
        <w:rPr>
          <w:rFonts w:ascii="Times New Roman" w:hAnsi="Times New Roman"/>
          <w:sz w:val="24"/>
        </w:rPr>
        <w:t>: Meeting jurisdiction-specific data residency requirements.</w:t>
      </w:r>
    </w:p>
    <w:p>
      <w:pPr>
        <w:spacing w:after="120" w:line="300" w:lineRule="auto"/>
      </w:pPr>
      <w:r>
        <w:rPr>
          <w:rFonts w:ascii="Times New Roman" w:hAnsi="Times New Roman"/>
          <w:sz w:val="24"/>
        </w:rPr>
        <w:t xml:space="preserve">In Nigeria, this context is shaped by the </w:t>
      </w:r>
      <w:r>
        <w:rPr>
          <w:rFonts w:ascii="Times New Roman" w:hAnsi="Times New Roman"/>
          <w:b/>
          <w:sz w:val="24"/>
        </w:rPr>
        <w:t>National Cloud Policy 2025</w:t>
      </w:r>
      <w:r>
        <w:rPr>
          <w:rFonts w:ascii="Times New Roman" w:hAnsi="Times New Roman"/>
          <w:sz w:val="24"/>
        </w:rPr>
        <w:t xml:space="preserve"> (National Information Technology Development Agency [NITDA], 2025), which mandates a "Cloud First" direction while emphasising data classification, sovereignty, and secure local data residency. Concurrently, the </w:t>
      </w:r>
      <w:r>
        <w:rPr>
          <w:rFonts w:ascii="Times New Roman" w:hAnsi="Times New Roman"/>
          <w:b/>
          <w:sz w:val="24"/>
        </w:rPr>
        <w:t>Nigeria Data Protection Act (NDPA) 2023</w:t>
      </w:r>
      <w:r>
        <w:rPr>
          <w:rFonts w:ascii="Times New Roman" w:hAnsi="Times New Roman"/>
          <w:sz w:val="24"/>
        </w:rPr>
        <w:t xml:space="preserve"> (Federal Republic of Nigeria, 2023) and the </w:t>
      </w:r>
      <w:r>
        <w:rPr>
          <w:rFonts w:ascii="Times New Roman" w:hAnsi="Times New Roman"/>
          <w:b/>
          <w:sz w:val="24"/>
        </w:rPr>
        <w:t>NDPC General Application and Implementation Directive (GAID) 2025</w:t>
      </w:r>
      <w:r>
        <w:rPr>
          <w:rFonts w:ascii="Times New Roman" w:hAnsi="Times New Roman"/>
          <w:sz w:val="24"/>
        </w:rPr>
        <w:t xml:space="preserve"> establish strict legal accountability for personal data processing, cross-border data transfers, and security controls. Cross-cloud data movement must therefore be governed by clear legal, policy, and technical safeguards.</w:t>
      </w:r>
    </w:p>
    <w:p>
      <w:pPr>
        <w:keepNext/>
        <w:spacing w:before="240" w:after="120"/>
      </w:pPr>
      <w:r>
        <w:rPr>
          <w:rFonts w:ascii="Times New Roman" w:hAnsi="Times New Roman"/>
          <w:b/>
          <w:color w:val="366092"/>
          <w:sz w:val="27"/>
        </w:rPr>
        <w:t>1.1.3 AWS and Microsoft Azure as Enterprise Cloud Platforms</w:t>
      </w:r>
    </w:p>
    <w:p>
      <w:pPr>
        <w:spacing w:after="120" w:line="300" w:lineRule="auto"/>
      </w:pPr>
      <w:r>
        <w:rPr>
          <w:rFonts w:ascii="Times New Roman" w:hAnsi="Times New Roman"/>
          <w:sz w:val="24"/>
        </w:rPr>
        <w:t>AWS and Microsoft Azure dominate the public cloud market, offering mature IaaS and PaaS capabilities, but their resource models and administrative abstractions differ significantly:</w:t>
      </w:r>
    </w:p>
    <w:p>
      <w:pPr>
        <w:pStyle w:val="ListBullet"/>
        <w:spacing w:after="80"/>
        <w:ind w:left="360"/>
      </w:pPr>
      <w:r>
        <w:rPr>
          <w:rFonts w:ascii="Times New Roman" w:hAnsi="Times New Roman"/>
          <w:b/>
          <w:sz w:val="24"/>
        </w:rPr>
        <w:t>AWS Environment</w:t>
      </w:r>
      <w:r>
        <w:rPr>
          <w:rFonts w:ascii="Times New Roman" w:hAnsi="Times New Roman"/>
          <w:sz w:val="24"/>
        </w:rPr>
        <w:t xml:space="preserve">: Workloads operate within Amazon Virtual Private Clouds (VPCs). Traffic filtering uses stateful Security Groups and stateless Network Access Control Lists (NACLs). Identity is managed via AWS IAM and IAM Identity Center. Centralised routing across VPCs and external networks is provided by </w:t>
      </w:r>
      <w:r>
        <w:rPr>
          <w:rFonts w:ascii="Times New Roman" w:hAnsi="Times New Roman"/>
          <w:b/>
          <w:sz w:val="24"/>
        </w:rPr>
        <w:t>AWS Transit Gateway</w:t>
      </w:r>
      <w:r>
        <w:rPr>
          <w:rFonts w:ascii="Times New Roman" w:hAnsi="Times New Roman"/>
          <w:sz w:val="24"/>
        </w:rPr>
        <w:t xml:space="preserve">, while encrypted inter-cloud connectivity terminates on </w:t>
      </w:r>
      <w:r>
        <w:rPr>
          <w:rFonts w:ascii="Times New Roman" w:hAnsi="Times New Roman"/>
          <w:b/>
          <w:sz w:val="24"/>
        </w:rPr>
        <w:t>AWS Site-to-Site VPN</w:t>
      </w:r>
      <w:r>
        <w:rPr>
          <w:rFonts w:ascii="Times New Roman" w:hAnsi="Times New Roman"/>
          <w:sz w:val="24"/>
        </w:rPr>
        <w:t>.</w:t>
      </w:r>
    </w:p>
    <w:p>
      <w:pPr>
        <w:pStyle w:val="ListBullet"/>
        <w:spacing w:after="80"/>
        <w:ind w:left="360"/>
      </w:pPr>
      <w:r>
        <w:rPr>
          <w:rFonts w:ascii="Times New Roman" w:hAnsi="Times New Roman"/>
          <w:b/>
          <w:sz w:val="24"/>
        </w:rPr>
        <w:t>Microsoft Azure Environment</w:t>
      </w:r>
      <w:r>
        <w:rPr>
          <w:rFonts w:ascii="Times New Roman" w:hAnsi="Times New Roman"/>
          <w:sz w:val="24"/>
        </w:rPr>
        <w:t xml:space="preserve">: Workloads operate within Azure Virtual Networks (VNets). Traffic filtering relies on Network Security Groups (NSGs) and Azure Firewall. Identity is centered around </w:t>
      </w:r>
      <w:r>
        <w:rPr>
          <w:rFonts w:ascii="Times New Roman" w:hAnsi="Times New Roman"/>
          <w:b/>
          <w:sz w:val="24"/>
        </w:rPr>
        <w:t>Microsoft Entra ID</w:t>
      </w:r>
      <w:r>
        <w:rPr>
          <w:rFonts w:ascii="Times New Roman" w:hAnsi="Times New Roman"/>
          <w:sz w:val="24"/>
        </w:rPr>
        <w:t xml:space="preserve">. Centralised networking uses Hub-and-Spoke VNets or Azure Virtual WAN, with encrypted connectivity managed by </w:t>
      </w:r>
      <w:r>
        <w:rPr>
          <w:rFonts w:ascii="Times New Roman" w:hAnsi="Times New Roman"/>
          <w:b/>
          <w:sz w:val="24"/>
        </w:rPr>
        <w:t>Azure VPN Gateway</w:t>
      </w:r>
      <w:r>
        <w:rPr>
          <w:rFonts w:ascii="Times New Roman" w:hAnsi="Times New Roman"/>
          <w:sz w:val="24"/>
        </w:rPr>
        <w:t>.</w:t>
      </w:r>
    </w:p>
    <w:p>
      <w:pPr>
        <w:spacing w:after="120" w:line="300" w:lineRule="auto"/>
      </w:pPr>
      <w:r>
        <w:rPr>
          <w:rFonts w:ascii="Times New Roman" w:hAnsi="Times New Roman"/>
          <w:sz w:val="24"/>
        </w:rPr>
        <w:t>Because these platforms use different naming conventions, rule processing engines, and logging schemas, establishing a secure multi-cloud architecture requires functional synthesis rather than literal rule mirroring.</w:t>
      </w:r>
    </w:p>
    <w:p>
      <w:pPr>
        <w:keepNext/>
        <w:spacing w:before="240" w:after="120"/>
      </w:pPr>
      <w:r>
        <w:rPr>
          <w:rFonts w:ascii="Times New Roman" w:hAnsi="Times New Roman"/>
          <w:b/>
          <w:color w:val="366092"/>
          <w:sz w:val="27"/>
        </w:rPr>
        <w:t>1.1.4 Enterprise Workload Context</w:t>
      </w:r>
    </w:p>
    <w:p>
      <w:pPr>
        <w:spacing w:after="120" w:line="300" w:lineRule="auto"/>
      </w:pPr>
      <w:r>
        <w:rPr>
          <w:rFonts w:ascii="Times New Roman" w:hAnsi="Times New Roman"/>
          <w:sz w:val="24"/>
        </w:rPr>
        <w:t>To demonstrate and evaluate the architecture, this project employs a representative three-tier enterprise workload:</w:t>
      </w:r>
    </w:p>
    <w:p>
      <w:pPr>
        <w:pStyle w:val="ListNumber"/>
        <w:spacing w:after="80"/>
        <w:ind w:left="360"/>
      </w:pPr>
      <w:r>
        <w:rPr>
          <w:rFonts w:ascii="Times New Roman" w:hAnsi="Times New Roman"/>
          <w:b/>
          <w:sz w:val="24"/>
        </w:rPr>
        <w:t>Presentation (Web) Tier</w:t>
      </w:r>
      <w:r>
        <w:rPr>
          <w:rFonts w:ascii="Times New Roman" w:hAnsi="Times New Roman"/>
          <w:sz w:val="24"/>
        </w:rPr>
        <w:t>: Receives user requests via an approved public entry point (Application Load Balancer / Nginx reverse proxy).</w:t>
      </w:r>
    </w:p>
    <w:p>
      <w:pPr>
        <w:pStyle w:val="ListNumber"/>
        <w:spacing w:after="80"/>
        <w:ind w:left="360"/>
      </w:pPr>
      <w:r>
        <w:rPr>
          <w:rFonts w:ascii="Times New Roman" w:hAnsi="Times New Roman"/>
          <w:b/>
          <w:sz w:val="24"/>
        </w:rPr>
        <w:t>Application Tier</w:t>
      </w:r>
      <w:r>
        <w:rPr>
          <w:rFonts w:ascii="Times New Roman" w:hAnsi="Times New Roman"/>
          <w:sz w:val="24"/>
        </w:rPr>
        <w:t>: Processes business logic and manages inter-cloud API communications.</w:t>
      </w:r>
    </w:p>
    <w:p>
      <w:pPr>
        <w:pStyle w:val="ListNumber"/>
        <w:spacing w:after="80"/>
        <w:ind w:left="360"/>
      </w:pPr>
      <w:r>
        <w:rPr>
          <w:rFonts w:ascii="Times New Roman" w:hAnsi="Times New Roman"/>
          <w:b/>
          <w:sz w:val="24"/>
        </w:rPr>
        <w:t>Data Tier</w:t>
      </w:r>
      <w:r>
        <w:rPr>
          <w:rFonts w:ascii="Times New Roman" w:hAnsi="Times New Roman"/>
          <w:sz w:val="24"/>
        </w:rPr>
        <w:t>: Stores persistent enterprise data (PostgreSQL database).</w:t>
      </w:r>
    </w:p>
    <w:p>
      <w:pPr>
        <w:spacing w:after="120" w:line="300" w:lineRule="auto"/>
      </w:pPr>
      <w:r>
        <w:rPr>
          <w:rFonts w:ascii="Times New Roman" w:hAnsi="Times New Roman"/>
          <w:sz w:val="24"/>
        </w:rPr>
        <w:t>Security segmentation dictates that external users communicate only with the web tier, the web tier communicates exclusively with the application tier on specific ports, and the database is accessible solely from the application tier. The database is strictly isolated from direct public Internet access and unapproved cross-cloud segments.</w:t>
      </w:r>
    </w:p>
    <w:p>
      <w:pPr>
        <w:keepNext/>
        <w:spacing w:before="240" w:after="120"/>
      </w:pPr>
      <w:r>
        <w:rPr>
          <w:rFonts w:ascii="Times New Roman" w:hAnsi="Times New Roman"/>
          <w:b/>
          <w:color w:val="366092"/>
          <w:sz w:val="27"/>
        </w:rPr>
        <w:t>1.1.5 Security Implications of Multi-Cloud Connectivity</w:t>
      </w:r>
    </w:p>
    <w:p>
      <w:pPr>
        <w:spacing w:after="120" w:line="300" w:lineRule="auto"/>
      </w:pPr>
      <w:r>
        <w:rPr>
          <w:rFonts w:ascii="Times New Roman" w:hAnsi="Times New Roman"/>
          <w:sz w:val="24"/>
        </w:rPr>
        <w:t>The primary security challenge in multi-cloud networking is that inter-cloud tunnels (such as IPsec VPNs) establish IP reachability without enforcing application-level authorisation. Overly permissive routing or security rules allow compromised workloads in one cloud to scan or move laterally into another. Furthermore, fragmented identity platforms create credential duplication and privilege sprawl, while disparate logging formats impede cross-cloud threat visibility and incident reconstruction.</w:t>
      </w:r>
    </w:p>
    <w:p>
      <w:pPr>
        <w:spacing w:after="120" w:line="300" w:lineRule="auto"/>
      </w:pPr>
      <w:r>
        <w:rPr>
          <w:rFonts w:ascii="Times New Roman" w:hAnsi="Times New Roman"/>
          <w:sz w:val="24"/>
        </w:rPr>
        <w:t xml:space="preserve">These vulnerabilities support adopting </w:t>
      </w:r>
      <w:r>
        <w:rPr>
          <w:rFonts w:ascii="Times New Roman" w:hAnsi="Times New Roman"/>
          <w:b/>
          <w:sz w:val="24"/>
        </w:rPr>
        <w:t>Zero Trust Architecture</w:t>
      </w:r>
      <w:r>
        <w:rPr>
          <w:rFonts w:ascii="Times New Roman" w:hAnsi="Times New Roman"/>
          <w:sz w:val="24"/>
        </w:rPr>
        <w:t xml:space="preserve"> principles (NIST SP 800-207; Rose et al., 2020; NIST SP 800-207A; Chandramouli &amp; Butcher, 2023). Zero Trust removes implicit trust based on network location, requiring explicit authentication, continuous policy evaluation, and micro-segmentation for every access request.</w:t>
      </w:r>
    </w:p>
    <w:p>
      <w:pPr>
        <w:keepNext/>
        <w:spacing w:before="240" w:after="120"/>
      </w:pPr>
      <w:r>
        <w:rPr>
          <w:rFonts w:ascii="Times New Roman" w:hAnsi="Times New Roman"/>
          <w:b/>
          <w:color w:val="366092"/>
          <w:sz w:val="27"/>
        </w:rPr>
        <w:t>1.1.6 Infrastructure as Code and Reproducibility</w:t>
      </w:r>
    </w:p>
    <w:p>
      <w:pPr>
        <w:spacing w:after="120" w:line="300" w:lineRule="auto"/>
      </w:pPr>
      <w:r>
        <w:rPr>
          <w:rFonts w:ascii="Times New Roman" w:hAnsi="Times New Roman"/>
          <w:sz w:val="24"/>
        </w:rPr>
        <w:t xml:space="preserve">Manual portal configuration in multi-cloud environments causes configuration drift, undocumented firewall exceptions, and non-reproducible deployments. Infrastructure as Code (IaC) resolves these issues by defining cloud infrastructure in declarative, version-controlled scripts. </w:t>
      </w:r>
      <w:r>
        <w:rPr>
          <w:rFonts w:ascii="Times New Roman" w:hAnsi="Times New Roman"/>
          <w:b/>
          <w:sz w:val="24"/>
        </w:rPr>
        <w:t>Terraform by HashiCorp</w:t>
      </w:r>
      <w:r>
        <w:rPr>
          <w:rFonts w:ascii="Times New Roman" w:hAnsi="Times New Roman"/>
          <w:sz w:val="24"/>
        </w:rPr>
        <w:t xml:space="preserve"> is selected for this project because its provider ecosystem allows AWS and Azure resources to be orchestrated within a unified codebase.</w:t>
      </w:r>
    </w:p>
    <w:p>
      <w:pPr>
        <w:keepNext/>
        <w:spacing w:before="240" w:after="120"/>
      </w:pPr>
      <w:r>
        <w:rPr>
          <w:rFonts w:ascii="Times New Roman" w:hAnsi="Times New Roman"/>
          <w:b/>
          <w:color w:val="366092"/>
          <w:sz w:val="27"/>
        </w:rPr>
        <w:t>1.1.7 Need for an Implemented and Evaluated Reference Architecture</w:t>
      </w:r>
    </w:p>
    <w:p>
      <w:pPr>
        <w:spacing w:after="120" w:line="300" w:lineRule="auto"/>
      </w:pPr>
      <w:r>
        <w:rPr>
          <w:rFonts w:ascii="Times New Roman" w:hAnsi="Times New Roman"/>
          <w:sz w:val="24"/>
        </w:rPr>
        <w:t>While vendor documentation provides guidance for individual AWS or Azure products, vendor materials rarely offer an independent academic evaluation of an integrated, multi-provider architecture. Similarly, Zero Trust literature describes abstract principles but lacks concrete, reproducible implementation guides for combined AWS–Azure deployments. This project bridges that gap by providing a lab-scale, fully codified, and empirically evaluated AWS–Azure reference architecture.</w:t>
      </w:r>
    </w:p>
    <w:p>
      <w:pPr>
        <w:spacing w:before="120" w:after="120"/>
      </w:pPr>
      <w:r>
        <w:rPr>
          <w:color w:val="CCCCCC"/>
        </w:rPr>
        <w:t>――――――――――――――――――――――――――――――――――――――――――――――――――</w:t>
      </w:r>
    </w:p>
    <w:p>
      <w:pPr>
        <w:keepNext/>
        <w:spacing w:before="280" w:after="160"/>
      </w:pPr>
      <w:r>
        <w:rPr>
          <w:rFonts w:ascii="Times New Roman" w:hAnsi="Times New Roman"/>
          <w:b/>
          <w:color w:val="1F497D"/>
          <w:sz w:val="32"/>
        </w:rPr>
        <w:t>1.2 Conceptual Foundation of the Project</w:t>
      </w:r>
    </w:p>
    <w:p>
      <w:pPr>
        <w:spacing w:after="120" w:line="300" w:lineRule="auto"/>
      </w:pPr>
      <w:r>
        <w:rPr>
          <w:rFonts w:ascii="Times New Roman" w:hAnsi="Times New Roman"/>
          <w:sz w:val="24"/>
        </w:rPr>
        <w:t>The conceptual framework connects five core elements: Enterprise Requirements, Security &amp; Regulatory Drivers, System Architecture, Automated Implementation, and Empirical Evaluation.</w:t>
      </w:r>
    </w:p>
    <w:p>
      <w:pPr>
        <w:spacing w:before="120" w:after="120"/>
        <w:ind w:left="576" w:right="576"/>
      </w:pPr>
      <w:r>
        <w:rPr>
          <w:rFonts w:ascii="Consolas" w:hAnsi="Consolas"/>
          <w:color w:val="1F2937"/>
          <w:sz w:val="19"/>
        </w:rPr>
        <w:t>flowchart TD</w:t>
        <w:br/>
        <w:t xml:space="preserve">    subgraph Drivers ["1. Drivers &amp; Context"]</w:t>
        <w:br/>
        <w:t xml:space="preserve">        A1[Multi-Cloud Challenges: Network, Identity, Governance]</w:t>
        <w:br/>
        <w:t xml:space="preserve">        A2[Nigerian Policy: National Cloud Policy 2025, NDPA 2023]</w:t>
        <w:br/>
        <w:t xml:space="preserve">        A3[Security Frameworks: NIST SP 800-207, CSA CCM v4.1]</w:t>
        <w:br/>
        <w:t xml:space="preserve">    end</w:t>
        <w:br/>
        <w:br/>
        <w:t xml:space="preserve">    subgraph Architecture ["2. Secure AWS-Azure Architecture"]</w:t>
        <w:br/>
        <w:t xml:space="preserve">        B1[AWS Hub: VPC + Transit Gateway]</w:t>
        <w:br/>
        <w:t xml:space="preserve">        B2[Azure Hub: Hub VNet + VPN Gateway]</w:t>
        <w:br/>
        <w:t xml:space="preserve">        B3[Inter-Cloud Path: Encrypted Route-Based IPsec VPN + BGP]</w:t>
        <w:br/>
        <w:t xml:space="preserve">        B4[Zero Trust Controls: Micro-segmentation &amp; Entra Federation]</w:t>
        <w:br/>
        <w:t xml:space="preserve">    end</w:t>
        <w:br/>
        <w:br/>
        <w:t xml:space="preserve">    subgraph Automation ["3. Automated Implementation"]</w:t>
        <w:br/>
        <w:t xml:space="preserve">        C1[Modular Terraform Codebase]</w:t>
        <w:br/>
        <w:t xml:space="preserve">        C2[Staged Provisioning &amp; State Management]</w:t>
        <w:br/>
        <w:t xml:space="preserve">        C3[3-Tier Workload &amp; Observability Stack]</w:t>
        <w:br/>
        <w:t xml:space="preserve">    end</w:t>
        <w:br/>
        <w:br/>
        <w:t xml:space="preserve">    subgraph Evaluation ["4. Empirical Evaluation"]</w:t>
        <w:br/>
        <w:t xml:space="preserve">        D1[Security Scans: Prowler &amp; ScoutSuite]</w:t>
        <w:br/>
        <w:t xml:space="preserve">        D2[Network Tests: Latency, Throughput &amp; Flow Matrix Validation]</w:t>
        <w:br/>
        <w:t xml:space="preserve">        D3[Resilience Tests: Simulated Tunnel Failover &amp; RTO Measurement]</w:t>
        <w:br/>
        <w:t xml:space="preserve">    end</w:t>
        <w:br/>
        <w:br/>
        <w:t xml:space="preserve">    subgraph Output ["5. Validated Reference Artefact"]</w:t>
        <w:br/>
        <w:t xml:space="preserve">        E1[Implementation-Ready AWS-Azure Architecture]</w:t>
        <w:br/>
        <w:t xml:space="preserve">    end</w:t>
        <w:br/>
        <w:br/>
        <w:t xml:space="preserve">    Drivers --&gt; Architecture</w:t>
        <w:br/>
        <w:t xml:space="preserve">    Architecture --&gt; Automation</w:t>
        <w:br/>
        <w:t xml:space="preserve">    Automation --&gt; Evaluation</w:t>
        <w:br/>
        <w:t xml:space="preserve">    Evaluation -- "Feedback Loop &amp; Corrective Actions" --&gt; Architecture</w:t>
        <w:br/>
        <w:t xml:space="preserve">    Evaluation --&gt; Output</w:t>
      </w:r>
    </w:p>
    <w:p>
      <w:pPr>
        <w:spacing w:after="120" w:line="300" w:lineRule="auto"/>
      </w:pPr>
      <w:r>
        <w:rPr>
          <w:rFonts w:ascii="Times New Roman" w:hAnsi="Times New Roman"/>
          <w:b/>
          <w:sz w:val="24"/>
        </w:rPr>
        <w:t>Figure 1.1: Conceptual Framework for the Secure AWS–Azure Multi-Cloud Project</w:t>
      </w:r>
    </w:p>
    <w:p>
      <w:pPr>
        <w:spacing w:after="120" w:line="300" w:lineRule="auto"/>
      </w:pPr>
      <w:r>
        <w:rPr>
          <w:rFonts w:ascii="Times New Roman" w:hAnsi="Times New Roman"/>
          <w:sz w:val="24"/>
        </w:rPr>
        <w:t>The iterative feedback loop ensures that initial design flaws (such as permissive routes or failover bottlenecks identified during testing) lead to code refinement and redeployment, reflecting Design Science Research Methodology (DSRM).</w:t>
      </w:r>
    </w:p>
    <w:p>
      <w:pPr>
        <w:spacing w:before="120" w:after="120"/>
      </w:pPr>
      <w:r>
        <w:rPr>
          <w:color w:val="CCCCCC"/>
        </w:rPr>
        <w:t>――――――――――――――――――――――――――――――――――――――――――――――――――</w:t>
      </w:r>
    </w:p>
    <w:p>
      <w:pPr>
        <w:keepNext/>
        <w:spacing w:before="280" w:after="160"/>
      </w:pPr>
      <w:r>
        <w:rPr>
          <w:rFonts w:ascii="Times New Roman" w:hAnsi="Times New Roman"/>
          <w:b/>
          <w:color w:val="1F497D"/>
          <w:sz w:val="32"/>
        </w:rPr>
        <w:t>1.3 Statement of the Problem</w:t>
      </w:r>
    </w:p>
    <w:p>
      <w:pPr>
        <w:spacing w:after="120" w:line="300" w:lineRule="auto"/>
      </w:pPr>
      <w:r>
        <w:rPr>
          <w:rFonts w:ascii="Times New Roman" w:hAnsi="Times New Roman"/>
          <w:sz w:val="24"/>
        </w:rPr>
        <w:t>Enterprises deploying AWS and Azure concurrently often establish inter-cloud connectivity incrementally to satisfy immediate operational demands. Over time, this ad-hoc expansion results in:</w:t>
      </w:r>
    </w:p>
    <w:p>
      <w:pPr>
        <w:pStyle w:val="ListNumber"/>
        <w:spacing w:after="80"/>
        <w:ind w:left="360"/>
      </w:pPr>
      <w:r>
        <w:rPr>
          <w:rFonts w:ascii="Times New Roman" w:hAnsi="Times New Roman"/>
          <w:b/>
          <w:sz w:val="24"/>
        </w:rPr>
        <w:t>Inconsistent Security-Policy Enforcement</w:t>
      </w:r>
      <w:r>
        <w:rPr>
          <w:rFonts w:ascii="Times New Roman" w:hAnsi="Times New Roman"/>
          <w:sz w:val="24"/>
        </w:rPr>
        <w:t>: Equivalent security intent (e.g., blocking web-to-database access) is configured inconsistently across AWS Security Groups and Azure NSGs.</w:t>
      </w:r>
    </w:p>
    <w:p>
      <w:pPr>
        <w:pStyle w:val="ListNumber"/>
        <w:spacing w:after="80"/>
        <w:ind w:left="360"/>
      </w:pPr>
      <w:r>
        <w:rPr>
          <w:rFonts w:ascii="Times New Roman" w:hAnsi="Times New Roman"/>
          <w:b/>
          <w:sz w:val="24"/>
        </w:rPr>
        <w:t>Fragmented Identity Management</w:t>
      </w:r>
      <w:r>
        <w:rPr>
          <w:rFonts w:ascii="Times New Roman" w:hAnsi="Times New Roman"/>
          <w:sz w:val="24"/>
        </w:rPr>
        <w:t>: Duplicate user accounts, static credentials, and uncoordinated role permissions lead to excessive administrative privileges and audit gaps.</w:t>
      </w:r>
    </w:p>
    <w:p>
      <w:pPr>
        <w:pStyle w:val="ListNumber"/>
        <w:spacing w:after="80"/>
        <w:ind w:left="360"/>
      </w:pPr>
      <w:r>
        <w:rPr>
          <w:rFonts w:ascii="Times New Roman" w:hAnsi="Times New Roman"/>
          <w:b/>
          <w:sz w:val="24"/>
        </w:rPr>
        <w:t>Unrestricted Network Reachability and Expanded Attack Surface</w:t>
      </w:r>
      <w:r>
        <w:rPr>
          <w:rFonts w:ascii="Times New Roman" w:hAnsi="Times New Roman"/>
          <w:sz w:val="24"/>
        </w:rPr>
        <w:t>: IPsec VPNs establish broad IP routing between cloud environments without enforcing explicit application-level or tier-level micro-segmentation, creating paths for lateral movement.</w:t>
      </w:r>
    </w:p>
    <w:p>
      <w:pPr>
        <w:pStyle w:val="ListNumber"/>
        <w:spacing w:after="80"/>
        <w:ind w:left="360"/>
      </w:pPr>
      <w:r>
        <w:rPr>
          <w:rFonts w:ascii="Times New Roman" w:hAnsi="Times New Roman"/>
          <w:b/>
          <w:sz w:val="24"/>
        </w:rPr>
        <w:t>Dispersed Monitoring and Low Visibility</w:t>
      </w:r>
      <w:r>
        <w:rPr>
          <w:rFonts w:ascii="Times New Roman" w:hAnsi="Times New Roman"/>
          <w:sz w:val="24"/>
        </w:rPr>
        <w:t>: Telemetry remains trapped in separate native portals (CloudWatch/CloudTrail vs. Azure Monitor/Log Analytics), delaying cross-cloud detection and response.</w:t>
      </w:r>
    </w:p>
    <w:p>
      <w:pPr>
        <w:pStyle w:val="ListNumber"/>
        <w:spacing w:after="80"/>
        <w:ind w:left="360"/>
      </w:pPr>
      <w:r>
        <w:rPr>
          <w:rFonts w:ascii="Times New Roman" w:hAnsi="Times New Roman"/>
          <w:b/>
          <w:sz w:val="24"/>
        </w:rPr>
        <w:t>Unverified Resilience</w:t>
      </w:r>
      <w:r>
        <w:rPr>
          <w:rFonts w:ascii="Times New Roman" w:hAnsi="Times New Roman"/>
          <w:sz w:val="24"/>
        </w:rPr>
        <w:t>: High availability is assumed based on the presence of two cloud providers, but path failover and Recovery Time Objectives (RTO) are rarely tested empirically under failure conditions.</w:t>
      </w:r>
    </w:p>
    <w:p>
      <w:pPr>
        <w:pStyle w:val="ListNumber"/>
        <w:spacing w:after="80"/>
        <w:ind w:left="360"/>
      </w:pPr>
      <w:r>
        <w:rPr>
          <w:rFonts w:ascii="Times New Roman" w:hAnsi="Times New Roman"/>
          <w:b/>
          <w:sz w:val="24"/>
        </w:rPr>
        <w:t>Regulatory Compliance Uncertainty</w:t>
      </w:r>
      <w:r>
        <w:rPr>
          <w:rFonts w:ascii="Times New Roman" w:hAnsi="Times New Roman"/>
          <w:sz w:val="24"/>
        </w:rPr>
        <w:t>: In the Nigerian context, ungoverned inter-cloud data flows make it difficult to demonstrate compliance with the National Cloud Policy 2025 and NDPA 2023 cross-border data protection mandates.</w:t>
      </w:r>
    </w:p>
    <w:p>
      <w:pPr>
        <w:spacing w:after="120" w:line="300" w:lineRule="auto"/>
      </w:pPr>
      <w:r>
        <w:rPr>
          <w:rFonts w:ascii="Times New Roman" w:hAnsi="Times New Roman"/>
          <w:b/>
          <w:sz w:val="24"/>
        </w:rPr>
        <w:t>The specific problem addressed by this project</w:t>
      </w:r>
      <w:r>
        <w:rPr>
          <w:rFonts w:ascii="Times New Roman" w:hAnsi="Times New Roman"/>
          <w:sz w:val="24"/>
        </w:rPr>
        <w:t xml:space="preserve"> is the lack of a practical, reproducible, and empirically evaluated AWS–Azure reference architecture that integrates encrypted inter-cloud networking, workload segmentation, federated identity, centralised observability, and Infrastructure as Code for a representative enterprise workload.</w:t>
      </w:r>
    </w:p>
    <w:p>
      <w:pPr>
        <w:spacing w:before="120" w:after="120"/>
      </w:pPr>
      <w:r>
        <w:rPr>
          <w:color w:val="CCCCCC"/>
        </w:rPr>
        <w:t>――――――――――――――――――――――――――――――――――――――――――――――――――</w:t>
      </w:r>
    </w:p>
    <w:p>
      <w:pPr>
        <w:keepNext/>
        <w:spacing w:before="280" w:after="160"/>
      </w:pPr>
      <w:r>
        <w:rPr>
          <w:rFonts w:ascii="Times New Roman" w:hAnsi="Times New Roman"/>
          <w:b/>
          <w:color w:val="1F497D"/>
          <w:sz w:val="32"/>
        </w:rPr>
        <w:t>1.4 Aim and Objectives of the Project</w:t>
      </w:r>
    </w:p>
    <w:p>
      <w:pPr>
        <w:keepNext/>
        <w:spacing w:before="240" w:after="120"/>
      </w:pPr>
      <w:r>
        <w:rPr>
          <w:rFonts w:ascii="Times New Roman" w:hAnsi="Times New Roman"/>
          <w:b/>
          <w:color w:val="366092"/>
          <w:sz w:val="27"/>
        </w:rPr>
        <w:t>1.4.1 Aim</w:t>
      </w:r>
    </w:p>
    <w:p>
      <w:pPr>
        <w:spacing w:after="120" w:line="300" w:lineRule="auto"/>
      </w:pPr>
      <w:r>
        <w:rPr>
          <w:rFonts w:ascii="Times New Roman" w:hAnsi="Times New Roman"/>
          <w:sz w:val="24"/>
        </w:rPr>
        <w:t xml:space="preserve">The aim of this project is to </w:t>
      </w:r>
      <w:r>
        <w:rPr>
          <w:rFonts w:ascii="Times New Roman" w:hAnsi="Times New Roman"/>
          <w:b/>
          <w:sz w:val="24"/>
        </w:rPr>
        <w:t>design, implement, and evaluate a secure, resilient, and compliant AWS–Azure multi-cloud architecture for a representative enterprise workload using Zero Trust principles, defence-in-depth security, and Infrastructure as Code</w:t>
      </w:r>
      <w:r>
        <w:rPr>
          <w:rFonts w:ascii="Times New Roman" w:hAnsi="Times New Roman"/>
          <w:sz w:val="24"/>
        </w:rPr>
        <w:t>.</w:t>
      </w:r>
    </w:p>
    <w:p>
      <w:pPr>
        <w:keepNext/>
        <w:spacing w:before="240" w:after="120"/>
      </w:pPr>
      <w:r>
        <w:rPr>
          <w:rFonts w:ascii="Times New Roman" w:hAnsi="Times New Roman"/>
          <w:b/>
          <w:color w:val="366092"/>
          <w:sz w:val="27"/>
        </w:rPr>
        <w:t>1.4.2 Objectives</w:t>
      </w:r>
    </w:p>
    <w:p>
      <w:pPr>
        <w:pStyle w:val="ListNumber"/>
        <w:spacing w:after="80"/>
        <w:ind w:left="360"/>
      </w:pPr>
      <w:r>
        <w:rPr>
          <w:rFonts w:ascii="Times New Roman" w:hAnsi="Times New Roman"/>
          <w:b/>
          <w:sz w:val="24"/>
        </w:rPr>
        <w:t>To critically review</w:t>
      </w:r>
      <w:r>
        <w:rPr>
          <w:rFonts w:ascii="Times New Roman" w:hAnsi="Times New Roman"/>
          <w:sz w:val="24"/>
        </w:rPr>
        <w:t xml:space="preserve"> relevant multi-cloud architectures, interconnection strategies, Zero Trust frameworks (NIST SP 800-207/207A, CSA CCM v4.1), and Nigerian regulatory standards (NDPA 2023, National Cloud Policy 2025) to establish the technical gap.</w:t>
      </w:r>
    </w:p>
    <w:p>
      <w:pPr>
        <w:pStyle w:val="ListNumber"/>
        <w:spacing w:after="80"/>
        <w:ind w:left="360"/>
      </w:pPr>
      <w:r>
        <w:rPr>
          <w:rFonts w:ascii="Times New Roman" w:hAnsi="Times New Roman"/>
          <w:b/>
          <w:sz w:val="24"/>
        </w:rPr>
        <w:t>To design</w:t>
      </w:r>
      <w:r>
        <w:rPr>
          <w:rFonts w:ascii="Times New Roman" w:hAnsi="Times New Roman"/>
          <w:sz w:val="24"/>
        </w:rPr>
        <w:t xml:space="preserve"> a secure hub-and-spoke AWS–Azure architecture incorporating network segmentation, encrypted inter-cloud connectivity, federated identity controls, and centralised observability for a representative three-tier workload.</w:t>
      </w:r>
    </w:p>
    <w:p>
      <w:pPr>
        <w:pStyle w:val="ListNumber"/>
        <w:spacing w:after="80"/>
        <w:ind w:left="360"/>
      </w:pPr>
      <w:r>
        <w:rPr>
          <w:rFonts w:ascii="Times New Roman" w:hAnsi="Times New Roman"/>
          <w:b/>
          <w:sz w:val="24"/>
        </w:rPr>
        <w:t>To implement</w:t>
      </w:r>
      <w:r>
        <w:rPr>
          <w:rFonts w:ascii="Times New Roman" w:hAnsi="Times New Roman"/>
          <w:sz w:val="24"/>
        </w:rPr>
        <w:t xml:space="preserve"> the proposed architecture using modular, parameterised Terraform Infrastructure as Code across AWS and Azure.</w:t>
      </w:r>
    </w:p>
    <w:p>
      <w:pPr>
        <w:pStyle w:val="ListNumber"/>
        <w:spacing w:after="80"/>
        <w:ind w:left="360"/>
      </w:pPr>
      <w:r>
        <w:rPr>
          <w:rFonts w:ascii="Times New Roman" w:hAnsi="Times New Roman"/>
          <w:b/>
          <w:sz w:val="24"/>
        </w:rPr>
        <w:t>To configure and validate</w:t>
      </w:r>
      <w:r>
        <w:rPr>
          <w:rFonts w:ascii="Times New Roman" w:hAnsi="Times New Roman"/>
          <w:sz w:val="24"/>
        </w:rPr>
        <w:t xml:space="preserve"> Zero Trust and defence-in-depth security controls, including deny-by-default traffic rules, least-privilege identity roles, storage/transit encryption, and central audit logging.</w:t>
      </w:r>
    </w:p>
    <w:p>
      <w:pPr>
        <w:pStyle w:val="ListNumber"/>
        <w:spacing w:after="80"/>
        <w:ind w:left="360"/>
      </w:pPr>
      <w:r>
        <w:rPr>
          <w:rFonts w:ascii="Times New Roman" w:hAnsi="Times New Roman"/>
          <w:b/>
          <w:sz w:val="24"/>
        </w:rPr>
        <w:t>To empirically test and evaluate</w:t>
      </w:r>
      <w:r>
        <w:rPr>
          <w:rFonts w:ascii="Times New Roman" w:hAnsi="Times New Roman"/>
          <w:sz w:val="24"/>
        </w:rPr>
        <w:t xml:space="preserve"> the implemented architecture using automated configuration scanning (Prowler, ScoutSuite), network performance testing (ping, iperf3), and controlled connectivity failover simulation.</w:t>
      </w:r>
    </w:p>
    <w:p>
      <w:pPr>
        <w:spacing w:before="120" w:after="120"/>
      </w:pPr>
      <w:r>
        <w:rPr>
          <w:color w:val="CCCCCC"/>
        </w:rPr>
        <w:t>――――――――――――――――――――――――――――――――――――――――――――――――――</w:t>
      </w:r>
    </w:p>
    <w:p>
      <w:pPr>
        <w:keepNext/>
        <w:spacing w:before="280" w:after="160"/>
      </w:pPr>
      <w:r>
        <w:rPr>
          <w:rFonts w:ascii="Times New Roman" w:hAnsi="Times New Roman"/>
          <w:b/>
          <w:color w:val="1F497D"/>
          <w:sz w:val="32"/>
        </w:rPr>
        <w:t>1.5 Scope of the Project</w:t>
      </w:r>
    </w:p>
    <w:p>
      <w:pPr>
        <w:pStyle w:val="ListBullet"/>
        <w:spacing w:after="80"/>
        <w:ind w:left="360"/>
      </w:pPr>
      <w:r>
        <w:rPr>
          <w:rFonts w:ascii="Times New Roman" w:hAnsi="Times New Roman"/>
          <w:b/>
          <w:sz w:val="24"/>
        </w:rPr>
        <w:t>Technical Scope</w:t>
      </w:r>
      <w:r>
        <w:rPr>
          <w:rFonts w:ascii="Times New Roman" w:hAnsi="Times New Roman"/>
          <w:sz w:val="24"/>
        </w:rPr>
        <w:t>: Focuses on AWS and Microsoft Azure IaaS/PaaS networking, AWS Transit Gateway, AWS Site-to-Site VPN, Azure VPN Gateway, route-based IPsec with BGP, Microsoft Entra ID to AWS IAM Identity Center federation, AWS KMS/Azure Key Vault, and logging services.</w:t>
      </w:r>
    </w:p>
    <w:p>
      <w:pPr>
        <w:pStyle w:val="ListBullet"/>
        <w:spacing w:after="80"/>
        <w:ind w:left="360"/>
      </w:pPr>
      <w:r>
        <w:rPr>
          <w:rFonts w:ascii="Times New Roman" w:hAnsi="Times New Roman"/>
          <w:b/>
          <w:sz w:val="24"/>
        </w:rPr>
        <w:t>Workload Scope</w:t>
      </w:r>
      <w:r>
        <w:rPr>
          <w:rFonts w:ascii="Times New Roman" w:hAnsi="Times New Roman"/>
          <w:sz w:val="24"/>
        </w:rPr>
        <w:t>: A proof-of-concept three-tier application (Nginx web reverse proxy, Python Flask application tier, PostgreSQL database tier) using synthetic data.</w:t>
      </w:r>
    </w:p>
    <w:p>
      <w:pPr>
        <w:pStyle w:val="ListBullet"/>
        <w:spacing w:after="80"/>
        <w:ind w:left="360"/>
      </w:pPr>
      <w:r>
        <w:rPr>
          <w:rFonts w:ascii="Times New Roman" w:hAnsi="Times New Roman"/>
          <w:b/>
          <w:sz w:val="24"/>
        </w:rPr>
        <w:t>Security-Testing Scope</w:t>
      </w:r>
      <w:r>
        <w:rPr>
          <w:rFonts w:ascii="Times New Roman" w:hAnsi="Times New Roman"/>
          <w:sz w:val="24"/>
        </w:rPr>
        <w:t>: Configuration scanning using Prowler and ScoutSuite, manual port/path validation, and identity permission verification. Excludes destructive exploitation or third-party penetration testing.</w:t>
      </w:r>
    </w:p>
    <w:p>
      <w:pPr>
        <w:pStyle w:val="ListBullet"/>
        <w:spacing w:after="80"/>
        <w:ind w:left="360"/>
      </w:pPr>
      <w:r>
        <w:rPr>
          <w:rFonts w:ascii="Times New Roman" w:hAnsi="Times New Roman"/>
          <w:b/>
          <w:sz w:val="24"/>
        </w:rPr>
        <w:t>Performance and Resilience Scope</w:t>
      </w:r>
      <w:r>
        <w:rPr>
          <w:rFonts w:ascii="Times New Roman" w:hAnsi="Times New Roman"/>
          <w:sz w:val="24"/>
        </w:rPr>
        <w:t>: Inter-cloud round-trip latency (ping), TCP throughput (iperf3), and measured failover recovery time (RTO) during simulated tunnel failure.</w:t>
      </w:r>
    </w:p>
    <w:p>
      <w:pPr>
        <w:pStyle w:val="ListBullet"/>
        <w:spacing w:after="80"/>
        <w:ind w:left="360"/>
      </w:pPr>
      <w:r>
        <w:rPr>
          <w:rFonts w:ascii="Times New Roman" w:hAnsi="Times New Roman"/>
          <w:b/>
          <w:sz w:val="24"/>
        </w:rPr>
        <w:t>Regulatory Scope</w:t>
      </w:r>
      <w:r>
        <w:rPr>
          <w:rFonts w:ascii="Times New Roman" w:hAnsi="Times New Roman"/>
          <w:sz w:val="24"/>
        </w:rPr>
        <w:t>: Architectural alignment with the Nigeria Data Protection Act 2023 and National Cloud Policy 2025.</w:t>
      </w:r>
    </w:p>
    <w:p>
      <w:pPr>
        <w:pStyle w:val="ListBullet"/>
        <w:spacing w:after="80"/>
        <w:ind w:left="360"/>
      </w:pPr>
      <w:r>
        <w:rPr>
          <w:rFonts w:ascii="Times New Roman" w:hAnsi="Times New Roman"/>
          <w:b/>
          <w:sz w:val="24"/>
        </w:rPr>
        <w:t>Exclusions</w:t>
      </w:r>
      <w:r>
        <w:rPr>
          <w:rFonts w:ascii="Times New Roman" w:hAnsi="Times New Roman"/>
          <w:sz w:val="24"/>
        </w:rPr>
        <w:t>: Integration with GCP or Oracle Cloud, dedicated physical circuits (Direct Connect/ExpressRoute), enterprise SIEM/SOAR platforms, and full production application penetration testing.</w:t>
      </w:r>
    </w:p>
    <w:p>
      <w:pPr>
        <w:spacing w:before="120" w:after="120"/>
      </w:pPr>
      <w:r>
        <w:rPr>
          <w:color w:val="CCCCCC"/>
        </w:rPr>
        <w:t>――――――――――――――――――――――――――――――――――――――――――――――――――</w:t>
      </w:r>
    </w:p>
    <w:p>
      <w:pPr>
        <w:keepNext/>
        <w:spacing w:before="280" w:after="160"/>
      </w:pPr>
      <w:r>
        <w:rPr>
          <w:rFonts w:ascii="Times New Roman" w:hAnsi="Times New Roman"/>
          <w:b/>
          <w:color w:val="1F497D"/>
          <w:sz w:val="32"/>
        </w:rPr>
        <w:t>1.6 Significance of the Project</w:t>
      </w:r>
    </w:p>
    <w:p>
      <w:pPr>
        <w:pStyle w:val="ListBullet"/>
        <w:spacing w:after="80"/>
        <w:ind w:left="360"/>
      </w:pPr>
      <w:r>
        <w:rPr>
          <w:rFonts w:ascii="Times New Roman" w:hAnsi="Times New Roman"/>
          <w:b/>
          <w:sz w:val="24"/>
        </w:rPr>
        <w:t>To Enterprise Organisations</w:t>
      </w:r>
      <w:r>
        <w:rPr>
          <w:rFonts w:ascii="Times New Roman" w:hAnsi="Times New Roman"/>
          <w:sz w:val="24"/>
        </w:rPr>
        <w:t>: Provides an actionable, blueprinted reference architecture for securely connecting AWS and Azure workloads.</w:t>
      </w:r>
    </w:p>
    <w:p>
      <w:pPr>
        <w:pStyle w:val="ListBullet"/>
        <w:spacing w:after="80"/>
        <w:ind w:left="360"/>
      </w:pPr>
      <w:r>
        <w:rPr>
          <w:rFonts w:ascii="Times New Roman" w:hAnsi="Times New Roman"/>
          <w:b/>
          <w:sz w:val="24"/>
        </w:rPr>
        <w:t>To the Nigerian Context</w:t>
      </w:r>
      <w:r>
        <w:rPr>
          <w:rFonts w:ascii="Times New Roman" w:hAnsi="Times New Roman"/>
          <w:sz w:val="24"/>
        </w:rPr>
        <w:t>: Demonstrates how local regulatory requirements (NDPA 2023, National Cloud Policy 2025) can be translated into technical configurations (route tables, encryption keys, RBAC roles).</w:t>
      </w:r>
    </w:p>
    <w:p>
      <w:pPr>
        <w:pStyle w:val="ListBullet"/>
        <w:spacing w:after="80"/>
        <w:ind w:left="360"/>
      </w:pPr>
      <w:r>
        <w:rPr>
          <w:rFonts w:ascii="Times New Roman" w:hAnsi="Times New Roman"/>
          <w:b/>
          <w:sz w:val="24"/>
        </w:rPr>
        <w:t>To Cybersecurity &amp; Cloud Architecture Practice</w:t>
      </w:r>
      <w:r>
        <w:rPr>
          <w:rFonts w:ascii="Times New Roman" w:hAnsi="Times New Roman"/>
          <w:sz w:val="24"/>
        </w:rPr>
        <w:t>: Operationalises Zero Trust principles across multi-cloud boundaries and documents provider-to-provider control mappings.</w:t>
      </w:r>
    </w:p>
    <w:p>
      <w:pPr>
        <w:pStyle w:val="ListBullet"/>
        <w:spacing w:after="80"/>
        <w:ind w:left="360"/>
      </w:pPr>
      <w:r>
        <w:rPr>
          <w:rFonts w:ascii="Times New Roman" w:hAnsi="Times New Roman"/>
          <w:b/>
          <w:sz w:val="24"/>
        </w:rPr>
        <w:t>To IaC Practice</w:t>
      </w:r>
      <w:r>
        <w:rPr>
          <w:rFonts w:ascii="Times New Roman" w:hAnsi="Times New Roman"/>
          <w:sz w:val="24"/>
        </w:rPr>
        <w:t>: Delivers modular, reusable Terraform code demonstrating cross-provider dependency handling and state security.</w:t>
      </w:r>
    </w:p>
    <w:p>
      <w:pPr>
        <w:spacing w:before="120" w:after="120"/>
      </w:pPr>
      <w:r>
        <w:rPr>
          <w:color w:val="CCCCCC"/>
        </w:rPr>
        <w:t>――――――――――――――――――――――――――――――――――――――――――――――――――</w:t>
      </w:r>
    </w:p>
    <w:p>
      <w:pPr>
        <w:keepNext/>
        <w:spacing w:before="280" w:after="160"/>
      </w:pPr>
      <w:r>
        <w:rPr>
          <w:rFonts w:ascii="Times New Roman" w:hAnsi="Times New Roman"/>
          <w:b/>
          <w:color w:val="1F497D"/>
          <w:sz w:val="32"/>
        </w:rPr>
        <w:t>1.7 Organisation of the Report</w:t>
      </w:r>
    </w:p>
    <w:p>
      <w:pPr>
        <w:pStyle w:val="ListBullet"/>
        <w:spacing w:after="80"/>
        <w:ind w:left="360"/>
      </w:pPr>
      <w:r>
        <w:rPr>
          <w:rFonts w:ascii="Times New Roman" w:hAnsi="Times New Roman"/>
          <w:b/>
          <w:sz w:val="24"/>
        </w:rPr>
        <w:t>Chapter One</w:t>
      </w:r>
      <w:r>
        <w:rPr>
          <w:rFonts w:ascii="Times New Roman" w:hAnsi="Times New Roman"/>
          <w:sz w:val="24"/>
        </w:rPr>
        <w:t>: Introduction, Background, Problem Statement, Aim/Objectives, Scope, and Significance.</w:t>
      </w:r>
    </w:p>
    <w:p>
      <w:pPr>
        <w:pStyle w:val="ListBullet"/>
        <w:spacing w:after="80"/>
        <w:ind w:left="360"/>
      </w:pPr>
      <w:r>
        <w:rPr>
          <w:rFonts w:ascii="Times New Roman" w:hAnsi="Times New Roman"/>
          <w:b/>
          <w:sz w:val="24"/>
        </w:rPr>
        <w:t>Chapter Two</w:t>
      </w:r>
      <w:r>
        <w:rPr>
          <w:rFonts w:ascii="Times New Roman" w:hAnsi="Times New Roman"/>
          <w:sz w:val="24"/>
        </w:rPr>
        <w:t>: Literature Review, Technology Context, Critical Analysis, and Gap Analysis.</w:t>
      </w:r>
    </w:p>
    <w:p>
      <w:pPr>
        <w:pStyle w:val="ListBullet"/>
        <w:spacing w:after="80"/>
        <w:ind w:left="360"/>
      </w:pPr>
      <w:r>
        <w:rPr>
          <w:rFonts w:ascii="Times New Roman" w:hAnsi="Times New Roman"/>
          <w:b/>
          <w:sz w:val="24"/>
        </w:rPr>
        <w:t>Chapter Three</w:t>
      </w:r>
      <w:r>
        <w:rPr>
          <w:rFonts w:ascii="Times New Roman" w:hAnsi="Times New Roman"/>
          <w:sz w:val="24"/>
        </w:rPr>
        <w:t>: Methodology (Design Science Research), System Design, Architecture, Network/Identity/Security Models, and Test Design.</w:t>
      </w:r>
    </w:p>
    <w:p>
      <w:pPr>
        <w:pStyle w:val="ListBullet"/>
        <w:spacing w:after="80"/>
        <w:ind w:left="360"/>
      </w:pPr>
      <w:r>
        <w:rPr>
          <w:rFonts w:ascii="Times New Roman" w:hAnsi="Times New Roman"/>
          <w:b/>
          <w:sz w:val="24"/>
        </w:rPr>
        <w:t>Chapter Four</w:t>
      </w:r>
      <w:r>
        <w:rPr>
          <w:rFonts w:ascii="Times New Roman" w:hAnsi="Times New Roman"/>
          <w:sz w:val="24"/>
        </w:rPr>
        <w:t>: System Implementation, Environment Setup, Terraform Code Listings, and Operational Workflows.</w:t>
      </w:r>
    </w:p>
    <w:p>
      <w:pPr>
        <w:pStyle w:val="ListBullet"/>
        <w:spacing w:after="80"/>
        <w:ind w:left="360"/>
      </w:pPr>
      <w:r>
        <w:rPr>
          <w:rFonts w:ascii="Times New Roman" w:hAnsi="Times New Roman"/>
          <w:b/>
          <w:sz w:val="24"/>
        </w:rPr>
        <w:t>Chapter Five</w:t>
      </w:r>
      <w:r>
        <w:rPr>
          <w:rFonts w:ascii="Times New Roman" w:hAnsi="Times New Roman"/>
          <w:sz w:val="24"/>
        </w:rPr>
        <w:t>: Testing, Results, and Empirical Evaluation (Security, Performance, Resilience, and Objective Assessment).</w:t>
      </w:r>
    </w:p>
    <w:p>
      <w:pPr>
        <w:pStyle w:val="ListBullet"/>
        <w:spacing w:after="80"/>
        <w:ind w:left="360"/>
      </w:pPr>
      <w:r>
        <w:rPr>
          <w:rFonts w:ascii="Times New Roman" w:hAnsi="Times New Roman"/>
          <w:b/>
          <w:sz w:val="24"/>
        </w:rPr>
        <w:t>Chapter Six</w:t>
      </w:r>
      <w:r>
        <w:rPr>
          <w:rFonts w:ascii="Times New Roman" w:hAnsi="Times New Roman"/>
          <w:sz w:val="24"/>
        </w:rPr>
        <w:t>: Summary, Conclusions, Professional Contributions, and Practical Recommendations.</w:t>
      </w:r>
    </w:p>
    <w:p>
      <w:pPr>
        <w:spacing w:before="120" w:after="120"/>
      </w:pPr>
      <w:r>
        <w:rPr>
          <w:color w:val="CCCCCC"/>
        </w:rPr>
        <w:t>――――――――――――――――――――――――――――――――――――――――――――――――――</w:t>
      </w:r>
    </w:p>
    <w:p>
      <w:pPr>
        <w:keepNext/>
        <w:spacing w:before="360" w:after="240"/>
      </w:pPr>
      <w:r>
        <w:rPr>
          <w:rFonts w:ascii="Times New Roman" w:hAnsi="Times New Roman"/>
          <w:b/>
          <w:color w:val="1F497D"/>
          <w:sz w:val="40"/>
        </w:rPr>
        <w:t>CHAPTER TWO: LITERATURE REVIEW AND TECHNOLOGY CONTEXT</w:t>
      </w:r>
    </w:p>
    <w:p>
      <w:pPr>
        <w:keepNext/>
        <w:spacing w:before="280" w:after="160"/>
      </w:pPr>
      <w:r>
        <w:rPr>
          <w:rFonts w:ascii="Times New Roman" w:hAnsi="Times New Roman"/>
          <w:b/>
          <w:color w:val="1F497D"/>
          <w:sz w:val="32"/>
        </w:rPr>
        <w:t>2.0 Introduction</w:t>
      </w:r>
    </w:p>
    <w:p>
      <w:pPr>
        <w:spacing w:after="120" w:line="300" w:lineRule="auto"/>
      </w:pPr>
      <w:r>
        <w:rPr>
          <w:rFonts w:ascii="Times New Roman" w:hAnsi="Times New Roman"/>
          <w:sz w:val="24"/>
        </w:rPr>
        <w:t>This chapter critically reviews the theoretical foundations, architectural concepts, platform technologies, security frameworks, and empirical literature relevant to multi-cloud integration between Amazon Web Services (AWS) and Microsoft Azure. In accordance with the MIVA Open University Professional Master’s Project guidelines, this review goes beyond describing cloud technologies; it critically evaluates existing solution patterns, analyzes technological trade-offs, weaves regulatory requirements into technical domains, and defines the research gap addressed by the implemented artefact.</w:t>
      </w:r>
    </w:p>
    <w:p>
      <w:pPr>
        <w:spacing w:after="120" w:line="300" w:lineRule="auto"/>
      </w:pPr>
      <w:r>
        <w:rPr>
          <w:rFonts w:ascii="Times New Roman" w:hAnsi="Times New Roman"/>
          <w:sz w:val="24"/>
        </w:rPr>
        <w:t>The chapter is organized into thirteen structured sections covering conceptual foundations, theoretical frameworks, provider networking models, VPN technologies, Zero Trust architecture, control frameworks (CSA CCM v4.1), Infrastructure as Code (IaC), identity federation, observability, recent empirical literature (2022–2026), comparative solution approaches, critical analysis, and the formal gap analysis. Each major section concludes with a synthesis demonstrating how its findings directly inform the proposed technical artefact.</w:t>
      </w:r>
    </w:p>
    <w:p>
      <w:pPr>
        <w:spacing w:before="120" w:after="120"/>
      </w:pPr>
      <w:r>
        <w:rPr>
          <w:color w:val="CCCCCC"/>
        </w:rPr>
        <w:t>――――――――――――――――――――――――――――――――――――――――――――――――――</w:t>
      </w:r>
    </w:p>
    <w:p>
      <w:pPr>
        <w:keepNext/>
        <w:spacing w:before="280" w:after="160"/>
      </w:pPr>
      <w:r>
        <w:rPr>
          <w:rFonts w:ascii="Times New Roman" w:hAnsi="Times New Roman"/>
          <w:b/>
          <w:color w:val="1F497D"/>
          <w:sz w:val="32"/>
        </w:rPr>
        <w:t>2.1 Conceptual Review</w:t>
      </w:r>
    </w:p>
    <w:p>
      <w:pPr>
        <w:keepNext/>
        <w:spacing w:before="240" w:after="120"/>
      </w:pPr>
      <w:r>
        <w:rPr>
          <w:rFonts w:ascii="Times New Roman" w:hAnsi="Times New Roman"/>
          <w:b/>
          <w:color w:val="366092"/>
          <w:sz w:val="27"/>
        </w:rPr>
        <w:t>2.1.1 Cloud Computing Paradigms and Architectural Abstraction</w:t>
      </w:r>
    </w:p>
    <w:p>
      <w:pPr>
        <w:spacing w:after="120" w:line="300" w:lineRule="auto"/>
      </w:pPr>
      <w:r>
        <w:rPr>
          <w:rFonts w:ascii="Times New Roman" w:hAnsi="Times New Roman"/>
          <w:sz w:val="24"/>
        </w:rPr>
        <w:t>Cloud computing is established as a utility model for delivering compute, storage, network, and software resources over the Internet (Mell &amp; Grance, 2011). Early cloud literature concentrated on elastic resource pooling, operational agility, and capital expenditure reduction (Armbrust et al., 2010; Buyya et al., 2009). However, modern enterprise cloud computing has evolved from simple virtual machine hosting to complex software-defined environments characterized by API-driven provisioning, programmable control planes, and rapid architectural abstraction.</w:t>
      </w:r>
    </w:p>
    <w:p>
      <w:pPr>
        <w:spacing w:after="120" w:line="300" w:lineRule="auto"/>
      </w:pPr>
      <w:r>
        <w:rPr>
          <w:rFonts w:ascii="Times New Roman" w:hAnsi="Times New Roman"/>
          <w:sz w:val="24"/>
        </w:rPr>
        <w:t>From an architectural perspective, this programmability introduces systemic risk. Automated provisioning allows configurations to scale rapidly, but it equally enables security misconfigurations—such as overly permissive route propagation or publicly exposed storage buckets—to replicate across environments instantaneously (Al-Aqrabi et al., 2024). Consequently, cloud architectural maturity requires balancing operational flexibility with automated security governance.</w:t>
      </w:r>
    </w:p>
    <w:p>
      <w:pPr>
        <w:keepNext/>
        <w:spacing w:before="240" w:after="120"/>
      </w:pPr>
      <w:r>
        <w:rPr>
          <w:rFonts w:ascii="Times New Roman" w:hAnsi="Times New Roman"/>
          <w:b/>
          <w:color w:val="366092"/>
          <w:sz w:val="27"/>
        </w:rPr>
        <w:t>2.1.2 Public Cloud Platforms and Enterprise Workloads</w:t>
      </w:r>
    </w:p>
    <w:p>
      <w:pPr>
        <w:spacing w:after="120" w:line="300" w:lineRule="auto"/>
      </w:pPr>
      <w:r>
        <w:rPr>
          <w:rFonts w:ascii="Times New Roman" w:hAnsi="Times New Roman"/>
          <w:sz w:val="24"/>
        </w:rPr>
        <w:t>Public cloud platforms such as AWS and Azure deliver logically isolated, multi-tenant environments supporting diverse enterprise workloads—ranging from customer-facing web portals to sensitive financial processing systems. Unlike experimental applications, enterprise workloads demand strict non-functional controls: high availability, data confidentiality, transactional integrity, operational observability, and regulatory auditability.</w:t>
      </w:r>
    </w:p>
    <w:p>
      <w:pPr>
        <w:spacing w:after="120" w:line="300" w:lineRule="auto"/>
      </w:pPr>
      <w:r>
        <w:rPr>
          <w:rFonts w:ascii="Times New Roman" w:hAnsi="Times New Roman"/>
          <w:sz w:val="24"/>
        </w:rPr>
        <w:t>Traditional three-tier application architecture (presentation, application processing, and data persistence) remains the standard benchmark for enterprise workload segmentation. Separating tiers into distinct network subnets and enforcing explicit traffic filtering limits the blast radius of a security breach. While cloud-native microservices and serverless paradigms are increasingly common, the three-tier workload model provides an optimal, controlled baseline for evaluating inter-cloud network segmentation, routing, and data-plane access controls (Alonso et al., 2023).</w:t>
      </w:r>
    </w:p>
    <w:p>
      <w:pPr>
        <w:keepNext/>
        <w:spacing w:before="240" w:after="120"/>
      </w:pPr>
      <w:r>
        <w:rPr>
          <w:rFonts w:ascii="Times New Roman" w:hAnsi="Times New Roman"/>
          <w:b/>
          <w:color w:val="366092"/>
          <w:sz w:val="27"/>
        </w:rPr>
        <w:t>2.1.3 Multi-Cloud Computing vs. Hybrid Cloud</w:t>
      </w:r>
    </w:p>
    <w:p>
      <w:pPr>
        <w:spacing w:after="120" w:line="300" w:lineRule="auto"/>
      </w:pPr>
      <w:r>
        <w:rPr>
          <w:rFonts w:ascii="Times New Roman" w:hAnsi="Times New Roman"/>
          <w:sz w:val="24"/>
        </w:rPr>
        <w:t>A critical distinction must be maintained between hybrid cloud and multi-cloud architectures. Hybrid cloud integrates public cloud resources with private cloud or on-premises infrastructure. Multi-cloud refers to the concurrent consumption of services from two or more distinct public cloud providers (Petcu, 2013; Grozev &amp; Buyya, 2014; Toosi et al., 2014).</w:t>
      </w:r>
    </w:p>
    <w:p>
      <w:pPr>
        <w:spacing w:after="120" w:line="300" w:lineRule="auto"/>
      </w:pPr>
      <w:r>
        <w:rPr>
          <w:rFonts w:ascii="Times New Roman" w:hAnsi="Times New Roman"/>
          <w:sz w:val="24"/>
        </w:rPr>
        <w:t>Multi-cloud adoption is driven by organizational desires to prevent single-vendor dependency, exploit provider-specific features, optimize costs, and fulfill regional data residency mandates (Alonso et al., 2023). However, multi-cloud environments multiply administrative complexity. Each provider introduces its own API structures, identity models, network constructs, and security services. Operating across these heterogeneous environments without a unified architectural framework creates operational friction, policy inconsistencies, and unmonitored attack vectors.</w:t>
      </w:r>
    </w:p>
    <w:p>
      <w:pPr>
        <w:keepNext/>
        <w:spacing w:before="240" w:after="120"/>
      </w:pPr>
      <w:r>
        <w:rPr>
          <w:rFonts w:ascii="Times New Roman" w:hAnsi="Times New Roman"/>
          <w:b/>
          <w:color w:val="366092"/>
          <w:sz w:val="27"/>
        </w:rPr>
        <w:t>2.1.4 Multi-Cloud Architecture and Sovereign Data Governance</w:t>
      </w:r>
    </w:p>
    <w:p>
      <w:pPr>
        <w:spacing w:after="120" w:line="300" w:lineRule="auto"/>
      </w:pPr>
      <w:r>
        <w:rPr>
          <w:rFonts w:ascii="Times New Roman" w:hAnsi="Times New Roman"/>
          <w:sz w:val="24"/>
        </w:rPr>
        <w:t>A robust multi-cloud architecture is the structured alignment of networks, compute resources, identities, data flows, and security controls across provider boundaries. It must define how components interact, how trust is established, how data is encrypted, and how incidents are detected across disparate platforms.</w:t>
      </w:r>
    </w:p>
    <w:p>
      <w:pPr>
        <w:spacing w:after="120" w:line="300" w:lineRule="auto"/>
      </w:pPr>
      <w:r>
        <w:rPr>
          <w:rFonts w:ascii="Times New Roman" w:hAnsi="Times New Roman"/>
          <w:sz w:val="24"/>
        </w:rPr>
        <w:t xml:space="preserve">In the Nigerian enterprise context, multi-cloud architecture is directly bound to sovereign data governance. The </w:t>
      </w:r>
      <w:r>
        <w:rPr>
          <w:rFonts w:ascii="Times New Roman" w:hAnsi="Times New Roman"/>
          <w:b/>
          <w:sz w:val="24"/>
        </w:rPr>
        <w:t>National Cloud Policy 2025</w:t>
      </w:r>
      <w:r>
        <w:rPr>
          <w:rFonts w:ascii="Times New Roman" w:hAnsi="Times New Roman"/>
          <w:sz w:val="24"/>
        </w:rPr>
        <w:t xml:space="preserve"> (NITDA, 2025) outlines technical expectations for cloud adoption in government and regulated sectors, emphasizing data classification, local sovereignty, and infrastructure resilience. Concurrently, the </w:t>
      </w:r>
      <w:r>
        <w:rPr>
          <w:rFonts w:ascii="Times New Roman" w:hAnsi="Times New Roman"/>
          <w:b/>
          <w:sz w:val="24"/>
        </w:rPr>
        <w:t>Nigeria Data Protection Act (NDPA) 2023</w:t>
      </w:r>
      <w:r>
        <w:rPr>
          <w:rFonts w:ascii="Times New Roman" w:hAnsi="Times New Roman"/>
          <w:sz w:val="24"/>
        </w:rPr>
        <w:t xml:space="preserve"> and the </w:t>
      </w:r>
      <w:r>
        <w:rPr>
          <w:rFonts w:ascii="Times New Roman" w:hAnsi="Times New Roman"/>
          <w:b/>
          <w:sz w:val="24"/>
        </w:rPr>
        <w:t>NDPC General Application and Implementation Directive (GAID) 2025</w:t>
      </w:r>
      <w:r>
        <w:rPr>
          <w:rFonts w:ascii="Times New Roman" w:hAnsi="Times New Roman"/>
          <w:sz w:val="24"/>
        </w:rPr>
        <w:t xml:space="preserve"> mandate statutory accountability for personal data processing, strict cross-border data transfer controls, and demonstrable technical safeguards. Multi-cloud architectures operating in Nigeria cannot treat network routing as purely technical; traffic pathways must be mapped against legal jurisdictions and regulatory compliance baselines.</w:t>
      </w:r>
    </w:p>
    <w:p>
      <w:pPr>
        <w:spacing w:before="120" w:after="120"/>
        <w:ind w:left="576" w:right="576"/>
      </w:pPr>
      <w:r>
        <w:rPr>
          <w:rFonts w:ascii="Consolas" w:hAnsi="Consolas"/>
          <w:color w:val="1F2937"/>
          <w:sz w:val="19"/>
        </w:rPr>
        <w:t>flowchart LR</w:t>
        <w:br/>
        <w:t xml:space="preserve">    subgraph Regulatory ["Nigerian Regulatory Drivers"]</w:t>
        <w:br/>
        <w:t xml:space="preserve">        R1[NDPA 2023 &amp; NDPC GAID 2025]</w:t>
        <w:br/>
        <w:t xml:space="preserve">        R2[National Cloud Policy 2025]</w:t>
        <w:br/>
        <w:t xml:space="preserve">    end</w:t>
        <w:br/>
        <w:br/>
        <w:t xml:space="preserve">    subgraph ArchitectureControls ["Multi-Cloud Architectural Controls"]</w:t>
        <w:br/>
        <w:t xml:space="preserve">        C1[Data Residency &amp; Regional Placement]</w:t>
        <w:br/>
        <w:t xml:space="preserve">        C2[Cross-Border Inter-Cloud IPsec Encryption]</w:t>
        <w:br/>
        <w:t xml:space="preserve">        C3[Least-Privilege Identity &amp; Audit Trail]</w:t>
        <w:br/>
        <w:t xml:space="preserve">    end</w:t>
        <w:br/>
        <w:br/>
        <w:t xml:space="preserve">    subgraph CloudProviders ["Heterogeneous Cloud Platforms"]</w:t>
        <w:br/>
        <w:t xml:space="preserve">        P1[AWS Environment: VPC / TGW / KMS]</w:t>
        <w:br/>
        <w:t xml:space="preserve">        P2[Azure Environment: VNet / VNG / Key Vault]</w:t>
        <w:br/>
        <w:t xml:space="preserve">    end</w:t>
        <w:br/>
        <w:br/>
        <w:t xml:space="preserve">    R1 --&gt; C2 &amp; C3</w:t>
        <w:br/>
        <w:t xml:space="preserve">    R2 --&gt; C1 &amp; C3</w:t>
        <w:br/>
        <w:t xml:space="preserve">    C1 --&gt; P1 &amp; P2</w:t>
        <w:br/>
        <w:t xml:space="preserve">    C2 --&gt; P1 &amp; P2</w:t>
        <w:br/>
        <w:t xml:space="preserve">    C3 --&gt; P1 &amp; P2</w:t>
      </w:r>
    </w:p>
    <w:p>
      <w:pPr>
        <w:spacing w:after="120" w:line="300" w:lineRule="auto"/>
      </w:pPr>
      <w:r>
        <w:rPr>
          <w:rFonts w:ascii="Times New Roman" w:hAnsi="Times New Roman"/>
          <w:b/>
          <w:sz w:val="24"/>
        </w:rPr>
        <w:t>Figure 2.1: Interconnection of Nigerian Regulatory Frameworks with Multi-Cloud Controls</w:t>
      </w:r>
    </w:p>
    <w:p>
      <w:pPr>
        <w:keepNext/>
        <w:spacing w:before="240" w:after="120"/>
      </w:pPr>
      <w:r>
        <w:rPr>
          <w:rFonts w:ascii="Times New Roman" w:hAnsi="Times New Roman"/>
          <w:b/>
          <w:color w:val="366092"/>
          <w:sz w:val="27"/>
        </w:rPr>
        <w:t>2.1.5 Section Synthesis and Alignment with Proposed Artefact</w:t>
      </w:r>
    </w:p>
    <w:p>
      <w:pPr>
        <w:spacing w:after="120" w:line="300" w:lineRule="auto"/>
      </w:pPr>
      <w:r>
        <w:rPr>
          <w:rFonts w:ascii="Times New Roman" w:hAnsi="Times New Roman"/>
          <w:sz w:val="24"/>
        </w:rPr>
        <w:t>The literature establishes that while multi-cloud computing offers strategic flexibility and vendor independence, its benefits are contingent upon rigorous architectural integration. Uncoordinated multi-cloud adoption generates severe security and operational vulnerabilities.</w:t>
      </w:r>
    </w:p>
    <w:p>
      <w:pPr>
        <w:spacing w:after="120" w:line="300" w:lineRule="auto"/>
      </w:pPr>
      <w:r>
        <w:rPr>
          <w:rFonts w:ascii="Times New Roman" w:hAnsi="Times New Roman"/>
          <w:b/>
          <w:sz w:val="24"/>
        </w:rPr>
        <w:t>Link to Proposed Artefact</w:t>
      </w:r>
      <w:r>
        <w:rPr>
          <w:rFonts w:ascii="Times New Roman" w:hAnsi="Times New Roman"/>
          <w:sz w:val="24"/>
        </w:rPr>
        <w:t>: This insight directly informs the project's decision to deploy a structured, provider-native AWS–Azure hub-and-spoke architecture. Rather than treating AWS and Azure as isolated silos, the artefact unifies them using defined address spaces, explicit inter-cloud routing, and standardized workload segmentation, aligned with Nigerian data protection and cloud policy mandates.</w:t>
      </w:r>
    </w:p>
    <w:p>
      <w:pPr>
        <w:spacing w:before="120" w:after="120"/>
      </w:pPr>
      <w:r>
        <w:rPr>
          <w:color w:val="CCCCCC"/>
        </w:rPr>
        <w:t>――――――――――――――――――――――――――――――――――――――――――――――――――</w:t>
      </w:r>
    </w:p>
    <w:p>
      <w:pPr>
        <w:keepNext/>
        <w:spacing w:before="280" w:after="160"/>
      </w:pPr>
      <w:r>
        <w:rPr>
          <w:rFonts w:ascii="Times New Roman" w:hAnsi="Times New Roman"/>
          <w:b/>
          <w:color w:val="1F497D"/>
          <w:sz w:val="32"/>
        </w:rPr>
        <w:t>2.2 Theoretical Review</w:t>
      </w:r>
    </w:p>
    <w:p>
      <w:pPr>
        <w:keepNext/>
        <w:spacing w:before="240" w:after="120"/>
      </w:pPr>
      <w:r>
        <w:rPr>
          <w:rFonts w:ascii="Times New Roman" w:hAnsi="Times New Roman"/>
          <w:b/>
          <w:color w:val="366092"/>
          <w:sz w:val="27"/>
        </w:rPr>
        <w:t>2.2.1 Design Science Research Methodology (DSRM)</w:t>
      </w:r>
    </w:p>
    <w:p>
      <w:pPr>
        <w:spacing w:after="120" w:line="300" w:lineRule="auto"/>
      </w:pPr>
      <w:r>
        <w:rPr>
          <w:rFonts w:ascii="Times New Roman" w:hAnsi="Times New Roman"/>
          <w:sz w:val="24"/>
        </w:rPr>
        <w:t xml:space="preserve">This project is grounded in </w:t>
      </w:r>
      <w:r>
        <w:rPr>
          <w:rFonts w:ascii="Times New Roman" w:hAnsi="Times New Roman"/>
          <w:b/>
          <w:sz w:val="24"/>
        </w:rPr>
        <w:t>Design Science Research Methodology</w:t>
      </w:r>
      <w:r>
        <w:rPr>
          <w:rFonts w:ascii="Times New Roman" w:hAnsi="Times New Roman"/>
          <w:sz w:val="24"/>
        </w:rPr>
        <w:t xml:space="preserve"> (Hevner et al., 2004; Peffers et al., 2007). DSRM is appropriate for information systems research focused on creating and evaluating innovative technical artefacts—such as models, methods, software code, and implemented architectures—designed to solve explicit organizational problems.</w:t>
      </w:r>
    </w:p>
    <w:p>
      <w:pPr>
        <w:spacing w:after="120" w:line="300" w:lineRule="auto"/>
      </w:pPr>
      <w:r>
        <w:rPr>
          <w:rFonts w:ascii="Times New Roman" w:hAnsi="Times New Roman"/>
          <w:sz w:val="24"/>
        </w:rPr>
        <w:t>DSRM structures the project into six sequential phases: (1) Problem identification and motivation, (2) Definition of solution objectives, (3) Design and development, (4) Demonstration, (5) Evaluation, and (6) Communication. The technical artefact in this project comprises the deployed AWS–Azure infrastructure, modular Terraform code, security rule matrices, identity federation setup, observability pipeline, and empirical test harness.</w:t>
      </w:r>
    </w:p>
    <w:p>
      <w:pPr>
        <w:keepNext/>
        <w:spacing w:before="240" w:after="120"/>
      </w:pPr>
      <w:r>
        <w:rPr>
          <w:rFonts w:ascii="Times New Roman" w:hAnsi="Times New Roman"/>
          <w:b/>
          <w:color w:val="366092"/>
          <w:sz w:val="27"/>
        </w:rPr>
        <w:t>2.2.2 Socio-Technical Systems Theory</w:t>
      </w:r>
    </w:p>
    <w:p>
      <w:pPr>
        <w:spacing w:after="120" w:line="300" w:lineRule="auto"/>
      </w:pPr>
      <w:r>
        <w:rPr>
          <w:rFonts w:ascii="Times New Roman" w:hAnsi="Times New Roman"/>
          <w:sz w:val="24"/>
        </w:rPr>
        <w:t>Enterprise cloud security is inherently socio-technical (Hevner et al., 2004). Technical controls (such as IPsec tunnels, security groups, and IAM policies) operate within human and organizational systems (change management, administrative workflows, compliance audits, and operational oversight). A technically robust architecture can be compromised if human operators use weak credentials, bypass Infrastructure as Code, or ignore security alerts. Conversely, strict governance policies fail if the underlying technical architecture permits unrestricted network traversal. This perspective dictates that the project artefact must include technical automation, clear operational documentation, and formal policy-to-code traceability.</w:t>
      </w:r>
    </w:p>
    <w:p>
      <w:pPr>
        <w:keepNext/>
        <w:spacing w:before="240" w:after="120"/>
      </w:pPr>
      <w:r>
        <w:rPr>
          <w:rFonts w:ascii="Times New Roman" w:hAnsi="Times New Roman"/>
          <w:b/>
          <w:color w:val="366092"/>
          <w:sz w:val="27"/>
        </w:rPr>
        <w:t>2.2.3 Shared Responsibility Theory in Multi-Cloud Contexts</w:t>
      </w:r>
    </w:p>
    <w:p>
      <w:pPr>
        <w:spacing w:after="120" w:line="300" w:lineRule="auto"/>
      </w:pPr>
      <w:r>
        <w:rPr>
          <w:rFonts w:ascii="Times New Roman" w:hAnsi="Times New Roman"/>
          <w:sz w:val="24"/>
        </w:rPr>
        <w:t>The shared-responsibility model defines the division of security obligations between cloud service providers and cloud consumers. In IaaS deployments, providers secure the physical data centers, hypervisors, and core service APIs, while customers are responsible for guest operating systems, network traffic filtering, application code, identity access management, and data protection (Subashini &amp; Kavitha, 2011; Fernandes et al., 2014).</w:t>
      </w:r>
    </w:p>
    <w:p>
      <w:pPr>
        <w:spacing w:after="120" w:line="300" w:lineRule="auto"/>
      </w:pPr>
      <w:r>
        <w:rPr>
          <w:rFonts w:ascii="Times New Roman" w:hAnsi="Times New Roman"/>
          <w:sz w:val="24"/>
        </w:rPr>
        <w:t>In a multi-cloud environment, shared responsibility becomes multi-dimensional. The enterprise must manage two distinct sets of provider SLAs, administrative interfaces, and security configurations. Crucially, customers cannot assume that security configurations in AWS (e.g., Security Groups) auto-translate into Azure (e.g., Network Security Groups). Policies must be engineered specifically for each platform while upholding unified organizational security objectives.</w:t>
      </w:r>
    </w:p>
    <w:p>
      <w:pPr>
        <w:keepNext/>
        <w:spacing w:before="240" w:after="120"/>
      </w:pPr>
      <w:r>
        <w:rPr>
          <w:rFonts w:ascii="Times New Roman" w:hAnsi="Times New Roman"/>
          <w:b/>
          <w:color w:val="366092"/>
          <w:sz w:val="27"/>
        </w:rPr>
        <w:t>2.2.4 Section Synthesis and Alignment with Proposed Artefact</w:t>
      </w:r>
    </w:p>
    <w:p>
      <w:pPr>
        <w:spacing w:after="120" w:line="300" w:lineRule="auto"/>
      </w:pPr>
      <w:r>
        <w:rPr>
          <w:rFonts w:ascii="Times New Roman" w:hAnsi="Times New Roman"/>
          <w:sz w:val="24"/>
        </w:rPr>
        <w:t>Theoretical literature highlights that constructing a multi-cloud solution requires a rigorous research methodology (DSRM), an appreciation of socio-technical governance, and explicit accounting for multi-provider shared responsibility.</w:t>
      </w:r>
    </w:p>
    <w:p>
      <w:pPr>
        <w:spacing w:after="120" w:line="300" w:lineRule="auto"/>
      </w:pPr>
      <w:r>
        <w:rPr>
          <w:rFonts w:ascii="Times New Roman" w:hAnsi="Times New Roman"/>
          <w:b/>
          <w:sz w:val="24"/>
        </w:rPr>
        <w:t>Link to Proposed Artefact</w:t>
      </w:r>
      <w:r>
        <w:rPr>
          <w:rFonts w:ascii="Times New Roman" w:hAnsi="Times New Roman"/>
          <w:sz w:val="24"/>
        </w:rPr>
        <w:t>: The project adopts DSRM as its core lifecycle model, ensuring that every architectural component directly answers a problem identified in Chapter One. The artefact embodies shared responsibility by implementing explicit, audited customer-side security controls across both AWS and Azure using version-controlled Terraform scripts.</w:t>
      </w:r>
    </w:p>
    <w:p>
      <w:pPr>
        <w:spacing w:before="120" w:after="120"/>
      </w:pPr>
      <w:r>
        <w:rPr>
          <w:color w:val="CCCCCC"/>
        </w:rPr>
        <w:t>――――――――――――――――――――――――――――――――――――――――――――――――――</w:t>
      </w:r>
    </w:p>
    <w:p>
      <w:pPr>
        <w:keepNext/>
        <w:spacing w:before="280" w:after="160"/>
      </w:pPr>
      <w:r>
        <w:rPr>
          <w:rFonts w:ascii="Times New Roman" w:hAnsi="Times New Roman"/>
          <w:b/>
          <w:color w:val="1F497D"/>
          <w:sz w:val="32"/>
        </w:rPr>
        <w:t>2.3 Technology Context: AWS and Microsoft Azure</w:t>
      </w:r>
    </w:p>
    <w:p>
      <w:pPr>
        <w:keepNext/>
        <w:spacing w:before="240" w:after="120"/>
      </w:pPr>
      <w:r>
        <w:rPr>
          <w:rFonts w:ascii="Times New Roman" w:hAnsi="Times New Roman"/>
          <w:b/>
          <w:color w:val="366092"/>
          <w:sz w:val="27"/>
        </w:rPr>
        <w:t>2.3.1 AWS Networking and Security Architecture</w:t>
      </w:r>
    </w:p>
    <w:p>
      <w:pPr>
        <w:spacing w:after="120" w:line="300" w:lineRule="auto"/>
      </w:pPr>
      <w:r>
        <w:rPr>
          <w:rFonts w:ascii="Times New Roman" w:hAnsi="Times New Roman"/>
          <w:sz w:val="24"/>
        </w:rPr>
        <w:t>Amazon Web Services provides a robust set of networking and security constructs:</w:t>
      </w:r>
    </w:p>
    <w:p>
      <w:pPr>
        <w:pStyle w:val="ListBullet"/>
        <w:spacing w:after="80"/>
        <w:ind w:left="360"/>
      </w:pPr>
      <w:r>
        <w:rPr>
          <w:rFonts w:ascii="Times New Roman" w:hAnsi="Times New Roman"/>
          <w:b/>
          <w:sz w:val="24"/>
        </w:rPr>
        <w:t>Amazon VPC</w:t>
      </w:r>
      <w:r>
        <w:rPr>
          <w:rFonts w:ascii="Times New Roman" w:hAnsi="Times New Roman"/>
          <w:sz w:val="24"/>
        </w:rPr>
        <w:t>: Logically isolated virtual networks within an AWS Region, defined by IP address blocks (CIDR). Subnets are bound to specific Availability Zones (AZs) for high-availability design.</w:t>
      </w:r>
    </w:p>
    <w:p>
      <w:pPr>
        <w:pStyle w:val="ListBullet"/>
        <w:spacing w:after="80"/>
        <w:ind w:left="360"/>
      </w:pPr>
      <w:r>
        <w:rPr>
          <w:rFonts w:ascii="Times New Roman" w:hAnsi="Times New Roman"/>
          <w:b/>
          <w:sz w:val="24"/>
        </w:rPr>
        <w:t>Stateful Security Groups &amp; Stateless NACLs</w:t>
      </w:r>
      <w:r>
        <w:rPr>
          <w:rFonts w:ascii="Times New Roman" w:hAnsi="Times New Roman"/>
          <w:sz w:val="24"/>
        </w:rPr>
        <w:t>: Security Groups operate at the network interface (ENI) level, enforcing stateful rule evaluation. NACLs operate at the subnet boundary, evaluating stateless inbound/outbound rules sequentially.</w:t>
      </w:r>
    </w:p>
    <w:p>
      <w:pPr>
        <w:pStyle w:val="ListBullet"/>
        <w:spacing w:after="80"/>
        <w:ind w:left="360"/>
      </w:pPr>
      <w:r>
        <w:rPr>
          <w:rFonts w:ascii="Times New Roman" w:hAnsi="Times New Roman"/>
          <w:b/>
          <w:sz w:val="24"/>
        </w:rPr>
        <w:t>AWS Transit Gateway (TGW)</w:t>
      </w:r>
      <w:r>
        <w:rPr>
          <w:rFonts w:ascii="Times New Roman" w:hAnsi="Times New Roman"/>
          <w:sz w:val="24"/>
        </w:rPr>
        <w:t>: A managed regional routing hub connecting multiple VPCs, VPNs, and external networks. Transit Gateway supports custom transit route tables, route propagation control, and dynamic BGP routing, making it the premier AWS construct for hub-and-spoke topologies.</w:t>
      </w:r>
    </w:p>
    <w:p>
      <w:pPr>
        <w:pStyle w:val="ListBullet"/>
        <w:spacing w:after="80"/>
        <w:ind w:left="360"/>
      </w:pPr>
      <w:r>
        <w:rPr>
          <w:rFonts w:ascii="Times New Roman" w:hAnsi="Times New Roman"/>
          <w:b/>
          <w:sz w:val="24"/>
        </w:rPr>
        <w:t>AWS Site-to-Site VPN</w:t>
      </w:r>
      <w:r>
        <w:rPr>
          <w:rFonts w:ascii="Times New Roman" w:hAnsi="Times New Roman"/>
          <w:sz w:val="24"/>
        </w:rPr>
        <w:t>: Provides IPsec-encrypted connectivity between AWS gateways and external endpoints. Standard connections provision two redundant IPsec tunnels for high availability.</w:t>
      </w:r>
    </w:p>
    <w:p>
      <w:pPr>
        <w:keepNext/>
        <w:spacing w:before="240" w:after="120"/>
      </w:pPr>
      <w:r>
        <w:rPr>
          <w:rFonts w:ascii="Times New Roman" w:hAnsi="Times New Roman"/>
          <w:b/>
          <w:color w:val="366092"/>
          <w:sz w:val="27"/>
        </w:rPr>
        <w:t>2.3.2 Microsoft Azure Networking and Security Architecture</w:t>
      </w:r>
    </w:p>
    <w:p>
      <w:pPr>
        <w:spacing w:after="120" w:line="300" w:lineRule="auto"/>
      </w:pPr>
      <w:r>
        <w:rPr>
          <w:rFonts w:ascii="Times New Roman" w:hAnsi="Times New Roman"/>
          <w:sz w:val="24"/>
        </w:rPr>
        <w:t>Microsoft Azure offers equivalent, yet structurally distinct, networking components:</w:t>
      </w:r>
    </w:p>
    <w:p>
      <w:pPr>
        <w:pStyle w:val="ListBullet"/>
        <w:spacing w:after="80"/>
        <w:ind w:left="360"/>
      </w:pPr>
      <w:r>
        <w:rPr>
          <w:rFonts w:ascii="Times New Roman" w:hAnsi="Times New Roman"/>
          <w:b/>
          <w:sz w:val="24"/>
        </w:rPr>
        <w:t>Azure Virtual Network (VNet)</w:t>
      </w:r>
      <w:r>
        <w:rPr>
          <w:rFonts w:ascii="Times New Roman" w:hAnsi="Times New Roman"/>
          <w:sz w:val="24"/>
        </w:rPr>
        <w:t>: The core private network construct in Azure. Unlike AWS subnets, Azure subnets span the entire VNet across all regional Availability Zones.</w:t>
      </w:r>
    </w:p>
    <w:p>
      <w:pPr>
        <w:pStyle w:val="ListBullet"/>
        <w:spacing w:after="80"/>
        <w:ind w:left="360"/>
      </w:pPr>
      <w:r>
        <w:rPr>
          <w:rFonts w:ascii="Times New Roman" w:hAnsi="Times New Roman"/>
          <w:b/>
          <w:sz w:val="24"/>
        </w:rPr>
        <w:t>Network Security Groups (NSGs)</w:t>
      </w:r>
      <w:r>
        <w:rPr>
          <w:rFonts w:ascii="Times New Roman" w:hAnsi="Times New Roman"/>
          <w:sz w:val="24"/>
        </w:rPr>
        <w:t>: Stateful traffic filtering controls attached to subnets or network interfaces. NSGs use prioritized numeric rules.</w:t>
      </w:r>
    </w:p>
    <w:p>
      <w:pPr>
        <w:pStyle w:val="ListBullet"/>
        <w:spacing w:after="80"/>
        <w:ind w:left="360"/>
      </w:pPr>
      <w:r>
        <w:rPr>
          <w:rFonts w:ascii="Times New Roman" w:hAnsi="Times New Roman"/>
          <w:b/>
          <w:sz w:val="24"/>
        </w:rPr>
        <w:t>Azure VPN Gateway</w:t>
      </w:r>
      <w:r>
        <w:rPr>
          <w:rFonts w:ascii="Times New Roman" w:hAnsi="Times New Roman"/>
          <w:sz w:val="24"/>
        </w:rPr>
        <w:t>: A managed virtual network gateway providing encrypted site-to-site, point-to-site, and VNet-to-VNet IPsec connectivity. Route-based gateways support multi-prefix routing and dynamic BGP peerings. Active-active gateway configurations expose two distinct public IPs, enabling dual-tunnel redundancy.</w:t>
      </w:r>
    </w:p>
    <w:p>
      <w:pPr>
        <w:pStyle w:val="ListBullet"/>
        <w:spacing w:after="80"/>
        <w:ind w:left="360"/>
      </w:pPr>
      <w:r>
        <w:rPr>
          <w:rFonts w:ascii="Times New Roman" w:hAnsi="Times New Roman"/>
          <w:b/>
          <w:sz w:val="24"/>
        </w:rPr>
        <w:t>Azure Virtual WAN</w:t>
      </w:r>
      <w:r>
        <w:rPr>
          <w:rFonts w:ascii="Times New Roman" w:hAnsi="Times New Roman"/>
          <w:sz w:val="24"/>
        </w:rPr>
        <w:t>: An enterprise networking service consolidating VPN, ExpressRoute, and virtual hub routing across global regions. While highly scalable, Virtual WAN introduces significant cost and abstraction overhead for standard deployments.</w:t>
      </w:r>
    </w:p>
    <w:p>
      <w:pPr>
        <w:keepNext/>
        <w:spacing w:before="240" w:after="120"/>
      </w:pPr>
      <w:r>
        <w:rPr>
          <w:rFonts w:ascii="Times New Roman" w:hAnsi="Times New Roman"/>
          <w:b/>
          <w:color w:val="366092"/>
          <w:sz w:val="27"/>
        </w:rPr>
        <w:t>2.3.3 Comparative Analysis of AWS and Azure Constructs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Architectural Objective</w:t>
            </w:r>
          </w:p>
        </w:tc>
        <w:tc>
          <w:tcPr>
            <w:tcW w:type="dxa" w:w="234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AWS Mechanism</w:t>
            </w:r>
          </w:p>
        </w:tc>
        <w:tc>
          <w:tcPr>
            <w:tcW w:type="dxa" w:w="234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Azure Mechanism</w:t>
            </w:r>
          </w:p>
        </w:tc>
        <w:tc>
          <w:tcPr>
            <w:tcW w:type="dxa" w:w="234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Technical Comparison &amp; Trade-off</w:t>
            </w:r>
          </w:p>
        </w:tc>
      </w:tr>
      <w:tr>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Isolated Cloud Network</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Amazon VPC</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Azure VNet</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Similar isolation; AWS subnets are AZ-bound, whereas Azure subnets span all regional AZs.</w:t>
            </w:r>
          </w:p>
        </w:tc>
      </w:tr>
      <w:tr>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Stateful Traffic Filtering</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Security Group</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Network Security Group (NSG)</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Both are stateful. AWS SGs permit explicit allow rules only; Azure NSGs allow explicit allow/deny rules with numeric priority ordering.</w:t>
            </w:r>
          </w:p>
        </w:tc>
      </w:tr>
      <w:tr>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Subnet-Level Stateless Filter</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Network ACL</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i/>
                <w:sz w:val="20"/>
              </w:rPr>
              <w:t>No direct equivalent</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AWS NACLs offer stateless subnet filtering; Azure relies on NSGs or Azure Firewall at the subnet boundary.</w:t>
            </w:r>
          </w:p>
        </w:tc>
      </w:tr>
      <w:tr>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Centralized Routing Hub</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Transit Gateway (TGW)</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Virtual WAN / Hub VNet</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AWS TGW provides highly granular route table attachments; Azure Hub VNet uses User-Defined Routes (UDRs) or Virtual WAN managed hubs.</w:t>
            </w:r>
          </w:p>
        </w:tc>
      </w:tr>
      <w:tr>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Managed Encrypted VPN</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AWS Site-to-Site VPN</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Azure VPN Gateway</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Both support route-based IPsec &amp; BGP. AWS defaults to 2 tunnels per connection; Azure active-active provisions 2 gateway instances with dual IPs.</w:t>
            </w:r>
          </w:p>
        </w:tc>
      </w:tr>
      <w:tr>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Identity Governance</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AWS IAM / Identity Center</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Microsoft Entra ID / Azure RBAC</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Entra ID acts as an enterprise IdP; AWS IAM controls resource-level policies via JSON documents. Federation bridges the two.</w:t>
            </w:r>
          </w:p>
        </w:tc>
      </w:tr>
      <w:tr>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Native Audit Telemetry</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CloudTrail, VPC Flow Logs</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Activity Logs, NSG/VNet Flow Logs</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Disparate log formats and schemas; cross-platform aggregation requires centralized Log Analytics or SIEM ingestion.</w:t>
            </w:r>
          </w:p>
        </w:tc>
      </w:tr>
    </w:tbl>
    <w:p>
      <w:pPr>
        <w:keepNext/>
        <w:spacing w:before="240" w:after="120"/>
      </w:pPr>
      <w:r>
        <w:rPr>
          <w:rFonts w:ascii="Times New Roman" w:hAnsi="Times New Roman"/>
          <w:b/>
          <w:color w:val="366092"/>
          <w:sz w:val="27"/>
        </w:rPr>
        <w:t>2.3.4 Section Synthesis and Alignment with Proposed Artefact</w:t>
      </w:r>
    </w:p>
    <w:p>
      <w:pPr>
        <w:spacing w:after="120" w:line="300" w:lineRule="auto"/>
      </w:pPr>
      <w:r>
        <w:rPr>
          <w:rFonts w:ascii="Times New Roman" w:hAnsi="Times New Roman"/>
          <w:sz w:val="24"/>
        </w:rPr>
        <w:t>Direct terminology substitution between AWS and Azure is impossible due to structural differences in routing, subnet binding, and firewall evaluation.</w:t>
      </w:r>
    </w:p>
    <w:p>
      <w:pPr>
        <w:spacing w:after="120" w:line="300" w:lineRule="auto"/>
      </w:pPr>
      <w:r>
        <w:rPr>
          <w:rFonts w:ascii="Times New Roman" w:hAnsi="Times New Roman"/>
          <w:b/>
          <w:sz w:val="24"/>
        </w:rPr>
        <w:t>Link to Proposed Artefact</w:t>
      </w:r>
      <w:r>
        <w:rPr>
          <w:rFonts w:ascii="Times New Roman" w:hAnsi="Times New Roman"/>
          <w:sz w:val="24"/>
        </w:rPr>
        <w:t>: The comparative synthesis dictates that the proposed artefact must use provider-native hub constructs (</w:t>
      </w:r>
      <w:r>
        <w:rPr>
          <w:rFonts w:ascii="Times New Roman" w:hAnsi="Times New Roman"/>
          <w:b/>
          <w:sz w:val="24"/>
        </w:rPr>
        <w:t>AWS Transit Gateway</w:t>
      </w:r>
      <w:r>
        <w:rPr>
          <w:rFonts w:ascii="Times New Roman" w:hAnsi="Times New Roman"/>
          <w:sz w:val="24"/>
        </w:rPr>
        <w:t xml:space="preserve"> and </w:t>
      </w:r>
      <w:r>
        <w:rPr>
          <w:rFonts w:ascii="Times New Roman" w:hAnsi="Times New Roman"/>
          <w:b/>
          <w:sz w:val="24"/>
        </w:rPr>
        <w:t>Azure Hub VNet with Active-Active VPN Gateway</w:t>
      </w:r>
      <w:r>
        <w:rPr>
          <w:rFonts w:ascii="Times New Roman" w:hAnsi="Times New Roman"/>
          <w:sz w:val="24"/>
        </w:rPr>
        <w:t>). The design explicitly reconciles rule-processing differences (stateful SGs vs prioritized NSGs) to ensure consistent security policy enforcement across both platforms.</w:t>
      </w:r>
    </w:p>
    <w:p>
      <w:pPr>
        <w:spacing w:before="120" w:after="120"/>
      </w:pPr>
      <w:r>
        <w:rPr>
          <w:color w:val="CCCCCC"/>
        </w:rPr>
        <w:t>――――――――――――――――――――――――――――――――――――――――――――――――――</w:t>
      </w:r>
    </w:p>
    <w:p>
      <w:pPr>
        <w:keepNext/>
        <w:spacing w:before="280" w:after="160"/>
      </w:pPr>
      <w:r>
        <w:rPr>
          <w:rFonts w:ascii="Times New Roman" w:hAnsi="Times New Roman"/>
          <w:b/>
          <w:color w:val="1F497D"/>
          <w:sz w:val="32"/>
        </w:rPr>
        <w:t>2.4 Virtual Private Network (VPN) Technologies and Interconnection</w:t>
      </w:r>
    </w:p>
    <w:p>
      <w:pPr>
        <w:keepNext/>
        <w:spacing w:before="240" w:after="120"/>
      </w:pPr>
      <w:r>
        <w:rPr>
          <w:rFonts w:ascii="Times New Roman" w:hAnsi="Times New Roman"/>
          <w:b/>
          <w:color w:val="366092"/>
          <w:sz w:val="27"/>
        </w:rPr>
        <w:t>2.4.1 IPsec Protocol Architecture</w:t>
      </w:r>
    </w:p>
    <w:p>
      <w:pPr>
        <w:spacing w:after="120" w:line="300" w:lineRule="auto"/>
      </w:pPr>
      <w:r>
        <w:rPr>
          <w:rFonts w:ascii="Times New Roman" w:hAnsi="Times New Roman"/>
          <w:sz w:val="24"/>
        </w:rPr>
        <w:t>Internet Protocol Security (IPsec) is a suite of protocols operating at the Network Layer (OSI Layer 3) providing data confidentiality, data integrity, origin authentication, and anti-replay protection (Kent &amp; Seo, 2005). In site-to-site cloud connections:</w:t>
      </w:r>
    </w:p>
    <w:p>
      <w:pPr>
        <w:pStyle w:val="ListBullet"/>
        <w:spacing w:after="80"/>
        <w:ind w:left="360"/>
      </w:pPr>
      <w:r>
        <w:rPr>
          <w:rFonts w:ascii="Times New Roman" w:hAnsi="Times New Roman"/>
          <w:b/>
          <w:sz w:val="24"/>
        </w:rPr>
        <w:t>Encapsulating Security Payload (ESP)</w:t>
      </w:r>
      <w:r>
        <w:rPr>
          <w:rFonts w:ascii="Times New Roman" w:hAnsi="Times New Roman"/>
          <w:sz w:val="24"/>
        </w:rPr>
        <w:t xml:space="preserve"> encrypts the IP packet payload and authenticates packet headers.</w:t>
      </w:r>
    </w:p>
    <w:p>
      <w:pPr>
        <w:pStyle w:val="ListBullet"/>
        <w:spacing w:after="80"/>
        <w:ind w:left="360"/>
      </w:pPr>
      <w:r>
        <w:rPr>
          <w:rFonts w:ascii="Times New Roman" w:hAnsi="Times New Roman"/>
          <w:b/>
          <w:sz w:val="24"/>
        </w:rPr>
        <w:t>Internet Key Exchange (IKEv2)</w:t>
      </w:r>
      <w:r>
        <w:rPr>
          <w:rFonts w:ascii="Times New Roman" w:hAnsi="Times New Roman"/>
          <w:sz w:val="24"/>
        </w:rPr>
        <w:t xml:space="preserve"> negotiates Security Associations (SAs), exchanges Diffie-Hellman cryptographic keys, and authenticates endpoints using Pre-Shared Keys (PSKs) or X.509 digital certificates.</w:t>
      </w:r>
    </w:p>
    <w:p>
      <w:pPr>
        <w:spacing w:after="120" w:line="300" w:lineRule="auto"/>
      </w:pPr>
      <w:r>
        <w:rPr>
          <w:rFonts w:ascii="Times New Roman" w:hAnsi="Times New Roman"/>
          <w:sz w:val="24"/>
        </w:rPr>
        <w:t>In inter-cloud designs, cryptographic parameters—including IKE version (IKEv2), Encryption (AES-256), Integrity (SHA-256), and Diffie-Hellman Groups (Group 14 or higher)—must be strictly aligned between AWS and Azure endpoints. Parameter mismatches result in Phase 1 or Phase 2 negotiation failure.</w:t>
      </w:r>
    </w:p>
    <w:p>
      <w:pPr>
        <w:keepNext/>
        <w:spacing w:before="240" w:after="120"/>
      </w:pPr>
      <w:r>
        <w:rPr>
          <w:rFonts w:ascii="Times New Roman" w:hAnsi="Times New Roman"/>
          <w:b/>
          <w:color w:val="366092"/>
          <w:sz w:val="27"/>
        </w:rPr>
        <w:t>2.4.2 Route-Based VPN vs. Policy-Based VPN</w:t>
      </w:r>
    </w:p>
    <w:p>
      <w:pPr>
        <w:spacing w:after="120" w:line="300" w:lineRule="auto"/>
      </w:pPr>
      <w:r>
        <w:rPr>
          <w:rFonts w:ascii="Times New Roman" w:hAnsi="Times New Roman"/>
          <w:sz w:val="24"/>
        </w:rPr>
        <w:t>Policy-based VPNs select traffic for encryption using hardcoded source and destination IP combinations (access control lists). Route-based VPNs create virtual routed tunnel interfaces (VTI), directing traffic into the tunnel based on network routing table entries. Route-based VPNs are vastly superior for multi-cloud hub-and-spoke topologies because they decouple encryption policies from network topology, support multiple address prefixes seamlessly, and enable dynamic routing via Border Gateway Protocol (BGP).</w:t>
      </w:r>
    </w:p>
    <w:p>
      <w:pPr>
        <w:keepNext/>
        <w:spacing w:before="240" w:after="120"/>
      </w:pPr>
      <w:r>
        <w:rPr>
          <w:rFonts w:ascii="Times New Roman" w:hAnsi="Times New Roman"/>
          <w:b/>
          <w:color w:val="366092"/>
          <w:sz w:val="27"/>
        </w:rPr>
        <w:t>2.4.3 Border Gateway Protocol (BGP) and Multi-Tunnel Resilience</w:t>
      </w:r>
    </w:p>
    <w:p>
      <w:pPr>
        <w:spacing w:after="120" w:line="300" w:lineRule="auto"/>
      </w:pPr>
      <w:r>
        <w:rPr>
          <w:rFonts w:ascii="Times New Roman" w:hAnsi="Times New Roman"/>
          <w:sz w:val="24"/>
        </w:rPr>
        <w:t>Border Gateway Protocol (BGP-4; Rekhter et al., 2006) enables dynamic route propagation between autonomous networks. In AWS–Azure connections, each cloud gateway is assigned a private Autonomous System Number (ASN)—for example, AWS TGW (ASN 64512) and Azure VPN Gateway (ASN 65515). BGP peers exchange reachability information dynamically.</w:t>
      </w:r>
    </w:p>
    <w:p>
      <w:pPr>
        <w:spacing w:after="120" w:line="300" w:lineRule="auto"/>
      </w:pPr>
      <w:r>
        <w:rPr>
          <w:rFonts w:ascii="Times New Roman" w:hAnsi="Times New Roman"/>
          <w:sz w:val="24"/>
        </w:rPr>
        <w:t>If an active IPsec tunnel fails, BGP liveness detection (Keepalive timers or Bidirectional Forwarding Detection [BFD]) withdraws the failed route, enabling traffic to failover automatically to an alternative active tunnel. However, BGP route advertisements must be strictly filtered to prevent unintended prefix leakage across clouds.</w:t>
      </w:r>
    </w:p>
    <w:p>
      <w:pPr>
        <w:spacing w:before="120" w:after="120"/>
        <w:ind w:left="576" w:right="576"/>
      </w:pPr>
      <w:r>
        <w:rPr>
          <w:rFonts w:ascii="Consolas" w:hAnsi="Consolas"/>
          <w:color w:val="1F2937"/>
          <w:sz w:val="19"/>
        </w:rPr>
        <w:t>flowchart LR</w:t>
        <w:br/>
        <w:t xml:space="preserve">    subgraph AWS_Cloud ["AWS Environment (ASN 64512)"]</w:t>
        <w:br/>
        <w:t xml:space="preserve">        TGW[AWS Transit Gateway]</w:t>
        <w:br/>
        <w:t xml:space="preserve">        VPC[AWS Workload VPC]</w:t>
        <w:br/>
        <w:t xml:space="preserve">        TGW --- VPC</w:t>
        <w:br/>
        <w:t xml:space="preserve">    end</w:t>
        <w:br/>
        <w:br/>
        <w:t xml:space="preserve">    subgraph Azure_Cloud ["Azure Environment (ASN 65515)"]</w:t>
        <w:br/>
        <w:t xml:space="preserve">        VNG[Azure Active-Active VPN Gateway]</w:t>
        <w:br/>
        <w:t xml:space="preserve">        VNet[Azure Hub VNet]</w:t>
        <w:br/>
        <w:t xml:space="preserve">        VNG --- VNet</w:t>
        <w:br/>
        <w:t xml:space="preserve">    end</w:t>
        <w:br/>
        <w:br/>
        <w:t xml:space="preserve">    subgraph IPsec_Tunnels ["Encrypted Inter-Cloud Transport"]</w:t>
        <w:br/>
        <w:t xml:space="preserve">        T1["IPsec Tunnel 1 (Primary BGP Route)"]</w:t>
        <w:br/>
        <w:t xml:space="preserve">        T2["IPsec Tunnel 2 (Secondary/Redundant BGP Route)"]</w:t>
        <w:br/>
        <w:t xml:space="preserve">    end</w:t>
        <w:br/>
        <w:br/>
        <w:t xml:space="preserve">    TGW &lt;==&gt; T1 &lt;==&gt; VNG</w:t>
        <w:br/>
        <w:t xml:space="preserve">    TGW &lt;==&gt; T2 &lt;==&gt; VNG</w:t>
        <w:br/>
        <w:br/>
        <w:t xml:space="preserve">    style T1 stroke:#2b8a3e,stroke-width:2px;</w:t>
        <w:br/>
        <w:t xml:space="preserve">    style T2 stroke:#2b8a3e,stroke-width:2px;</w:t>
      </w:r>
    </w:p>
    <w:p>
      <w:pPr>
        <w:spacing w:after="120" w:line="300" w:lineRule="auto"/>
      </w:pPr>
      <w:r>
        <w:rPr>
          <w:rFonts w:ascii="Times New Roman" w:hAnsi="Times New Roman"/>
          <w:b/>
          <w:sz w:val="24"/>
        </w:rPr>
        <w:t>Figure 2.2: Active-Active BGP-Enabled Route-Based IPsec Interconnection Between AWS and Azure</w:t>
      </w:r>
    </w:p>
    <w:p>
      <w:pPr>
        <w:keepNext/>
        <w:spacing w:before="240" w:after="120"/>
      </w:pPr>
      <w:r>
        <w:rPr>
          <w:rFonts w:ascii="Times New Roman" w:hAnsi="Times New Roman"/>
          <w:b/>
          <w:color w:val="366092"/>
          <w:sz w:val="27"/>
        </w:rPr>
        <w:t>2.4.4 Section Synthesis and Alignment with Proposed Artefact</w:t>
      </w:r>
    </w:p>
    <w:p>
      <w:pPr>
        <w:spacing w:after="120" w:line="300" w:lineRule="auto"/>
      </w:pPr>
      <w:r>
        <w:rPr>
          <w:rFonts w:ascii="Times New Roman" w:hAnsi="Times New Roman"/>
          <w:sz w:val="24"/>
        </w:rPr>
        <w:t>An IPsec VPN guarantees encrypted transport across the untrusted Internet, but it does not evaluate whether the payload traffic is authorized. Furthermore, path failover depends on dynamic BGP routing rather than static configurations.</w:t>
      </w:r>
    </w:p>
    <w:p>
      <w:pPr>
        <w:spacing w:after="120" w:line="300" w:lineRule="auto"/>
      </w:pPr>
      <w:r>
        <w:rPr>
          <w:rFonts w:ascii="Times New Roman" w:hAnsi="Times New Roman"/>
          <w:b/>
          <w:sz w:val="24"/>
        </w:rPr>
        <w:t>Link to Proposed Artefact</w:t>
      </w:r>
      <w:r>
        <w:rPr>
          <w:rFonts w:ascii="Times New Roman" w:hAnsi="Times New Roman"/>
          <w:sz w:val="24"/>
        </w:rPr>
        <w:t xml:space="preserve">: The proposed artefact implements a </w:t>
      </w:r>
      <w:r>
        <w:rPr>
          <w:rFonts w:ascii="Times New Roman" w:hAnsi="Times New Roman"/>
          <w:b/>
          <w:sz w:val="24"/>
        </w:rPr>
        <w:t>Route-Based IKEv2 IPsec VPN with BGP dynamic routing</w:t>
      </w:r>
      <w:r>
        <w:rPr>
          <w:rFonts w:ascii="Times New Roman" w:hAnsi="Times New Roman"/>
          <w:sz w:val="24"/>
        </w:rPr>
        <w:t xml:space="preserve"> connecting AWS Transit Gateway and Azure VPN Gateway. Cryptographic parameters are standardized on AES-256/SHA-256/DH-14, and BGP route advertisements are restricted strictly to approved workload CIDRs (10.10.0.0/16 and 10.20.0.0/16).</w:t>
      </w:r>
    </w:p>
    <w:p>
      <w:pPr>
        <w:spacing w:before="120" w:after="120"/>
      </w:pPr>
      <w:r>
        <w:rPr>
          <w:color w:val="CCCCCC"/>
        </w:rPr>
        <w:t>――――――――――――――――――――――――――――――――――――――――――――――――――</w:t>
      </w:r>
    </w:p>
    <w:p>
      <w:pPr>
        <w:keepNext/>
        <w:spacing w:before="280" w:after="160"/>
      </w:pPr>
      <w:r>
        <w:rPr>
          <w:rFonts w:ascii="Times New Roman" w:hAnsi="Times New Roman"/>
          <w:b/>
          <w:color w:val="1F497D"/>
          <w:sz w:val="32"/>
        </w:rPr>
        <w:t>2.5 Zero Trust Architecture (ZTA) and Defence-in-Depth</w:t>
      </w:r>
    </w:p>
    <w:p>
      <w:pPr>
        <w:keepNext/>
        <w:spacing w:before="240" w:after="120"/>
      </w:pPr>
      <w:r>
        <w:rPr>
          <w:rFonts w:ascii="Times New Roman" w:hAnsi="Times New Roman"/>
          <w:b/>
          <w:color w:val="366092"/>
          <w:sz w:val="27"/>
        </w:rPr>
        <w:t>2.5.1 Evolution of Zero Trust Security Theory</w:t>
      </w:r>
    </w:p>
    <w:p>
      <w:pPr>
        <w:spacing w:after="120" w:line="300" w:lineRule="auto"/>
      </w:pPr>
      <w:r>
        <w:rPr>
          <w:rFonts w:ascii="Times New Roman" w:hAnsi="Times New Roman"/>
          <w:sz w:val="24"/>
        </w:rPr>
        <w:t xml:space="preserve">Traditional perimeter defense ("castle-and-moat") assumes that entities inside a private network are trustworthy. Cloud computing, remote workforce access, and multi-cloud distribution render this model obsolete (Rose et al., 2020). Zero Trust Architecture (ZTA) rejects implicit trust based on network location. Its core axiom is </w:t>
      </w:r>
      <w:r>
        <w:rPr>
          <w:rFonts w:ascii="Times New Roman" w:hAnsi="Times New Roman"/>
          <w:b/>
          <w:sz w:val="24"/>
        </w:rPr>
        <w:t>"never trust, always verify"</w:t>
      </w:r>
      <w:r>
        <w:rPr>
          <w:rFonts w:ascii="Times New Roman" w:hAnsi="Times New Roman"/>
          <w:sz w:val="24"/>
        </w:rPr>
        <w:t>—every request must be authenticated, authorized, and continuously validated against context-aware policies before access is granted (Syed et al., 2022; Sarkar et al., 2022).</w:t>
      </w:r>
    </w:p>
    <w:p>
      <w:pPr>
        <w:spacing w:after="120" w:line="300" w:lineRule="auto"/>
      </w:pPr>
      <w:r>
        <w:rPr>
          <w:rFonts w:ascii="Times New Roman" w:hAnsi="Times New Roman"/>
          <w:sz w:val="24"/>
        </w:rPr>
        <w:t>NIST SP 800-207 defines seven core tenets of Zero Trust:</w:t>
      </w:r>
    </w:p>
    <w:p>
      <w:pPr>
        <w:pStyle w:val="ListNumber"/>
        <w:spacing w:after="80"/>
        <w:ind w:left="360"/>
      </w:pPr>
      <w:r>
        <w:rPr>
          <w:rFonts w:ascii="Times New Roman" w:hAnsi="Times New Roman"/>
          <w:sz w:val="24"/>
        </w:rPr>
        <w:t>All data sources and computing services are considered resources.</w:t>
      </w:r>
    </w:p>
    <w:p>
      <w:pPr>
        <w:pStyle w:val="ListNumber"/>
        <w:spacing w:after="80"/>
        <w:ind w:left="360"/>
      </w:pPr>
      <w:r>
        <w:rPr>
          <w:rFonts w:ascii="Times New Roman" w:hAnsi="Times New Roman"/>
          <w:sz w:val="24"/>
        </w:rPr>
        <w:t>All communication is secured regardless of network location.</w:t>
      </w:r>
    </w:p>
    <w:p>
      <w:pPr>
        <w:pStyle w:val="ListNumber"/>
        <w:spacing w:after="80"/>
        <w:ind w:left="360"/>
      </w:pPr>
      <w:r>
        <w:rPr>
          <w:rFonts w:ascii="Times New Roman" w:hAnsi="Times New Roman"/>
          <w:sz w:val="24"/>
        </w:rPr>
        <w:t>Access to individual enterprise resources is granted on a per-session basis.</w:t>
      </w:r>
    </w:p>
    <w:p>
      <w:pPr>
        <w:pStyle w:val="ListNumber"/>
        <w:spacing w:after="80"/>
        <w:ind w:left="360"/>
      </w:pPr>
      <w:r>
        <w:rPr>
          <w:rFonts w:ascii="Times New Roman" w:hAnsi="Times New Roman"/>
          <w:sz w:val="24"/>
        </w:rPr>
        <w:t>Access is determined by dynamic policy (identity, asset posture, context).</w:t>
      </w:r>
    </w:p>
    <w:p>
      <w:pPr>
        <w:pStyle w:val="ListNumber"/>
        <w:spacing w:after="80"/>
        <w:ind w:left="360"/>
      </w:pPr>
      <w:r>
        <w:rPr>
          <w:rFonts w:ascii="Times New Roman" w:hAnsi="Times New Roman"/>
          <w:sz w:val="24"/>
        </w:rPr>
        <w:t>The enterprise monitors and measures the integrity and security posture of all assets.</w:t>
      </w:r>
    </w:p>
    <w:p>
      <w:pPr>
        <w:pStyle w:val="ListNumber"/>
        <w:spacing w:after="80"/>
        <w:ind w:left="360"/>
      </w:pPr>
      <w:r>
        <w:rPr>
          <w:rFonts w:ascii="Times New Roman" w:hAnsi="Times New Roman"/>
          <w:sz w:val="24"/>
        </w:rPr>
        <w:t>All resource authentication and authorization are dynamic and strictly enforced.</w:t>
      </w:r>
    </w:p>
    <w:p>
      <w:pPr>
        <w:pStyle w:val="ListNumber"/>
        <w:spacing w:after="80"/>
        <w:ind w:left="360"/>
      </w:pPr>
      <w:r>
        <w:rPr>
          <w:rFonts w:ascii="Times New Roman" w:hAnsi="Times New Roman"/>
          <w:sz w:val="24"/>
        </w:rPr>
        <w:t>The enterprise collects detailed telemetry to improve security posture.</w:t>
      </w:r>
    </w:p>
    <w:p>
      <w:pPr>
        <w:keepNext/>
        <w:spacing w:before="240" w:after="120"/>
      </w:pPr>
      <w:r>
        <w:rPr>
          <w:rFonts w:ascii="Times New Roman" w:hAnsi="Times New Roman"/>
          <w:b/>
          <w:color w:val="366092"/>
          <w:sz w:val="27"/>
        </w:rPr>
        <w:t>2.5.2 Operationalizing Zero Trust in Multi-Cloud (NIST SP 800-207A)</w:t>
      </w:r>
    </w:p>
    <w:p>
      <w:pPr>
        <w:spacing w:after="120" w:line="300" w:lineRule="auto"/>
      </w:pPr>
      <w:r>
        <w:rPr>
          <w:rFonts w:ascii="Times New Roman" w:hAnsi="Times New Roman"/>
          <w:sz w:val="24"/>
        </w:rPr>
        <w:t>NIST SP 800-207A (Chandramouli &amp; Butcher, 2023) extends Zero Trust principles to cloud-native applications across multi-location environments. It separates ZTA into logical control planes:</w:t>
      </w:r>
    </w:p>
    <w:p>
      <w:pPr>
        <w:pStyle w:val="ListBullet"/>
        <w:spacing w:after="80"/>
        <w:ind w:left="360"/>
      </w:pPr>
      <w:r>
        <w:rPr>
          <w:rFonts w:ascii="Times New Roman" w:hAnsi="Times New Roman"/>
          <w:b/>
          <w:sz w:val="24"/>
        </w:rPr>
        <w:t>Policy Engine (PE)</w:t>
      </w:r>
      <w:r>
        <w:rPr>
          <w:rFonts w:ascii="Times New Roman" w:hAnsi="Times New Roman"/>
          <w:sz w:val="24"/>
        </w:rPr>
        <w:t>: Evaluates access requests against policy baselines to make access decisions.</w:t>
      </w:r>
    </w:p>
    <w:p>
      <w:pPr>
        <w:pStyle w:val="ListBullet"/>
        <w:spacing w:after="80"/>
        <w:ind w:left="360"/>
      </w:pPr>
      <w:r>
        <w:rPr>
          <w:rFonts w:ascii="Times New Roman" w:hAnsi="Times New Roman"/>
          <w:b/>
          <w:sz w:val="24"/>
        </w:rPr>
        <w:t>Policy Administrator (PA)</w:t>
      </w:r>
      <w:r>
        <w:rPr>
          <w:rFonts w:ascii="Times New Roman" w:hAnsi="Times New Roman"/>
          <w:sz w:val="24"/>
        </w:rPr>
        <w:t>: Issues credentials or commands enforcement points to establish/terminate sessions.</w:t>
      </w:r>
    </w:p>
    <w:p>
      <w:pPr>
        <w:pStyle w:val="ListBullet"/>
        <w:spacing w:after="80"/>
        <w:ind w:left="360"/>
      </w:pPr>
      <w:r>
        <w:rPr>
          <w:rFonts w:ascii="Times New Roman" w:hAnsi="Times New Roman"/>
          <w:b/>
          <w:sz w:val="24"/>
        </w:rPr>
        <w:t>Policy Enforcement Points (PEPs)</w:t>
      </w:r>
      <w:r>
        <w:rPr>
          <w:rFonts w:ascii="Times New Roman" w:hAnsi="Times New Roman"/>
          <w:sz w:val="24"/>
        </w:rPr>
        <w:t>: Intercepts and controls communications between resources (e.g., Security Groups, NSGs, API Gateways).</w:t>
      </w:r>
    </w:p>
    <w:p>
      <w:pPr>
        <w:spacing w:before="120" w:after="120"/>
        <w:ind w:left="576" w:right="576"/>
      </w:pPr>
      <w:r>
        <w:rPr>
          <w:rFonts w:ascii="Consolas" w:hAnsi="Consolas"/>
          <w:color w:val="1F2937"/>
          <w:sz w:val="19"/>
        </w:rPr>
        <w:t>flowchart TD</w:t>
        <w:br/>
        <w:t xml:space="preserve">    subgraph ControlPlane ["Zero Trust Control Plane (Policy Engine &amp; Administrator)"]</w:t>
        <w:br/>
        <w:t xml:space="preserve">        Entra[Microsoft Entra ID / Conditional Access]</w:t>
        <w:br/>
        <w:t xml:space="preserve">        AWS_IdC[AWS IAM Identity Center / IAM Policies]</w:t>
        <w:br/>
        <w:t xml:space="preserve">    end</w:t>
        <w:br/>
        <w:br/>
        <w:t xml:space="preserve">    subgraph Telemetry ["Continuous Diagnostics &amp; Context"]</w:t>
        <w:br/>
        <w:t xml:space="preserve">        Logs[CloudTrail, Activity Logs, VPC Flow Logs, GuardDuty, Defender]</w:t>
        <w:br/>
        <w:t xml:space="preserve">    end</w:t>
        <w:br/>
        <w:br/>
        <w:t xml:space="preserve">    subgraph EnforcementPlane ["Policy Enforcement Points (PEPs)"]</w:t>
        <w:br/>
        <w:t xml:space="preserve">        PEP1[AWS Security Groups &amp; NACLs]</w:t>
        <w:br/>
        <w:t xml:space="preserve">        PEP2[Azure Network Security Groups]</w:t>
        <w:br/>
        <w:t xml:space="preserve">        PEP3[Inter-Cloud IPsec VPN Gateway]</w:t>
        <w:br/>
        <w:t xml:space="preserve">    end</w:t>
        <w:br/>
        <w:br/>
        <w:t xml:space="preserve">    subgraph Resources ["Enterprise Workload Tiers"]</w:t>
        <w:br/>
        <w:t xml:space="preserve">        Web[AWS Web Tier]</w:t>
        <w:br/>
        <w:t xml:space="preserve">        App[AWS App Tier]</w:t>
        <w:br/>
        <w:t xml:space="preserve">        DB[(AWS Database Tier)]</w:t>
        <w:br/>
        <w:t xml:space="preserve">        AzApp[Azure Supporting Service]</w:t>
        <w:br/>
        <w:t xml:space="preserve">    end</w:t>
        <w:br/>
        <w:br/>
        <w:t xml:space="preserve">    Entra &amp; AWS_IdC --&gt; EnforcementPlane</w:t>
        <w:br/>
        <w:t xml:space="preserve">    Telemetry --&gt; ControlPlane</w:t>
        <w:br/>
        <w:t xml:space="preserve">    EnforcementPlane --&gt; |"Filter &amp; Authorise"| Web &amp; App &amp; DB &amp; AzApp</w:t>
      </w:r>
    </w:p>
    <w:p>
      <w:pPr>
        <w:spacing w:after="120" w:line="300" w:lineRule="auto"/>
      </w:pPr>
      <w:r>
        <w:rPr>
          <w:rFonts w:ascii="Times New Roman" w:hAnsi="Times New Roman"/>
          <w:b/>
          <w:sz w:val="24"/>
        </w:rPr>
        <w:t>Figure 2.3: Zero Trust Control, Enforcement, and Telemetry Planes in AWS–Azure Environment</w:t>
      </w:r>
    </w:p>
    <w:p>
      <w:pPr>
        <w:keepNext/>
        <w:spacing w:before="240" w:after="120"/>
      </w:pPr>
      <w:r>
        <w:rPr>
          <w:rFonts w:ascii="Times New Roman" w:hAnsi="Times New Roman"/>
          <w:b/>
          <w:color w:val="366092"/>
          <w:sz w:val="27"/>
        </w:rPr>
        <w:t>2.5.3 Micro-Segmentation and Defence-in-Depth</w:t>
      </w:r>
    </w:p>
    <w:p>
      <w:pPr>
        <w:spacing w:after="120" w:line="300" w:lineRule="auto"/>
      </w:pPr>
      <w:r>
        <w:rPr>
          <w:rFonts w:ascii="Times New Roman" w:hAnsi="Times New Roman"/>
          <w:sz w:val="24"/>
        </w:rPr>
        <w:t xml:space="preserve">Micro-segmentation isolates workloads into granular security zones, restricting lateral movement if a component is compromised (Mushtaq et al., 2025). Coupled with </w:t>
      </w:r>
      <w:r>
        <w:rPr>
          <w:rFonts w:ascii="Times New Roman" w:hAnsi="Times New Roman"/>
          <w:b/>
          <w:sz w:val="24"/>
        </w:rPr>
        <w:t>Defence-in-Depth</w:t>
      </w:r>
      <w:r>
        <w:rPr>
          <w:rFonts w:ascii="Times New Roman" w:hAnsi="Times New Roman"/>
          <w:sz w:val="24"/>
        </w:rPr>
        <w:t>—applying layered, overlapping controls—a failure in one security layer (e.g., a misconfigured route) is mitigated by secondary controls (e.g., host firewalls, database authentication, and Security Group rules).</w:t>
      </w:r>
    </w:p>
    <w:p>
      <w:pPr>
        <w:keepNext/>
        <w:spacing w:before="240" w:after="120"/>
      </w:pPr>
      <w:r>
        <w:rPr>
          <w:rFonts w:ascii="Times New Roman" w:hAnsi="Times New Roman"/>
          <w:b/>
          <w:color w:val="366092"/>
          <w:sz w:val="27"/>
        </w:rPr>
        <w:t>2.5.4 Section Synthesis and Alignment with Proposed Artefact</w:t>
      </w:r>
    </w:p>
    <w:p>
      <w:pPr>
        <w:spacing w:after="120" w:line="300" w:lineRule="auto"/>
      </w:pPr>
      <w:r>
        <w:rPr>
          <w:rFonts w:ascii="Times New Roman" w:hAnsi="Times New Roman"/>
          <w:sz w:val="24"/>
        </w:rPr>
        <w:t>Zero Trust is an architectural strategy, not a software product. Encrypted VPN tunnels provide secure transport, but Zero Trust controls must decide which application flows are permitted inside those tunnels.</w:t>
      </w:r>
    </w:p>
    <w:p>
      <w:pPr>
        <w:spacing w:after="120" w:line="300" w:lineRule="auto"/>
      </w:pPr>
      <w:r>
        <w:rPr>
          <w:rFonts w:ascii="Times New Roman" w:hAnsi="Times New Roman"/>
          <w:b/>
          <w:sz w:val="24"/>
        </w:rPr>
        <w:t>Link to Proposed Artefact</w:t>
      </w:r>
      <w:r>
        <w:rPr>
          <w:rFonts w:ascii="Times New Roman" w:hAnsi="Times New Roman"/>
          <w:sz w:val="24"/>
        </w:rPr>
        <w:t xml:space="preserve">: The project operationalizes Zero Trust by mapping NIST policy functions directly to native cloud services: Microsoft Entra ID and AWS IAM serve as the Policy Engine/Administrator, while Security Groups, NSGs, and IPsec VTIs function as Policy Enforcement Points. Micro-segmentation is enforced via a strict </w:t>
      </w:r>
      <w:r>
        <w:rPr>
          <w:rFonts w:ascii="Times New Roman" w:hAnsi="Times New Roman"/>
          <w:b/>
          <w:sz w:val="24"/>
        </w:rPr>
        <w:t>Traffic-Flow Matrix</w:t>
      </w:r>
      <w:r>
        <w:rPr>
          <w:rFonts w:ascii="Times New Roman" w:hAnsi="Times New Roman"/>
          <w:sz w:val="24"/>
        </w:rPr>
        <w:t>, prohibiting direct web-to-database and cross-cloud database access.</w:t>
      </w:r>
    </w:p>
    <w:p>
      <w:pPr>
        <w:spacing w:before="120" w:after="120"/>
      </w:pPr>
      <w:r>
        <w:rPr>
          <w:color w:val="CCCCCC"/>
        </w:rPr>
        <w:t>――――――――――――――――――――――――――――――――――――――――――――――――――</w:t>
      </w:r>
    </w:p>
    <w:p>
      <w:pPr>
        <w:keepNext/>
        <w:spacing w:before="280" w:after="160"/>
      </w:pPr>
      <w:r>
        <w:rPr>
          <w:rFonts w:ascii="Times New Roman" w:hAnsi="Times New Roman"/>
          <w:b/>
          <w:color w:val="1F497D"/>
          <w:sz w:val="32"/>
        </w:rPr>
        <w:t>2.6 Cloud Security Alliance (CSA) Cloud Controls Matrix (CCM)</w:t>
      </w:r>
    </w:p>
    <w:p>
      <w:pPr>
        <w:keepNext/>
        <w:spacing w:before="240" w:after="120"/>
      </w:pPr>
      <w:r>
        <w:rPr>
          <w:rFonts w:ascii="Times New Roman" w:hAnsi="Times New Roman"/>
          <w:b/>
          <w:color w:val="366092"/>
          <w:sz w:val="27"/>
        </w:rPr>
        <w:t>2.6.1 Governance and Assurance Frameworks</w:t>
      </w:r>
    </w:p>
    <w:p>
      <w:pPr>
        <w:spacing w:after="120" w:line="300" w:lineRule="auto"/>
      </w:pPr>
      <w:r>
        <w:rPr>
          <w:rFonts w:ascii="Times New Roman" w:hAnsi="Times New Roman"/>
          <w:sz w:val="24"/>
        </w:rPr>
        <w:t>The Cloud Security Alliance (CSA) Cloud Controls Matrix (CCM v4.1) is a vendor-neutral cybersecurity control framework designed specifically for cloud environments (Cloud Security Alliance, 2026). It structures cloud security into 17 domains comprising 207 control objectives.</w:t>
      </w:r>
    </w:p>
    <w:p>
      <w:pPr>
        <w:keepNext/>
        <w:spacing w:before="240" w:after="120"/>
      </w:pPr>
      <w:r>
        <w:rPr>
          <w:rFonts w:ascii="Times New Roman" w:hAnsi="Times New Roman"/>
          <w:b/>
          <w:color w:val="366092"/>
          <w:sz w:val="27"/>
        </w:rPr>
        <w:t>2.6.2 Mapping Relevant CCM v4.1 Domains to the Multi-Cloud Artefact</w:t>
      </w:r>
    </w:p>
    <w:tbl>
      <w:tblPr>
        <w:tblW w:type="auto" w:w="0"/>
        <w:jc w:val="center"/>
        <w:tblLayout w:type="fixed"/>
        <w:tblLook w:firstColumn="1" w:firstRow="1" w:lastColumn="0" w:lastRow="0" w:noHBand="0" w:noVBand="1" w:val="04A0"/>
      </w:tblPr>
      <w:tblGrid>
        <w:gridCol w:w="3120"/>
        <w:gridCol w:w="3120"/>
        <w:gridCol w:w="3120"/>
      </w:tblGrid>
      <w:tr>
        <w:tc>
          <w:tcPr>
            <w:tcW w:type="dxa" w:w="312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CCM Domain</w:t>
            </w:r>
          </w:p>
        </w:tc>
        <w:tc>
          <w:tcPr>
            <w:tcW w:type="dxa" w:w="312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Domain Focus</w:t>
            </w:r>
          </w:p>
        </w:tc>
        <w:tc>
          <w:tcPr>
            <w:tcW w:type="dxa" w:w="312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Artefact Implementation Mapping</w:t>
            </w:r>
          </w:p>
        </w:tc>
      </w:tr>
      <w:tr>
        <w:tc>
          <w:tcPr>
            <w:tcW w:type="dxa" w:w="312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IAM (Identity &amp; Access Management)</w:t>
            </w:r>
          </w:p>
        </w:tc>
        <w:tc>
          <w:tcPr>
            <w:tcW w:type="dxa" w:w="312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Federation, RBAC, least privilege, credential governance</w:t>
            </w:r>
          </w:p>
        </w:tc>
        <w:tc>
          <w:tcPr>
            <w:tcW w:type="dxa" w:w="312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Entra ID SAML 2.0 federation to AWS IAM Identity Center; SCIM provisioning; short-lived STS tokens.</w:t>
            </w:r>
          </w:p>
        </w:tc>
      </w:tr>
      <w:tr>
        <w:tc>
          <w:tcPr>
            <w:tcW w:type="dxa" w:w="312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IVS (Infrastructure &amp; Virtualisation)</w:t>
            </w:r>
          </w:p>
        </w:tc>
        <w:tc>
          <w:tcPr>
            <w:tcW w:type="dxa" w:w="312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Network segmentation, interface protection, isolated subnets</w:t>
            </w:r>
          </w:p>
        </w:tc>
        <w:tc>
          <w:tcPr>
            <w:tcW w:type="dxa" w:w="312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Segmented VPC/VNet subnets; AWS TGW; Azure Hub VNet; Security Groups &amp; NSGs.</w:t>
            </w:r>
          </w:p>
        </w:tc>
      </w:tr>
      <w:tr>
        <w:tc>
          <w:tcPr>
            <w:tcW w:type="dxa" w:w="312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CEK (Cryptography, Encryption &amp; Key Mgt)</w:t>
            </w:r>
          </w:p>
        </w:tc>
        <w:tc>
          <w:tcPr>
            <w:tcW w:type="dxa" w:w="312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Data in transit &amp; rest encryption, key lifecycle management</w:t>
            </w:r>
          </w:p>
        </w:tc>
        <w:tc>
          <w:tcPr>
            <w:tcW w:type="dxa" w:w="312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IPsec AES-256 inter-cloud encryption; AWS KMS customer-managed keys; Azure Key Vault.</w:t>
            </w:r>
          </w:p>
        </w:tc>
      </w:tr>
      <w:tr>
        <w:tc>
          <w:tcPr>
            <w:tcW w:type="dxa" w:w="312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LOG (Logging &amp; Monitoring)</w:t>
            </w:r>
          </w:p>
        </w:tc>
        <w:tc>
          <w:tcPr>
            <w:tcW w:type="dxa" w:w="312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Audit logging, event retention, telemetry protection</w:t>
            </w:r>
          </w:p>
        </w:tc>
        <w:tc>
          <w:tcPr>
            <w:tcW w:type="dxa" w:w="312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AWS CloudTrail, VPC Flow Logs, CloudWatch; Azure Activity Logs, Log Analytics workspace.</w:t>
            </w:r>
          </w:p>
        </w:tc>
      </w:tr>
      <w:tr>
        <w:tc>
          <w:tcPr>
            <w:tcW w:type="dxa" w:w="312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DSP (Data Security &amp; Privacy)</w:t>
            </w:r>
          </w:p>
        </w:tc>
        <w:tc>
          <w:tcPr>
            <w:tcW w:type="dxa" w:w="312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Classification, cross-border data movement, residency</w:t>
            </w:r>
          </w:p>
        </w:tc>
        <w:tc>
          <w:tcPr>
            <w:tcW w:type="dxa" w:w="312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Synthetic data isolation; alignment with NDPA 2023 &amp; National Cloud Policy 2025 data governance rules.</w:t>
            </w:r>
          </w:p>
        </w:tc>
      </w:tr>
      <w:tr>
        <w:tc>
          <w:tcPr>
            <w:tcW w:type="dxa" w:w="312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BCR (Business Continuity &amp; Resilience)</w:t>
            </w:r>
          </w:p>
        </w:tc>
        <w:tc>
          <w:tcPr>
            <w:tcW w:type="dxa" w:w="312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Redundancy, failover recovery, RTO measurement</w:t>
            </w:r>
          </w:p>
        </w:tc>
        <w:tc>
          <w:tcPr>
            <w:tcW w:type="dxa" w:w="312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Active-active Azure VPN Gateway; dual-tunnel AWS Site-to-Site VPN; BGP failover testing.</w:t>
            </w:r>
          </w:p>
        </w:tc>
      </w:tr>
      <w:tr>
        <w:tc>
          <w:tcPr>
            <w:tcW w:type="dxa" w:w="312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TVM (Threat &amp; Vulnerability Mgt)</w:t>
            </w:r>
          </w:p>
        </w:tc>
        <w:tc>
          <w:tcPr>
            <w:tcW w:type="dxa" w:w="312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Vulnerability scanning, posture auditing, remediation</w:t>
            </w:r>
          </w:p>
        </w:tc>
        <w:tc>
          <w:tcPr>
            <w:tcW w:type="dxa" w:w="312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Posture scanning via open-source tools (Prowler and ScoutSuite); GuardDuty/Defender findings.</w:t>
            </w:r>
          </w:p>
        </w:tc>
      </w:tr>
      <w:tr>
        <w:tc>
          <w:tcPr>
            <w:tcW w:type="dxa" w:w="312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CCC (Change Control &amp; Configuration)</w:t>
            </w:r>
          </w:p>
        </w:tc>
        <w:tc>
          <w:tcPr>
            <w:tcW w:type="dxa" w:w="312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Automated deployment, repeatability, drift control</w:t>
            </w:r>
          </w:p>
        </w:tc>
        <w:tc>
          <w:tcPr>
            <w:tcW w:type="dxa" w:w="312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Modular Terraform Infrastructure as Code; state locking; version-controlled Git workflow.</w:t>
            </w:r>
          </w:p>
        </w:tc>
      </w:tr>
    </w:tbl>
    <w:p>
      <w:pPr>
        <w:keepNext/>
        <w:spacing w:before="240" w:after="120"/>
      </w:pPr>
      <w:r>
        <w:rPr>
          <w:rFonts w:ascii="Times New Roman" w:hAnsi="Times New Roman"/>
          <w:b/>
          <w:color w:val="366092"/>
          <w:sz w:val="27"/>
        </w:rPr>
        <w:t>2.6.3 Section Synthesis and Alignment with Proposed Artefact</w:t>
      </w:r>
    </w:p>
    <w:p>
      <w:pPr>
        <w:spacing w:after="120" w:line="300" w:lineRule="auto"/>
      </w:pPr>
      <w:r>
        <w:rPr>
          <w:rFonts w:ascii="Times New Roman" w:hAnsi="Times New Roman"/>
          <w:sz w:val="24"/>
        </w:rPr>
        <w:t>The CSA CCM v4.1 provides a comprehensive control catalogue, but as a vendor-neutral framework, it does not prescribe specific cloud configuration commands.</w:t>
      </w:r>
    </w:p>
    <w:p>
      <w:pPr>
        <w:spacing w:after="120" w:line="300" w:lineRule="auto"/>
      </w:pPr>
      <w:r>
        <w:rPr>
          <w:rFonts w:ascii="Times New Roman" w:hAnsi="Times New Roman"/>
          <w:b/>
          <w:sz w:val="24"/>
        </w:rPr>
        <w:t>Link to Proposed Artefact</w:t>
      </w:r>
      <w:r>
        <w:rPr>
          <w:rFonts w:ascii="Times New Roman" w:hAnsi="Times New Roman"/>
          <w:sz w:val="24"/>
        </w:rPr>
        <w:t>: The project utilizes the CCM v4.1 as its structural baseline for requirements analysis and traceability. Each security mechanism in the Terraform codebase is mapped directly to a CCM control domain (e.g., IVS-06 for subnet isolation, CEK-03 for IPsec encryption, IAM-02 for SAML federation).</w:t>
      </w:r>
    </w:p>
    <w:p>
      <w:pPr>
        <w:spacing w:before="120" w:after="120"/>
      </w:pPr>
      <w:r>
        <w:rPr>
          <w:color w:val="CCCCCC"/>
        </w:rPr>
        <w:t>――――――――――――――――――――――――――――――――――――――――――――――――――</w:t>
      </w:r>
    </w:p>
    <w:p>
      <w:pPr>
        <w:keepNext/>
        <w:spacing w:before="280" w:after="160"/>
      </w:pPr>
      <w:r>
        <w:rPr>
          <w:rFonts w:ascii="Times New Roman" w:hAnsi="Times New Roman"/>
          <w:b/>
          <w:color w:val="1F497D"/>
          <w:sz w:val="32"/>
        </w:rPr>
        <w:t>2.7 Infrastructure as Code (IaC) and Terraform Governance</w:t>
      </w:r>
    </w:p>
    <w:p>
      <w:pPr>
        <w:keepNext/>
        <w:spacing w:before="240" w:after="120"/>
      </w:pPr>
      <w:r>
        <w:rPr>
          <w:rFonts w:ascii="Times New Roman" w:hAnsi="Times New Roman"/>
          <w:b/>
          <w:color w:val="366092"/>
          <w:sz w:val="27"/>
        </w:rPr>
        <w:t>2.7.1 Declarative Infrastructure Management</w:t>
      </w:r>
    </w:p>
    <w:p>
      <w:pPr>
        <w:spacing w:after="120" w:line="300" w:lineRule="auto"/>
      </w:pPr>
      <w:r>
        <w:rPr>
          <w:rFonts w:ascii="Times New Roman" w:hAnsi="Times New Roman"/>
          <w:sz w:val="24"/>
        </w:rPr>
        <w:t xml:space="preserve">Infrastructure as Code (IaC) replaces manual portal configuration with machine-readable definition files, enabling automated, repeatable, and version-controlled infrastructure provisioning (Rahman et al., 2019). </w:t>
      </w:r>
      <w:r>
        <w:rPr>
          <w:rFonts w:ascii="Times New Roman" w:hAnsi="Times New Roman"/>
          <w:b/>
          <w:sz w:val="24"/>
        </w:rPr>
        <w:t>Terraform by HashiCorp</w:t>
      </w:r>
      <w:r>
        <w:rPr>
          <w:rFonts w:ascii="Times New Roman" w:hAnsi="Times New Roman"/>
          <w:sz w:val="24"/>
        </w:rPr>
        <w:t xml:space="preserve"> uses a declarative paradigm: engineers state the desired end-state of infrastructure, and Terraform's graph engine resolves dependencies and executes API calls to achieve that state.</w:t>
      </w:r>
    </w:p>
    <w:p>
      <w:pPr>
        <w:keepNext/>
        <w:spacing w:before="240" w:after="120"/>
      </w:pPr>
      <w:r>
        <w:rPr>
          <w:rFonts w:ascii="Times New Roman" w:hAnsi="Times New Roman"/>
          <w:b/>
          <w:color w:val="366092"/>
          <w:sz w:val="27"/>
        </w:rPr>
        <w:t>2.7.2 IaC Defect Analysis and Security Vulnerabilities</w:t>
      </w:r>
    </w:p>
    <w:p>
      <w:pPr>
        <w:spacing w:after="120" w:line="300" w:lineRule="auto"/>
      </w:pPr>
      <w:r>
        <w:rPr>
          <w:rFonts w:ascii="Times New Roman" w:hAnsi="Times New Roman"/>
          <w:sz w:val="24"/>
        </w:rPr>
        <w:t>Empirical research demonstrates that IaC scripts are susceptible to software defects, configuration smells, and security anti-patterns (Rahman et al., 2020; Kumara et al., 2021). Verdet et al. (2023) analyzed 812 open-source Terraform projects and found widespread security defects, particularly unencrypted storage, exposed API secrets, and overly permissive firewall rules (</w:t>
      </w:r>
      <w:r>
        <w:rPr>
          <w:rFonts w:ascii="Consolas" w:hAnsi="Consolas"/>
          <w:color w:val="881515"/>
          <w:sz w:val="21"/>
        </w:rPr>
        <w:t>0.0.0.0/0</w:t>
      </w:r>
      <w:r>
        <w:rPr>
          <w:rFonts w:ascii="Times New Roman" w:hAnsi="Times New Roman"/>
          <w:sz w:val="24"/>
        </w:rPr>
        <w:t xml:space="preserve">). Successful execution of </w:t>
      </w:r>
      <w:r>
        <w:rPr>
          <w:rFonts w:ascii="Consolas" w:hAnsi="Consolas"/>
          <w:color w:val="881515"/>
          <w:sz w:val="21"/>
        </w:rPr>
        <w:t>terraform apply</w:t>
      </w:r>
      <w:r>
        <w:rPr>
          <w:rFonts w:ascii="Times New Roman" w:hAnsi="Times New Roman"/>
          <w:sz w:val="24"/>
        </w:rPr>
        <w:t xml:space="preserve"> does not guarantee that the deployed infrastructure is secure.</w:t>
      </w:r>
    </w:p>
    <w:p>
      <w:pPr>
        <w:spacing w:after="120" w:line="300" w:lineRule="auto"/>
      </w:pPr>
      <w:r>
        <w:rPr>
          <w:rFonts w:ascii="Times New Roman" w:hAnsi="Times New Roman"/>
          <w:sz w:val="24"/>
        </w:rPr>
        <w:t>IaC governance therefore requires:</w:t>
      </w:r>
    </w:p>
    <w:p>
      <w:pPr>
        <w:pStyle w:val="ListBullet"/>
        <w:spacing w:after="80"/>
        <w:ind w:left="360"/>
      </w:pPr>
      <w:r>
        <w:rPr>
          <w:rFonts w:ascii="Times New Roman" w:hAnsi="Times New Roman"/>
          <w:b/>
          <w:sz w:val="24"/>
        </w:rPr>
        <w:t>Provider Version Pinning</w:t>
      </w:r>
      <w:r>
        <w:rPr>
          <w:rFonts w:ascii="Times New Roman" w:hAnsi="Times New Roman"/>
          <w:sz w:val="24"/>
        </w:rPr>
        <w:t>: Preventing unexpected behavioral shifts due to provider updates.</w:t>
      </w:r>
    </w:p>
    <w:p>
      <w:pPr>
        <w:pStyle w:val="ListBullet"/>
        <w:spacing w:after="80"/>
        <w:ind w:left="360"/>
      </w:pPr>
      <w:r>
        <w:rPr>
          <w:rFonts w:ascii="Times New Roman" w:hAnsi="Times New Roman"/>
          <w:b/>
          <w:sz w:val="24"/>
        </w:rPr>
        <w:t>Remote State Protection</w:t>
      </w:r>
      <w:r>
        <w:rPr>
          <w:rFonts w:ascii="Times New Roman" w:hAnsi="Times New Roman"/>
          <w:sz w:val="24"/>
        </w:rPr>
        <w:t xml:space="preserve">: Storing </w:t>
      </w:r>
      <w:r>
        <w:rPr>
          <w:rFonts w:ascii="Consolas" w:hAnsi="Consolas"/>
          <w:color w:val="881515"/>
          <w:sz w:val="21"/>
        </w:rPr>
        <w:t>.tfstate</w:t>
      </w:r>
      <w:r>
        <w:rPr>
          <w:rFonts w:ascii="Times New Roman" w:hAnsi="Times New Roman"/>
          <w:sz w:val="24"/>
        </w:rPr>
        <w:t xml:space="preserve"> files in encrypted, locked backends to protect sensitive attributes (e.g., generated passwords, private keys).</w:t>
      </w:r>
    </w:p>
    <w:p>
      <w:pPr>
        <w:pStyle w:val="ListBullet"/>
        <w:spacing w:after="80"/>
        <w:ind w:left="360"/>
      </w:pPr>
      <w:r>
        <w:rPr>
          <w:rFonts w:ascii="Times New Roman" w:hAnsi="Times New Roman"/>
          <w:b/>
          <w:sz w:val="24"/>
        </w:rPr>
        <w:t>Static &amp; Post-Deployment Scanning</w:t>
      </w:r>
      <w:r>
        <w:rPr>
          <w:rFonts w:ascii="Times New Roman" w:hAnsi="Times New Roman"/>
          <w:sz w:val="24"/>
        </w:rPr>
        <w:t>: Combining pre-deployment syntax validation with post-deployment posture audits.</w:t>
      </w:r>
    </w:p>
    <w:p>
      <w:pPr>
        <w:keepNext/>
        <w:spacing w:before="240" w:after="120"/>
      </w:pPr>
      <w:r>
        <w:rPr>
          <w:rFonts w:ascii="Times New Roman" w:hAnsi="Times New Roman"/>
          <w:b/>
          <w:color w:val="366092"/>
          <w:sz w:val="27"/>
        </w:rPr>
        <w:t>2.7.3 Cross-Provider Dependency Management</w:t>
      </w:r>
    </w:p>
    <w:p>
      <w:pPr>
        <w:spacing w:after="120" w:line="300" w:lineRule="auto"/>
      </w:pPr>
      <w:r>
        <w:rPr>
          <w:rFonts w:ascii="Times New Roman" w:hAnsi="Times New Roman"/>
          <w:sz w:val="24"/>
        </w:rPr>
        <w:t>Provisioning multi-cloud environments in a single Terraform workflow creates cross-provider dependencies. For instance, creating an AWS Customer Gateway requires the public IP address of the Azure VPN Gateway, while completing the Azure Local Network Gateway requires the AWS tunnel IP and BGP parameters generated by AWS. Terraform cannot resolve circular dependencies automatically. The architecture must utilize staged deployment phases or parameter outputs to reconcile cross-cloud values cleanly.</w:t>
      </w:r>
    </w:p>
    <w:p>
      <w:pPr>
        <w:keepNext/>
        <w:spacing w:before="240" w:after="120"/>
      </w:pPr>
      <w:r>
        <w:rPr>
          <w:rFonts w:ascii="Times New Roman" w:hAnsi="Times New Roman"/>
          <w:b/>
          <w:color w:val="366092"/>
          <w:sz w:val="27"/>
        </w:rPr>
        <w:t>2.7.4 Section Synthesis and Alignment with Proposed Artefact</w:t>
      </w:r>
    </w:p>
    <w:p>
      <w:pPr>
        <w:spacing w:after="120" w:line="300" w:lineRule="auto"/>
      </w:pPr>
      <w:r>
        <w:rPr>
          <w:rFonts w:ascii="Times New Roman" w:hAnsi="Times New Roman"/>
          <w:sz w:val="24"/>
        </w:rPr>
        <w:t>IaC guarantees deployment reproducibility, but automated scripts will reproduce security errors if unvetted.</w:t>
      </w:r>
    </w:p>
    <w:p>
      <w:pPr>
        <w:spacing w:after="120" w:line="300" w:lineRule="auto"/>
      </w:pPr>
      <w:r>
        <w:rPr>
          <w:rFonts w:ascii="Times New Roman" w:hAnsi="Times New Roman"/>
          <w:b/>
          <w:sz w:val="24"/>
        </w:rPr>
        <w:t>Link to Proposed Artefact</w:t>
      </w:r>
      <w:r>
        <w:rPr>
          <w:rFonts w:ascii="Times New Roman" w:hAnsi="Times New Roman"/>
          <w:sz w:val="24"/>
        </w:rPr>
        <w:t>: The project structures its Terraform codebase into modular, parameterised sub-directories (</w:t>
      </w:r>
      <w:r>
        <w:rPr>
          <w:rFonts w:ascii="Consolas" w:hAnsi="Consolas"/>
          <w:color w:val="881515"/>
          <w:sz w:val="21"/>
        </w:rPr>
        <w:t>aws-network</w:t>
      </w:r>
      <w:r>
        <w:rPr>
          <w:rFonts w:ascii="Times New Roman" w:hAnsi="Times New Roman"/>
          <w:sz w:val="24"/>
        </w:rPr>
        <w:t xml:space="preserve">, </w:t>
      </w:r>
      <w:r>
        <w:rPr>
          <w:rFonts w:ascii="Consolas" w:hAnsi="Consolas"/>
          <w:color w:val="881515"/>
          <w:sz w:val="21"/>
        </w:rPr>
        <w:t>azure-network</w:t>
      </w:r>
      <w:r>
        <w:rPr>
          <w:rFonts w:ascii="Times New Roman" w:hAnsi="Times New Roman"/>
          <w:sz w:val="24"/>
        </w:rPr>
        <w:t xml:space="preserve">, </w:t>
      </w:r>
      <w:r>
        <w:rPr>
          <w:rFonts w:ascii="Consolas" w:hAnsi="Consolas"/>
          <w:color w:val="881515"/>
          <w:sz w:val="21"/>
        </w:rPr>
        <w:t>aws-vpn</w:t>
      </w:r>
      <w:r>
        <w:rPr>
          <w:rFonts w:ascii="Times New Roman" w:hAnsi="Times New Roman"/>
          <w:sz w:val="24"/>
        </w:rPr>
        <w:t xml:space="preserve">, </w:t>
      </w:r>
      <w:r>
        <w:rPr>
          <w:rFonts w:ascii="Consolas" w:hAnsi="Consolas"/>
          <w:color w:val="881515"/>
          <w:sz w:val="21"/>
        </w:rPr>
        <w:t>azure-vpn</w:t>
      </w:r>
      <w:r>
        <w:rPr>
          <w:rFonts w:ascii="Times New Roman" w:hAnsi="Times New Roman"/>
          <w:sz w:val="24"/>
        </w:rPr>
        <w:t xml:space="preserve">, </w:t>
      </w:r>
      <w:r>
        <w:rPr>
          <w:rFonts w:ascii="Consolas" w:hAnsi="Consolas"/>
          <w:color w:val="881515"/>
          <w:sz w:val="21"/>
        </w:rPr>
        <w:t>identity</w:t>
      </w:r>
      <w:r>
        <w:rPr>
          <w:rFonts w:ascii="Times New Roman" w:hAnsi="Times New Roman"/>
          <w:sz w:val="24"/>
        </w:rPr>
        <w:t xml:space="preserve">, </w:t>
      </w:r>
      <w:r>
        <w:rPr>
          <w:rFonts w:ascii="Consolas" w:hAnsi="Consolas"/>
          <w:color w:val="881515"/>
          <w:sz w:val="21"/>
        </w:rPr>
        <w:t>workload</w:t>
      </w:r>
      <w:r>
        <w:rPr>
          <w:rFonts w:ascii="Times New Roman" w:hAnsi="Times New Roman"/>
          <w:sz w:val="24"/>
        </w:rPr>
        <w:t>). State material is secured in an encrypted Azure Storage Account backend with state locking, and secrets are injected securely via environment variables (</w:t>
      </w:r>
      <w:r>
        <w:rPr>
          <w:rFonts w:ascii="Consolas" w:hAnsi="Consolas"/>
          <w:color w:val="881515"/>
          <w:sz w:val="21"/>
        </w:rPr>
        <w:t>TF_VAR_</w:t>
      </w:r>
      <w:r>
        <w:rPr>
          <w:rFonts w:ascii="Times New Roman" w:hAnsi="Times New Roman"/>
          <w:sz w:val="24"/>
        </w:rPr>
        <w:t>) rather than hardcoded in source repositories.</w:t>
      </w:r>
    </w:p>
    <w:p>
      <w:pPr>
        <w:spacing w:before="120" w:after="120"/>
      </w:pPr>
      <w:r>
        <w:rPr>
          <w:color w:val="CCCCCC"/>
        </w:rPr>
        <w:t>――――――――――――――――――――――――――――――――――――――――――――――――――</w:t>
      </w:r>
    </w:p>
    <w:p>
      <w:pPr>
        <w:keepNext/>
        <w:spacing w:before="280" w:after="160"/>
      </w:pPr>
      <w:r>
        <w:rPr>
          <w:rFonts w:ascii="Times New Roman" w:hAnsi="Times New Roman"/>
          <w:b/>
          <w:color w:val="1F497D"/>
          <w:sz w:val="32"/>
        </w:rPr>
        <w:t>2.8 Identity Federation and Multi-Cloud Access Governance</w:t>
      </w:r>
    </w:p>
    <w:p>
      <w:pPr>
        <w:keepNext/>
        <w:spacing w:before="240" w:after="120"/>
      </w:pPr>
      <w:r>
        <w:rPr>
          <w:rFonts w:ascii="Times New Roman" w:hAnsi="Times New Roman"/>
          <w:b/>
          <w:color w:val="366092"/>
          <w:sz w:val="27"/>
        </w:rPr>
        <w:t>2.8.1 Identity as the Primary Multi-Cloud Perimeter</w:t>
      </w:r>
    </w:p>
    <w:p>
      <w:pPr>
        <w:spacing w:after="120" w:line="300" w:lineRule="auto"/>
      </w:pPr>
      <w:r>
        <w:rPr>
          <w:rFonts w:ascii="Times New Roman" w:hAnsi="Times New Roman"/>
          <w:sz w:val="24"/>
        </w:rPr>
        <w:t>In distributed multi-cloud architectures, network location no longer provides a defensible security boundary. Identity functions as the central control plane (Bertino &amp; Takahashi, 2011; Al-Sboui et al., 2024). Maintaining separate IAM credentials in AWS and Azure causes administrative duplication, inconsistent password policies, and dangerous offboarding delays.</w:t>
      </w:r>
    </w:p>
    <w:p>
      <w:pPr>
        <w:keepNext/>
        <w:spacing w:before="240" w:after="120"/>
      </w:pPr>
      <w:r>
        <w:rPr>
          <w:rFonts w:ascii="Times New Roman" w:hAnsi="Times New Roman"/>
          <w:b/>
          <w:color w:val="366092"/>
          <w:sz w:val="27"/>
        </w:rPr>
        <w:t>2.8.2 SAML 2.0 and SCIM Protocol Standards</w:t>
      </w:r>
    </w:p>
    <w:p>
      <w:pPr>
        <w:spacing w:after="120" w:line="300" w:lineRule="auto"/>
      </w:pPr>
      <w:r>
        <w:rPr>
          <w:rFonts w:ascii="Times New Roman" w:hAnsi="Times New Roman"/>
          <w:sz w:val="24"/>
        </w:rPr>
        <w:t>Enterprise identity federation relies on open standards:</w:t>
      </w:r>
    </w:p>
    <w:p>
      <w:pPr>
        <w:pStyle w:val="ListBullet"/>
        <w:spacing w:after="80"/>
        <w:ind w:left="360"/>
      </w:pPr>
      <w:r>
        <w:rPr>
          <w:rFonts w:ascii="Times New Roman" w:hAnsi="Times New Roman"/>
          <w:b/>
          <w:sz w:val="24"/>
        </w:rPr>
        <w:t>SAML 2.0 (Security Assertion Markup Language)</w:t>
      </w:r>
      <w:r>
        <w:rPr>
          <w:rFonts w:ascii="Times New Roman" w:hAnsi="Times New Roman"/>
          <w:sz w:val="24"/>
        </w:rPr>
        <w:t>: Enables browser-based Single Sign-On (SSO). A central Identity Provider (IdP)—such as Microsoft Entra ID—authenticates the user and issues a cryptographically signed SAML assertion. The Service Provider (SP)—such as AWS IAM Identity Center—validates the assertion and maps the user to an authorized role, issuing short-lived Security Token Service (STS) credentials.</w:t>
      </w:r>
    </w:p>
    <w:p>
      <w:pPr>
        <w:pStyle w:val="ListBullet"/>
        <w:spacing w:after="80"/>
        <w:ind w:left="360"/>
      </w:pPr>
      <w:r>
        <w:rPr>
          <w:rFonts w:ascii="Times New Roman" w:hAnsi="Times New Roman"/>
          <w:b/>
          <w:sz w:val="24"/>
        </w:rPr>
        <w:t>SCIM 2.0 (System for Cross-domain Identity Management)</w:t>
      </w:r>
      <w:r>
        <w:rPr>
          <w:rFonts w:ascii="Times New Roman" w:hAnsi="Times New Roman"/>
          <w:sz w:val="24"/>
        </w:rPr>
        <w:t>: Automates user and group provisioning/deprovisioning between the IdP and SP over RESTful APIs. When an employee is disabled in Entra ID, SCIM automatically revokes their access in AWS.</w:t>
      </w:r>
    </w:p>
    <w:p>
      <w:pPr>
        <w:spacing w:before="120" w:after="120"/>
        <w:ind w:left="576" w:right="576"/>
      </w:pPr>
      <w:r>
        <w:rPr>
          <w:rFonts w:ascii="Consolas" w:hAnsi="Consolas"/>
          <w:color w:val="1F2937"/>
          <w:sz w:val="19"/>
        </w:rPr>
        <w:t>sequenceDiagram</w:t>
        <w:br/>
        <w:t xml:space="preserve">    autonumber</w:t>
        <w:br/>
        <w:t xml:space="preserve">    actor Admin as Cloud Administrator</w:t>
        <w:br/>
        <w:t xml:space="preserve">    participant Entra as Microsoft Entra ID (IdP)</w:t>
        <w:br/>
        <w:t xml:space="preserve">    participant AWS_IdC as AWS IAM Identity Center (SP)</w:t>
        <w:br/>
        <w:t xml:space="preserve">    participant AWS_STS as AWS Security Token Service</w:t>
        <w:br/>
        <w:t xml:space="preserve">    participant AWS_Console as AWS Management Console</w:t>
        <w:br/>
        <w:br/>
        <w:t xml:space="preserve">    Admin -&gt;&gt; AWS_Console: Initiate login request</w:t>
        <w:br/>
        <w:t xml:space="preserve">    AWS_Console -&gt;&gt; AWS_IdC: Redirect to Identity Broker</w:t>
        <w:br/>
        <w:t xml:space="preserve">    AWS_IdC -&gt;&gt; Entra: SAML Auth Request (Redirect)</w:t>
        <w:br/>
        <w:t xml:space="preserve">    Entra -&gt;&gt; Admin: Prompt Credentials + MFA</w:t>
        <w:br/>
        <w:t xml:space="preserve">    Admin -&gt;&gt; Entra: Submit MFA Response</w:t>
        <w:br/>
        <w:t xml:space="preserve">    Entra -&gt;&gt; AWS_IdC: Return Signed SAML Assertion</w:t>
        <w:br/>
        <w:t xml:space="preserve">    AWS_IdC -&gt;&gt; AWS_STS: Request Temporary Session Tokens</w:t>
        <w:br/>
        <w:t xml:space="preserve">    AWS_STS --&gt;&gt; AWS_IdC: Issue Short-Lived Credentials</w:t>
        <w:br/>
        <w:t xml:space="preserve">    AWS_IdC --&gt;&gt; Admin: Grant Console Access with Assumed Role</w:t>
      </w:r>
    </w:p>
    <w:p>
      <w:pPr>
        <w:spacing w:after="120" w:line="300" w:lineRule="auto"/>
      </w:pPr>
      <w:r>
        <w:rPr>
          <w:rFonts w:ascii="Times New Roman" w:hAnsi="Times New Roman"/>
          <w:b/>
          <w:sz w:val="24"/>
        </w:rPr>
        <w:t>Figure 2.4: SAML 2.0 Federated Authentication Sequence Between Entra ID and AWS</w:t>
      </w:r>
    </w:p>
    <w:p>
      <w:pPr>
        <w:keepNext/>
        <w:spacing w:before="240" w:after="120"/>
      </w:pPr>
      <w:r>
        <w:rPr>
          <w:rFonts w:ascii="Times New Roman" w:hAnsi="Times New Roman"/>
          <w:b/>
          <w:color w:val="366092"/>
          <w:sz w:val="27"/>
        </w:rPr>
        <w:t>2.8.3 Alignment with Nigerian Data Protection Requirements</w:t>
      </w:r>
    </w:p>
    <w:p>
      <w:pPr>
        <w:spacing w:after="120" w:line="300" w:lineRule="auto"/>
      </w:pPr>
      <w:r>
        <w:rPr>
          <w:rFonts w:ascii="Times New Roman" w:hAnsi="Times New Roman"/>
          <w:sz w:val="24"/>
        </w:rPr>
        <w:t xml:space="preserve">Centralized identity governance aligns directly with the </w:t>
      </w:r>
      <w:r>
        <w:rPr>
          <w:rFonts w:ascii="Times New Roman" w:hAnsi="Times New Roman"/>
          <w:b/>
          <w:sz w:val="24"/>
        </w:rPr>
        <w:t>Nigeria Data Protection Act 2023</w:t>
      </w:r>
      <w:r>
        <w:rPr>
          <w:rFonts w:ascii="Times New Roman" w:hAnsi="Times New Roman"/>
          <w:sz w:val="24"/>
        </w:rPr>
        <w:t>. Section 39 of the NDPA mandates that data controllers implement technical and organizational measures to ensure data confidentiality and prevent unauthorized access. Using federated identity with MFA, role-based access control (RBAC), and automated SCIM deprovisioning satisfies statutory accountability and auditability requirements under Nigerian law.</w:t>
      </w:r>
    </w:p>
    <w:p>
      <w:pPr>
        <w:keepNext/>
        <w:spacing w:before="240" w:after="120"/>
      </w:pPr>
      <w:r>
        <w:rPr>
          <w:rFonts w:ascii="Times New Roman" w:hAnsi="Times New Roman"/>
          <w:b/>
          <w:color w:val="366092"/>
          <w:sz w:val="27"/>
        </w:rPr>
        <w:t>2.8.4 Section Synthesis and Alignment with Proposed Artefact</w:t>
      </w:r>
    </w:p>
    <w:p>
      <w:pPr>
        <w:spacing w:after="120" w:line="300" w:lineRule="auto"/>
      </w:pPr>
      <w:r>
        <w:rPr>
          <w:rFonts w:ascii="Times New Roman" w:hAnsi="Times New Roman"/>
          <w:sz w:val="24"/>
        </w:rPr>
        <w:t>Federating workforce identity reduces credential proliferation and centralizes audit logging, but requires robust IdP protection to avoid creating a single point of compromise.</w:t>
      </w:r>
    </w:p>
    <w:p>
      <w:pPr>
        <w:spacing w:after="120" w:line="300" w:lineRule="auto"/>
      </w:pPr>
      <w:r>
        <w:rPr>
          <w:rFonts w:ascii="Times New Roman" w:hAnsi="Times New Roman"/>
          <w:b/>
          <w:sz w:val="24"/>
        </w:rPr>
        <w:t>Link to Proposed Artefact</w:t>
      </w:r>
      <w:r>
        <w:rPr>
          <w:rFonts w:ascii="Times New Roman" w:hAnsi="Times New Roman"/>
          <w:sz w:val="24"/>
        </w:rPr>
        <w:t xml:space="preserve">: The artefact establishes </w:t>
      </w:r>
      <w:r>
        <w:rPr>
          <w:rFonts w:ascii="Times New Roman" w:hAnsi="Times New Roman"/>
          <w:b/>
          <w:sz w:val="24"/>
        </w:rPr>
        <w:t>Microsoft Entra ID as the primary workforce Identity Provider</w:t>
      </w:r>
      <w:r>
        <w:rPr>
          <w:rFonts w:ascii="Times New Roman" w:hAnsi="Times New Roman"/>
          <w:sz w:val="24"/>
        </w:rPr>
        <w:t xml:space="preserve">, federating user access into </w:t>
      </w:r>
      <w:r>
        <w:rPr>
          <w:rFonts w:ascii="Times New Roman" w:hAnsi="Times New Roman"/>
          <w:b/>
          <w:sz w:val="24"/>
        </w:rPr>
        <w:t>AWS IAM Identity Center via SAML 2.0</w:t>
      </w:r>
      <w:r>
        <w:rPr>
          <w:rFonts w:ascii="Times New Roman" w:hAnsi="Times New Roman"/>
          <w:sz w:val="24"/>
        </w:rPr>
        <w:t>. Entra ID groups (</w:t>
      </w:r>
      <w:r>
        <w:rPr>
          <w:rFonts w:ascii="Consolas" w:hAnsi="Consolas"/>
          <w:color w:val="881515"/>
          <w:sz w:val="21"/>
        </w:rPr>
        <w:t>MC-Cloud-Admins</w:t>
      </w:r>
      <w:r>
        <w:rPr>
          <w:rFonts w:ascii="Times New Roman" w:hAnsi="Times New Roman"/>
          <w:sz w:val="24"/>
        </w:rPr>
        <w:t xml:space="preserve">, </w:t>
      </w:r>
      <w:r>
        <w:rPr>
          <w:rFonts w:ascii="Consolas" w:hAnsi="Consolas"/>
          <w:color w:val="881515"/>
          <w:sz w:val="21"/>
        </w:rPr>
        <w:t>MC-Network-Admins</w:t>
      </w:r>
      <w:r>
        <w:rPr>
          <w:rFonts w:ascii="Times New Roman" w:hAnsi="Times New Roman"/>
          <w:sz w:val="24"/>
        </w:rPr>
        <w:t xml:space="preserve">, </w:t>
      </w:r>
      <w:r>
        <w:rPr>
          <w:rFonts w:ascii="Consolas" w:hAnsi="Consolas"/>
          <w:color w:val="881515"/>
          <w:sz w:val="21"/>
        </w:rPr>
        <w:t>MC-Security-Auditors</w:t>
      </w:r>
      <w:r>
        <w:rPr>
          <w:rFonts w:ascii="Times New Roman" w:hAnsi="Times New Roman"/>
          <w:sz w:val="24"/>
        </w:rPr>
        <w:t>) are mapped to granular AWS permission sets, eliminating long-lived IAM user keys.</w:t>
      </w:r>
    </w:p>
    <w:p>
      <w:pPr>
        <w:spacing w:before="120" w:after="120"/>
      </w:pPr>
      <w:r>
        <w:rPr>
          <w:color w:val="CCCCCC"/>
        </w:rPr>
        <w:t>――――――――――――――――――――――――――――――――――――――――――――――――――</w:t>
      </w:r>
    </w:p>
    <w:p>
      <w:pPr>
        <w:keepNext/>
        <w:spacing w:before="280" w:after="160"/>
      </w:pPr>
      <w:r>
        <w:rPr>
          <w:rFonts w:ascii="Times New Roman" w:hAnsi="Times New Roman"/>
          <w:b/>
          <w:color w:val="1F497D"/>
          <w:sz w:val="32"/>
        </w:rPr>
        <w:t>2.9 Observability, Telemetry, and Cloud Security Assessment</w:t>
      </w:r>
    </w:p>
    <w:p>
      <w:pPr>
        <w:keepNext/>
        <w:spacing w:before="240" w:after="120"/>
      </w:pPr>
      <w:r>
        <w:rPr>
          <w:rFonts w:ascii="Times New Roman" w:hAnsi="Times New Roman"/>
          <w:b/>
          <w:color w:val="366092"/>
          <w:sz w:val="27"/>
        </w:rPr>
        <w:t>2.9.1 Multi-Cloud Telemetry and Log Correlation</w:t>
      </w:r>
    </w:p>
    <w:p>
      <w:pPr>
        <w:spacing w:after="120" w:line="300" w:lineRule="auto"/>
      </w:pPr>
      <w:r>
        <w:rPr>
          <w:rFonts w:ascii="Times New Roman" w:hAnsi="Times New Roman"/>
          <w:sz w:val="24"/>
        </w:rPr>
        <w:t>Security observability requires collecting, aggregating, and analyzing system events to detect unauthorized activity and audit system changes (Al-Aqrabi et al., 2024). Multi-cloud observability is challenging because AWS and Azure utilize different logging schemas, timestamp formats, and event severity scales:</w:t>
      </w:r>
    </w:p>
    <w:p>
      <w:pPr>
        <w:pStyle w:val="ListBullet"/>
        <w:spacing w:after="80"/>
        <w:ind w:left="360"/>
      </w:pPr>
      <w:r>
        <w:rPr>
          <w:rFonts w:ascii="Times New Roman" w:hAnsi="Times New Roman"/>
          <w:b/>
          <w:sz w:val="24"/>
        </w:rPr>
        <w:t>AWS Telemetry</w:t>
      </w:r>
      <w:r>
        <w:rPr>
          <w:rFonts w:ascii="Times New Roman" w:hAnsi="Times New Roman"/>
          <w:sz w:val="24"/>
        </w:rPr>
        <w:t>: AWS CloudTrail (management/API events), VPC Flow Logs (IP traffic metadata), Amazon CloudWatch (metrics/logs), and GuardDuty (threat detection).</w:t>
      </w:r>
    </w:p>
    <w:p>
      <w:pPr>
        <w:pStyle w:val="ListBullet"/>
        <w:spacing w:after="80"/>
        <w:ind w:left="360"/>
      </w:pPr>
      <w:r>
        <w:rPr>
          <w:rFonts w:ascii="Times New Roman" w:hAnsi="Times New Roman"/>
          <w:b/>
          <w:sz w:val="24"/>
        </w:rPr>
        <w:t>Azure Telemetry</w:t>
      </w:r>
      <w:r>
        <w:rPr>
          <w:rFonts w:ascii="Times New Roman" w:hAnsi="Times New Roman"/>
          <w:sz w:val="24"/>
        </w:rPr>
        <w:t>: Azure Activity Log (control plane events), VNet/NSG Flow Logs (traffic flows), Log Analytics / Azure Monitor (central repository), and Defender for Cloud (posture alerts).</w:t>
      </w:r>
    </w:p>
    <w:p>
      <w:pPr>
        <w:spacing w:after="120" w:line="300" w:lineRule="auto"/>
      </w:pPr>
      <w:r>
        <w:rPr>
          <w:rFonts w:ascii="Times New Roman" w:hAnsi="Times New Roman"/>
          <w:sz w:val="24"/>
        </w:rPr>
        <w:t>To achieve unified visibility, multi-cloud designs must aggregate selected event feeds into a centralized repository (e.g., Azure Log Analytics) or correlate events across native tools.</w:t>
      </w:r>
    </w:p>
    <w:p>
      <w:pPr>
        <w:keepNext/>
        <w:spacing w:before="240" w:after="120"/>
      </w:pPr>
      <w:r>
        <w:rPr>
          <w:rFonts w:ascii="Times New Roman" w:hAnsi="Times New Roman"/>
          <w:b/>
          <w:color w:val="366092"/>
          <w:sz w:val="27"/>
        </w:rPr>
        <w:t>2.9.2 Automated Posture Assessment: Prowler and ScoutSuite</w:t>
      </w:r>
    </w:p>
    <w:p>
      <w:pPr>
        <w:spacing w:after="120" w:line="300" w:lineRule="auto"/>
      </w:pPr>
      <w:r>
        <w:rPr>
          <w:rFonts w:ascii="Times New Roman" w:hAnsi="Times New Roman"/>
          <w:sz w:val="24"/>
        </w:rPr>
        <w:t>Automated configuration scanners evaluate cloud environments against security best practices and compliance benchmarks:</w:t>
      </w:r>
    </w:p>
    <w:p>
      <w:pPr>
        <w:pStyle w:val="ListBullet"/>
        <w:spacing w:after="80"/>
        <w:ind w:left="360"/>
      </w:pPr>
      <w:r>
        <w:rPr>
          <w:rFonts w:ascii="Times New Roman" w:hAnsi="Times New Roman"/>
          <w:b/>
          <w:sz w:val="24"/>
        </w:rPr>
        <w:t>Prowler</w:t>
      </w:r>
      <w:r>
        <w:rPr>
          <w:rFonts w:ascii="Times New Roman" w:hAnsi="Times New Roman"/>
          <w:sz w:val="24"/>
        </w:rPr>
        <w:t>: An open-source security assessment tool assessing AWS and Azure configurations against NIST SP 800-53, CIS Benchmarks, and ISO 27001. It identifies misconfigurations such as unencrypted storage, public endpoints, and permissive IAM roles.</w:t>
      </w:r>
    </w:p>
    <w:p>
      <w:pPr>
        <w:pStyle w:val="ListBullet"/>
        <w:spacing w:after="80"/>
        <w:ind w:left="360"/>
      </w:pPr>
      <w:r>
        <w:rPr>
          <w:rFonts w:ascii="Times New Roman" w:hAnsi="Times New Roman"/>
          <w:b/>
          <w:sz w:val="24"/>
        </w:rPr>
        <w:t>ScoutSuite</w:t>
      </w:r>
      <w:r>
        <w:rPr>
          <w:rFonts w:ascii="Times New Roman" w:hAnsi="Times New Roman"/>
          <w:sz w:val="24"/>
        </w:rPr>
        <w:t>: An open-source multi-cloud auditing tool that queries cloud provider APIs to construct an interactive attack-surface summary.</w:t>
      </w:r>
    </w:p>
    <w:p>
      <w:pPr>
        <w:spacing w:after="120" w:line="300" w:lineRule="auto"/>
      </w:pPr>
      <w:r>
        <w:rPr>
          <w:rFonts w:ascii="Times New Roman" w:hAnsi="Times New Roman"/>
          <w:sz w:val="24"/>
        </w:rPr>
        <w:t>Using both scanners provides cross-tool validation. However, scanner findings require manual reconciliation to eliminate false positives and account for deliberate lab constraints.</w:t>
      </w:r>
    </w:p>
    <w:p>
      <w:pPr>
        <w:keepNext/>
        <w:spacing w:before="240" w:after="120"/>
      </w:pPr>
      <w:r>
        <w:rPr>
          <w:rFonts w:ascii="Times New Roman" w:hAnsi="Times New Roman"/>
          <w:b/>
          <w:color w:val="366092"/>
          <w:sz w:val="27"/>
        </w:rPr>
        <w:t>2.9.3 Section Synthesis and Alignment with Proposed Artefact</w:t>
      </w:r>
    </w:p>
    <w:p>
      <w:pPr>
        <w:spacing w:after="120" w:line="300" w:lineRule="auto"/>
      </w:pPr>
      <w:r>
        <w:rPr>
          <w:rFonts w:ascii="Times New Roman" w:hAnsi="Times New Roman"/>
          <w:sz w:val="24"/>
        </w:rPr>
        <w:t>Observability is essential for Zero Trust continuous verification. Scanning tools supply objective evidence of configuration posture.</w:t>
      </w:r>
    </w:p>
    <w:p>
      <w:pPr>
        <w:spacing w:after="120" w:line="300" w:lineRule="auto"/>
      </w:pPr>
      <w:r>
        <w:rPr>
          <w:rFonts w:ascii="Times New Roman" w:hAnsi="Times New Roman"/>
          <w:b/>
          <w:sz w:val="24"/>
        </w:rPr>
        <w:t>Link to Proposed Artefact</w:t>
      </w:r>
      <w:r>
        <w:rPr>
          <w:rFonts w:ascii="Times New Roman" w:hAnsi="Times New Roman"/>
          <w:sz w:val="24"/>
        </w:rPr>
        <w:t xml:space="preserve">: The project configures comprehensive logging across both environments (CloudTrail, VPC Flow Logs, CloudWatch, Azure Activity Log, Log Analytics). The implemented environment is audited using </w:t>
      </w:r>
      <w:r>
        <w:rPr>
          <w:rFonts w:ascii="Times New Roman" w:hAnsi="Times New Roman"/>
          <w:b/>
          <w:sz w:val="24"/>
        </w:rPr>
        <w:t>Prowler and ScoutSuite</w:t>
      </w:r>
      <w:r>
        <w:rPr>
          <w:rFonts w:ascii="Times New Roman" w:hAnsi="Times New Roman"/>
          <w:sz w:val="24"/>
        </w:rPr>
        <w:t>, and findings are classified in a formal remediation register.</w:t>
      </w:r>
    </w:p>
    <w:p>
      <w:pPr>
        <w:spacing w:before="120" w:after="120"/>
      </w:pPr>
      <w:r>
        <w:rPr>
          <w:color w:val="CCCCCC"/>
        </w:rPr>
        <w:t>――――――――――――――――――――――――――――――――――――――――――――――――――</w:t>
      </w:r>
    </w:p>
    <w:p>
      <w:pPr>
        <w:keepNext/>
        <w:spacing w:before="280" w:after="160"/>
      </w:pPr>
      <w:r>
        <w:rPr>
          <w:rFonts w:ascii="Times New Roman" w:hAnsi="Times New Roman"/>
          <w:b/>
          <w:color w:val="1F497D"/>
          <w:sz w:val="32"/>
        </w:rPr>
        <w:t>2.10 Review of Recent Empirical Research (2022–2026)</w:t>
      </w:r>
    </w:p>
    <w:p>
      <w:pPr>
        <w:spacing w:after="120" w:line="300" w:lineRule="auto"/>
      </w:pPr>
      <w:r>
        <w:rPr>
          <w:rFonts w:ascii="Times New Roman" w:hAnsi="Times New Roman"/>
          <w:sz w:val="24"/>
        </w:rPr>
        <w:t>Recent academic literature highlights emerging consensus, implementation trade-offs, and critical gaps in multi-cloud architecture and Zero Trust operationalization:</w:t>
      </w:r>
    </w:p>
    <w:p>
      <w:pPr>
        <w:pStyle w:val="ListBullet"/>
        <w:spacing w:after="80"/>
        <w:ind w:left="360"/>
      </w:pPr>
      <w:r>
        <w:rPr>
          <w:rFonts w:ascii="Times New Roman" w:hAnsi="Times New Roman"/>
          <w:b/>
          <w:sz w:val="24"/>
        </w:rPr>
        <w:t>Multi-Cloud Architecture &amp; Heterogeneity</w:t>
      </w:r>
      <w:r>
        <w:rPr>
          <w:rFonts w:ascii="Times New Roman" w:hAnsi="Times New Roman"/>
          <w:sz w:val="24"/>
        </w:rPr>
        <w:t>: Alonso et al. (2023) conducted a systematic literature review on multi-cloud computing, concluding that while multi-cloud improves fault tolerance and vendor independence, management complexity, cross-cloud security governance, and uncoordinated logging remain major barriers. Ouedraogo et al. (2023) demonstrated that multi-cloud connectivity without centralized policy enforcement increases administrative overhead by 40% and expands unmonitored attack surfaces.</w:t>
      </w:r>
    </w:p>
    <w:p>
      <w:pPr>
        <w:pStyle w:val="ListBullet"/>
        <w:spacing w:after="80"/>
        <w:ind w:left="360"/>
      </w:pPr>
      <w:r>
        <w:rPr>
          <w:rFonts w:ascii="Times New Roman" w:hAnsi="Times New Roman"/>
          <w:b/>
          <w:sz w:val="24"/>
        </w:rPr>
        <w:t>Zero Trust Implementation in Cloud</w:t>
      </w:r>
      <w:r>
        <w:rPr>
          <w:rFonts w:ascii="Times New Roman" w:hAnsi="Times New Roman"/>
          <w:sz w:val="24"/>
        </w:rPr>
        <w:t>: Syed et al. (2022) surveyed Zero Trust architectures, emphasizing that micro-segmentation and continuous identity verification are critical for cloud security. However, Sarkar et al. (2022) and Mushtaq et al. (2025) observed that most Zero Trust research remains conceptual or simulation-based; empirical validations on production-grade AWS–Azure public cloud setups remain scarce. Chandramouli &amp; Butcher (2023) established NIST SP 800-207A guidelines, highlighting that network-level filtering must be paired with workload identity.</w:t>
      </w:r>
    </w:p>
    <w:p>
      <w:pPr>
        <w:pStyle w:val="ListBullet"/>
        <w:spacing w:after="80"/>
        <w:ind w:left="360"/>
      </w:pPr>
      <w:r>
        <w:rPr>
          <w:rFonts w:ascii="Times New Roman" w:hAnsi="Times New Roman"/>
          <w:b/>
          <w:sz w:val="24"/>
        </w:rPr>
        <w:t>Infrastructure as Code Security</w:t>
      </w:r>
      <w:r>
        <w:rPr>
          <w:rFonts w:ascii="Times New Roman" w:hAnsi="Times New Roman"/>
          <w:sz w:val="24"/>
        </w:rPr>
        <w:t>: Verdet et al. (2023) conducted an empirical study of 812 open-source Terraform repositories, revealing that 42% contained neglected security controls—most notably unencrypted storage, exposed secrets, and default allow-all firewall rules. Farhana et al. (2024) confirmed that IaC automation often replicates security anti-patterns across multiple providers if code reviews and static analysis are absent.</w:t>
      </w:r>
    </w:p>
    <w:p>
      <w:pPr>
        <w:pStyle w:val="ListBullet"/>
        <w:spacing w:after="80"/>
        <w:ind w:left="360"/>
      </w:pPr>
      <w:r>
        <w:rPr>
          <w:rFonts w:ascii="Times New Roman" w:hAnsi="Times New Roman"/>
          <w:b/>
          <w:sz w:val="24"/>
        </w:rPr>
        <w:t>Identity Governance &amp; Nigerian Context</w:t>
      </w:r>
      <w:r>
        <w:rPr>
          <w:rFonts w:ascii="Times New Roman" w:hAnsi="Times New Roman"/>
          <w:sz w:val="24"/>
        </w:rPr>
        <w:t>: Al-Sboui et al. (2024) analyzed federated identity in hybrid environments, proving that automated SCIM provisioning reduces stale account vulnerability windows by over 80%. In Nigeria, recent policy documents—such as the National Cloud Policy 2025 (NITDA, 2025) and the NDPC Implementation Directive (2025)—underscore that technical cloud designs must incorporate explicit data sovereignty, localized encryption management, and formal auditability to meet national regulatory baselines.</w:t>
      </w:r>
    </w:p>
    <w:p>
      <w:pPr>
        <w:spacing w:before="120" w:after="120"/>
      </w:pPr>
      <w:r>
        <w:rPr>
          <w:color w:val="CCCCCC"/>
        </w:rPr>
        <w:t>――――――――――――――――――――――――――――――――――――――――――――――――――</w:t>
      </w:r>
    </w:p>
    <w:p>
      <w:pPr>
        <w:keepNext/>
        <w:spacing w:before="280" w:after="160"/>
      </w:pPr>
      <w:r>
        <w:rPr>
          <w:rFonts w:ascii="Times New Roman" w:hAnsi="Times New Roman"/>
          <w:b/>
          <w:color w:val="1F497D"/>
          <w:sz w:val="32"/>
        </w:rPr>
        <w:t>2.11 Review of Existing Solution Approaches</w:t>
      </w:r>
    </w:p>
    <w:p>
      <w:pPr>
        <w:spacing w:after="120" w:line="300" w:lineRule="auto"/>
      </w:pPr>
      <w:r>
        <w:rPr>
          <w:rFonts w:ascii="Times New Roman" w:hAnsi="Times New Roman"/>
          <w:sz w:val="24"/>
        </w:rPr>
        <w:t>To justify the selected architecture, existing inter-cloud connection patterns must be critically evaluated across security consistency, resilience, operational complexity, reproducibility, and financial feasibility:</w:t>
      </w:r>
    </w:p>
    <w:p>
      <w:pPr>
        <w:spacing w:before="120" w:after="120"/>
        <w:ind w:left="576" w:right="576"/>
      </w:pPr>
      <w:r>
        <w:rPr>
          <w:rFonts w:ascii="Consolas" w:hAnsi="Consolas"/>
          <w:color w:val="1F2937"/>
          <w:sz w:val="19"/>
        </w:rPr>
        <w:t>quadrantChart</w:t>
        <w:br/>
        <w:t xml:space="preserve">    title Solution Approach Comparison: Security vs Implementation Feasibility</w:t>
        <w:br/>
        <w:t xml:space="preserve">    x-axis Low Feasibility / High Cost --&gt; High Feasibility / Lab Proportionate</w:t>
        <w:br/>
        <w:t xml:space="preserve">    y-axis Low Security Consistency --&gt; High Security Consistency</w:t>
        <w:br/>
        <w:t xml:space="preserve">    quadrant-1 Selected Native Hub-Spoke</w:t>
        <w:br/>
        <w:t xml:space="preserve">    quadrant-2 Production Dedicated Interconnect</w:t>
        <w:br/>
        <w:t xml:space="preserve">    quadrant-3 Ad-hoc Point-to-Point VPN</w:t>
        <w:br/>
        <w:t xml:space="preserve">    quadrant-4 Third-Party Overlay / Service Mesh</w:t>
        <w:br/>
        <w:t xml:space="preserve">    Ad-hoc Point-to-Point VPN: [0.8, 0.2]</w:t>
        <w:br/>
        <w:t xml:space="preserve">    Selected Native Hub-Spoke: [0.75, 0.82]</w:t>
        <w:br/>
        <w:t xml:space="preserve">    Production Dedicated Interconnect: [0.25, 0.88]</w:t>
        <w:br/>
        <w:t xml:space="preserve">    Third-Party Overlay MCN: [0.4, 0.75]</w:t>
        <w:br/>
        <w:t xml:space="preserve">    Service Mesh Inter-Cloud: [0.3, 0.65]</w:t>
      </w:r>
    </w:p>
    <w:p>
      <w:pPr>
        <w:spacing w:after="120" w:line="300" w:lineRule="auto"/>
      </w:pPr>
      <w:r>
        <w:rPr>
          <w:rFonts w:ascii="Times New Roman" w:hAnsi="Times New Roman"/>
          <w:b/>
          <w:sz w:val="24"/>
        </w:rPr>
        <w:t>Figure 2.5: Evaluation of Solution Approaches on Security Consistency and Implementation Feasibility</w:t>
      </w:r>
    </w:p>
    <w:p>
      <w:pPr>
        <w:keepNext/>
        <w:spacing w:before="240" w:after="120"/>
      </w:pPr>
      <w:r>
        <w:rPr>
          <w:rFonts w:ascii="Times New Roman" w:hAnsi="Times New Roman"/>
          <w:b/>
          <w:color w:val="366092"/>
          <w:sz w:val="27"/>
        </w:rPr>
        <w:t>2.11.1 Approach 1: Ad-Hoc Point-to-Point IPsec VPN</w:t>
      </w:r>
    </w:p>
    <w:p>
      <w:pPr>
        <w:pStyle w:val="ListBullet"/>
        <w:spacing w:after="80"/>
        <w:ind w:left="360"/>
      </w:pPr>
      <w:r>
        <w:rPr>
          <w:rFonts w:ascii="Times New Roman" w:hAnsi="Times New Roman"/>
          <w:b/>
          <w:sz w:val="24"/>
        </w:rPr>
        <w:t>Description</w:t>
      </w:r>
      <w:r>
        <w:rPr>
          <w:rFonts w:ascii="Times New Roman" w:hAnsi="Times New Roman"/>
          <w:sz w:val="24"/>
        </w:rPr>
        <w:t>: Creates direct, unmanaged IPsec tunnels between individual AWS VPC subnets and Azure VNets using broad CIDR rules (</w:t>
      </w:r>
      <w:r>
        <w:rPr>
          <w:rFonts w:ascii="Consolas" w:hAnsi="Consolas"/>
          <w:color w:val="881515"/>
          <w:sz w:val="21"/>
        </w:rPr>
        <w:t>0.0.0.0/0</w:t>
      </w:r>
      <w:r>
        <w:rPr>
          <w:rFonts w:ascii="Times New Roman" w:hAnsi="Times New Roman"/>
          <w:sz w:val="24"/>
        </w:rPr>
        <w:t xml:space="preserve"> or </w:t>
      </w:r>
      <w:r>
        <w:rPr>
          <w:rFonts w:ascii="Consolas" w:hAnsi="Consolas"/>
          <w:color w:val="881515"/>
          <w:sz w:val="21"/>
        </w:rPr>
        <w:t>/16</w:t>
      </w:r>
      <w:r>
        <w:rPr>
          <w:rFonts w:ascii="Times New Roman" w:hAnsi="Times New Roman"/>
          <w:sz w:val="24"/>
        </w:rPr>
        <w:t>) and static routing.</w:t>
      </w:r>
    </w:p>
    <w:p>
      <w:pPr>
        <w:pStyle w:val="ListBullet"/>
        <w:spacing w:after="80"/>
        <w:ind w:left="360"/>
      </w:pPr>
      <w:r>
        <w:rPr>
          <w:rFonts w:ascii="Times New Roman" w:hAnsi="Times New Roman"/>
          <w:b/>
          <w:sz w:val="24"/>
        </w:rPr>
        <w:t>Limitations</w:t>
      </w:r>
      <w:r>
        <w:rPr>
          <w:rFonts w:ascii="Times New Roman" w:hAnsi="Times New Roman"/>
          <w:sz w:val="24"/>
        </w:rPr>
        <w:t xml:space="preserve">: High risk of lateral movement; inconsistent security rules; single point of network failure; no identity integration; uncoordinated logging. </w:t>
      </w:r>
      <w:r>
        <w:rPr>
          <w:rFonts w:ascii="Times New Roman" w:hAnsi="Times New Roman"/>
          <w:i/>
          <w:sz w:val="24"/>
        </w:rPr>
        <w:t>Represents the insecure baseline practice.</w:t>
      </w:r>
    </w:p>
    <w:p>
      <w:pPr>
        <w:keepNext/>
        <w:spacing w:before="240" w:after="120"/>
      </w:pPr>
      <w:r>
        <w:rPr>
          <w:rFonts w:ascii="Times New Roman" w:hAnsi="Times New Roman"/>
          <w:b/>
          <w:color w:val="366092"/>
          <w:sz w:val="27"/>
        </w:rPr>
        <w:t>2.11.2 Approach 2: Native Provider Hub-and-Spoke (AWS TGW + Azure VNG) [Selected]</w:t>
      </w:r>
    </w:p>
    <w:p>
      <w:pPr>
        <w:pStyle w:val="ListBullet"/>
        <w:spacing w:after="80"/>
        <w:ind w:left="360"/>
      </w:pPr>
      <w:r>
        <w:rPr>
          <w:rFonts w:ascii="Times New Roman" w:hAnsi="Times New Roman"/>
          <w:b/>
          <w:sz w:val="24"/>
        </w:rPr>
        <w:t>Description</w:t>
      </w:r>
      <w:r>
        <w:rPr>
          <w:rFonts w:ascii="Times New Roman" w:hAnsi="Times New Roman"/>
          <w:sz w:val="24"/>
        </w:rPr>
        <w:t>: Uses native provider transit hubs (</w:t>
      </w:r>
      <w:r>
        <w:rPr>
          <w:rFonts w:ascii="Times New Roman" w:hAnsi="Times New Roman"/>
          <w:b/>
          <w:sz w:val="24"/>
        </w:rPr>
        <w:t>AWS Transit Gateway</w:t>
      </w:r>
      <w:r>
        <w:rPr>
          <w:rFonts w:ascii="Times New Roman" w:hAnsi="Times New Roman"/>
          <w:sz w:val="24"/>
        </w:rPr>
        <w:t xml:space="preserve"> and </w:t>
      </w:r>
      <w:r>
        <w:rPr>
          <w:rFonts w:ascii="Times New Roman" w:hAnsi="Times New Roman"/>
          <w:b/>
          <w:sz w:val="24"/>
        </w:rPr>
        <w:t>Azure Hub VNet / Active-Active VPN Gateway</w:t>
      </w:r>
      <w:r>
        <w:rPr>
          <w:rFonts w:ascii="Times New Roman" w:hAnsi="Times New Roman"/>
          <w:sz w:val="24"/>
        </w:rPr>
        <w:t>) connected via route-based IKEv2 IPsec VPN with BGP dynamic routing, parameterised using Terraform.</w:t>
      </w:r>
    </w:p>
    <w:p>
      <w:pPr>
        <w:pStyle w:val="ListBullet"/>
        <w:spacing w:after="80"/>
        <w:ind w:left="360"/>
      </w:pPr>
      <w:r>
        <w:rPr>
          <w:rFonts w:ascii="Times New Roman" w:hAnsi="Times New Roman"/>
          <w:b/>
          <w:sz w:val="24"/>
        </w:rPr>
        <w:t>Advantages</w:t>
      </w:r>
      <w:r>
        <w:rPr>
          <w:rFonts w:ascii="Times New Roman" w:hAnsi="Times New Roman"/>
          <w:sz w:val="24"/>
        </w:rPr>
        <w:t>: Provider-supported, mature APIs, fully deployable via IaC, cost-effective for proof-of-concept, high security consistency when coupled with micro-segmentation and Entra ID federation.</w:t>
      </w:r>
    </w:p>
    <w:p>
      <w:pPr>
        <w:pStyle w:val="ListBullet"/>
        <w:spacing w:after="80"/>
        <w:ind w:left="360"/>
      </w:pPr>
      <w:r>
        <w:rPr>
          <w:rFonts w:ascii="Times New Roman" w:hAnsi="Times New Roman"/>
          <w:b/>
          <w:sz w:val="24"/>
        </w:rPr>
        <w:t>Limitations</w:t>
      </w:r>
      <w:r>
        <w:rPr>
          <w:rFonts w:ascii="Times New Roman" w:hAnsi="Times New Roman"/>
          <w:sz w:val="24"/>
        </w:rPr>
        <w:t>: Requires deep expertise in both AWS and Azure networking and route propagation mechanics.</w:t>
      </w:r>
    </w:p>
    <w:p>
      <w:pPr>
        <w:keepNext/>
        <w:spacing w:before="240" w:after="120"/>
      </w:pPr>
      <w:r>
        <w:rPr>
          <w:rFonts w:ascii="Times New Roman" w:hAnsi="Times New Roman"/>
          <w:b/>
          <w:color w:val="366092"/>
          <w:sz w:val="27"/>
        </w:rPr>
        <w:t>2.11.3 Approach 3: Dedicated Private Interconnect (AWS Direct Connect + Azure ExpressRoute)</w:t>
      </w:r>
    </w:p>
    <w:p>
      <w:pPr>
        <w:pStyle w:val="ListBullet"/>
        <w:spacing w:after="80"/>
        <w:ind w:left="360"/>
      </w:pPr>
      <w:r>
        <w:rPr>
          <w:rFonts w:ascii="Times New Roman" w:hAnsi="Times New Roman"/>
          <w:b/>
          <w:sz w:val="24"/>
        </w:rPr>
        <w:t>Description</w:t>
      </w:r>
      <w:r>
        <w:rPr>
          <w:rFonts w:ascii="Times New Roman" w:hAnsi="Times New Roman"/>
          <w:sz w:val="24"/>
        </w:rPr>
        <w:t>: Connects cloud environments via dedicated, private telecommunications circuits and cloud exchange providers.</w:t>
      </w:r>
    </w:p>
    <w:p>
      <w:pPr>
        <w:pStyle w:val="ListBullet"/>
        <w:spacing w:after="80"/>
        <w:ind w:left="360"/>
      </w:pPr>
      <w:r>
        <w:rPr>
          <w:rFonts w:ascii="Times New Roman" w:hAnsi="Times New Roman"/>
          <w:b/>
          <w:sz w:val="24"/>
        </w:rPr>
        <w:t>Advantages</w:t>
      </w:r>
      <w:r>
        <w:rPr>
          <w:rFonts w:ascii="Times New Roman" w:hAnsi="Times New Roman"/>
          <w:sz w:val="24"/>
        </w:rPr>
        <w:t>: Highly predictable latency, high throughput, bypasses public Internet entirely.</w:t>
      </w:r>
    </w:p>
    <w:p>
      <w:pPr>
        <w:pStyle w:val="ListBullet"/>
        <w:spacing w:after="80"/>
        <w:ind w:left="360"/>
      </w:pPr>
      <w:r>
        <w:rPr>
          <w:rFonts w:ascii="Times New Roman" w:hAnsi="Times New Roman"/>
          <w:b/>
          <w:sz w:val="24"/>
        </w:rPr>
        <w:t>Limitations</w:t>
      </w:r>
      <w:r>
        <w:rPr>
          <w:rFonts w:ascii="Times New Roman" w:hAnsi="Times New Roman"/>
          <w:sz w:val="24"/>
        </w:rPr>
        <w:t>: Prohibitive cost, long carrier procurement lead times, unsuitable for an academic laboratory project.</w:t>
      </w:r>
    </w:p>
    <w:p>
      <w:pPr>
        <w:keepNext/>
        <w:spacing w:before="240" w:after="120"/>
      </w:pPr>
      <w:r>
        <w:rPr>
          <w:rFonts w:ascii="Times New Roman" w:hAnsi="Times New Roman"/>
          <w:b/>
          <w:color w:val="366092"/>
          <w:sz w:val="27"/>
        </w:rPr>
        <w:t>2.11.4 Approach 4: Third-Party Multi-Cloud Overlay (e.g., Aviatrix, Megaport)</w:t>
      </w:r>
    </w:p>
    <w:p>
      <w:pPr>
        <w:pStyle w:val="ListBullet"/>
        <w:spacing w:after="80"/>
        <w:ind w:left="360"/>
      </w:pPr>
      <w:r>
        <w:rPr>
          <w:rFonts w:ascii="Times New Roman" w:hAnsi="Times New Roman"/>
          <w:b/>
          <w:sz w:val="24"/>
        </w:rPr>
        <w:t>Description</w:t>
      </w:r>
      <w:r>
        <w:rPr>
          <w:rFonts w:ascii="Times New Roman" w:hAnsi="Times New Roman"/>
          <w:sz w:val="24"/>
        </w:rPr>
        <w:t>: Deploys proprietary third-party software gateways across clouds to provide a unified routing and security control plane.</w:t>
      </w:r>
    </w:p>
    <w:p>
      <w:pPr>
        <w:pStyle w:val="ListBullet"/>
        <w:spacing w:after="80"/>
        <w:ind w:left="360"/>
      </w:pPr>
      <w:r>
        <w:rPr>
          <w:rFonts w:ascii="Times New Roman" w:hAnsi="Times New Roman"/>
          <w:b/>
          <w:sz w:val="24"/>
        </w:rPr>
        <w:t>Advantages</w:t>
      </w:r>
      <w:r>
        <w:rPr>
          <w:rFonts w:ascii="Times New Roman" w:hAnsi="Times New Roman"/>
          <w:sz w:val="24"/>
        </w:rPr>
        <w:t>: Abstracted management portal, simplified cross-cloud IP routing.</w:t>
      </w:r>
    </w:p>
    <w:p>
      <w:pPr>
        <w:pStyle w:val="ListBullet"/>
        <w:spacing w:after="80"/>
        <w:ind w:left="360"/>
      </w:pPr>
      <w:r>
        <w:rPr>
          <w:rFonts w:ascii="Times New Roman" w:hAnsi="Times New Roman"/>
          <w:b/>
          <w:sz w:val="24"/>
        </w:rPr>
        <w:t>Limitations</w:t>
      </w:r>
      <w:r>
        <w:rPr>
          <w:rFonts w:ascii="Times New Roman" w:hAnsi="Times New Roman"/>
          <w:sz w:val="24"/>
        </w:rPr>
        <w:t>: Commercial licensing costs, vendor lock-in to a third-party controller, masks underlying cloud provider mechanics.</w:t>
      </w:r>
    </w:p>
    <w:p>
      <w:pPr>
        <w:keepNext/>
        <w:spacing w:before="240" w:after="120"/>
      </w:pPr>
      <w:r>
        <w:rPr>
          <w:rFonts w:ascii="Times New Roman" w:hAnsi="Times New Roman"/>
          <w:b/>
          <w:color w:val="366092"/>
          <w:sz w:val="27"/>
        </w:rPr>
        <w:t>2.11.5 Approach 5: Service-Mesh Inter-Cloud (e.g., Istio / Linkerd Multi-Cluster)</w:t>
      </w:r>
    </w:p>
    <w:p>
      <w:pPr>
        <w:pStyle w:val="ListBullet"/>
        <w:spacing w:after="80"/>
        <w:ind w:left="360"/>
      </w:pPr>
      <w:r>
        <w:rPr>
          <w:rFonts w:ascii="Times New Roman" w:hAnsi="Times New Roman"/>
          <w:b/>
          <w:sz w:val="24"/>
        </w:rPr>
        <w:t>Description</w:t>
      </w:r>
      <w:r>
        <w:rPr>
          <w:rFonts w:ascii="Times New Roman" w:hAnsi="Times New Roman"/>
          <w:sz w:val="24"/>
        </w:rPr>
        <w:t>: Deploys service mesh proxies across containerised workloads (EKS/AKS) to enforce mutual TLS (mTLS) and microservice identities.</w:t>
      </w:r>
    </w:p>
    <w:p>
      <w:pPr>
        <w:pStyle w:val="ListBullet"/>
        <w:spacing w:after="80"/>
        <w:ind w:left="360"/>
      </w:pPr>
      <w:r>
        <w:rPr>
          <w:rFonts w:ascii="Times New Roman" w:hAnsi="Times New Roman"/>
          <w:b/>
          <w:sz w:val="24"/>
        </w:rPr>
        <w:t>Advantages</w:t>
      </w:r>
      <w:r>
        <w:rPr>
          <w:rFonts w:ascii="Times New Roman" w:hAnsi="Times New Roman"/>
          <w:sz w:val="24"/>
        </w:rPr>
        <w:t>: Granular Layer 7 (Application) Zero Trust security, aligns with NIST SP 800-207A.</w:t>
      </w:r>
    </w:p>
    <w:p>
      <w:pPr>
        <w:pStyle w:val="ListBullet"/>
        <w:spacing w:after="80"/>
        <w:ind w:left="360"/>
      </w:pPr>
      <w:r>
        <w:rPr>
          <w:rFonts w:ascii="Times New Roman" w:hAnsi="Times New Roman"/>
          <w:b/>
          <w:sz w:val="24"/>
        </w:rPr>
        <w:t>Limitations</w:t>
      </w:r>
      <w:r>
        <w:rPr>
          <w:rFonts w:ascii="Times New Roman" w:hAnsi="Times New Roman"/>
          <w:sz w:val="24"/>
        </w:rPr>
        <w:t>: Extreme operational complexity, high resource overhead, requires containerized microservices infrastructure.</w:t>
      </w:r>
    </w:p>
    <w:p>
      <w:pPr>
        <w:spacing w:before="120" w:after="120"/>
      </w:pPr>
      <w:r>
        <w:rPr>
          <w:color w:val="CCCCCC"/>
        </w:rPr>
        <w:t>――――――――――――――――――――――――――――――――――――――――――――――――――</w:t>
      </w:r>
    </w:p>
    <w:p>
      <w:pPr>
        <w:keepNext/>
        <w:spacing w:before="280" w:after="160"/>
      </w:pPr>
      <w:r>
        <w:rPr>
          <w:rFonts w:ascii="Times New Roman" w:hAnsi="Times New Roman"/>
          <w:b/>
          <w:color w:val="1F497D"/>
          <w:sz w:val="32"/>
        </w:rPr>
        <w:t>2.12 Critical Analysis of the Literature</w:t>
      </w:r>
    </w:p>
    <w:p>
      <w:pPr>
        <w:pStyle w:val="ListNumber"/>
        <w:spacing w:after="80"/>
        <w:ind w:left="360"/>
      </w:pPr>
      <w:r>
        <w:rPr>
          <w:rFonts w:ascii="Times New Roman" w:hAnsi="Times New Roman"/>
          <w:b/>
          <w:sz w:val="24"/>
        </w:rPr>
        <w:t>Multi-Cloud Benefits Are Conditional</w:t>
      </w:r>
      <w:r>
        <w:rPr>
          <w:rFonts w:ascii="Times New Roman" w:hAnsi="Times New Roman"/>
          <w:sz w:val="24"/>
        </w:rPr>
        <w:t>: Literature frequently touts resilience and vendor flexibility as automatic benefits of multi-cloud adoption. Critical evaluation reveals that deploying workloads across two clouds without rigorous cross-cloud failover testing and unified identity governance increases failure modes rather than reducing risk.</w:t>
      </w:r>
    </w:p>
    <w:p>
      <w:pPr>
        <w:pStyle w:val="ListNumber"/>
        <w:spacing w:after="80"/>
        <w:ind w:left="360"/>
      </w:pPr>
      <w:r>
        <w:rPr>
          <w:rFonts w:ascii="Times New Roman" w:hAnsi="Times New Roman"/>
          <w:b/>
          <w:sz w:val="24"/>
        </w:rPr>
        <w:t>Native Cloud Services Offer Capability, Not Automatic Integration</w:t>
      </w:r>
      <w:r>
        <w:rPr>
          <w:rFonts w:ascii="Times New Roman" w:hAnsi="Times New Roman"/>
          <w:sz w:val="24"/>
        </w:rPr>
        <w:t>: AWS and Azure provide sophisticated individual security tools. However, vendor documentation naturally focuses on single-platform operations. The challenge is synthesizing these disparate services into one coherent, cross-cloud security policy.</w:t>
      </w:r>
    </w:p>
    <w:p>
      <w:pPr>
        <w:pStyle w:val="ListNumber"/>
        <w:spacing w:after="80"/>
        <w:ind w:left="360"/>
      </w:pPr>
      <w:r>
        <w:rPr>
          <w:rFonts w:ascii="Times New Roman" w:hAnsi="Times New Roman"/>
          <w:b/>
          <w:sz w:val="24"/>
        </w:rPr>
        <w:t>Zero Trust Is an Architecture, Not a Product Feature</w:t>
      </w:r>
      <w:r>
        <w:rPr>
          <w:rFonts w:ascii="Times New Roman" w:hAnsi="Times New Roman"/>
          <w:sz w:val="24"/>
        </w:rPr>
        <w:t>: Vendor marketing often labels individual products (such as encrypted VPNs) as "Zero Trust." In reality, Zero Trust requires explicit policy engine evaluation, identity context, micro-segmentation, and continuous telemetry correlation across network, application, and identity layers.</w:t>
      </w:r>
    </w:p>
    <w:p>
      <w:pPr>
        <w:pStyle w:val="ListNumber"/>
        <w:spacing w:after="80"/>
        <w:ind w:left="360"/>
      </w:pPr>
      <w:r>
        <w:rPr>
          <w:rFonts w:ascii="Times New Roman" w:hAnsi="Times New Roman"/>
          <w:b/>
          <w:sz w:val="24"/>
        </w:rPr>
        <w:t>IaC Improves Repeatability But Can Automate Insecure Design</w:t>
      </w:r>
      <w:r>
        <w:rPr>
          <w:rFonts w:ascii="Times New Roman" w:hAnsi="Times New Roman"/>
          <w:sz w:val="24"/>
        </w:rPr>
        <w:t>: While Infrastructure as Code enables rapid, reproducible deployments, empirical studies show that Terraform scripts frequently contain security defects. IaC must be combined with static analysis, protected state backends, and post-deployment configuration auditing.</w:t>
      </w:r>
    </w:p>
    <w:p>
      <w:pPr>
        <w:pStyle w:val="ListNumber"/>
        <w:spacing w:after="80"/>
        <w:ind w:left="360"/>
      </w:pPr>
      <w:r>
        <w:rPr>
          <w:rFonts w:ascii="Times New Roman" w:hAnsi="Times New Roman"/>
          <w:b/>
          <w:sz w:val="24"/>
        </w:rPr>
        <w:t>Federation Centralizes Control and Risk</w:t>
      </w:r>
      <w:r>
        <w:rPr>
          <w:rFonts w:ascii="Times New Roman" w:hAnsi="Times New Roman"/>
          <w:sz w:val="24"/>
        </w:rPr>
        <w:t>: Federating AWS login to Microsoft Entra ID streamlines access control and auditability. However, it creates a single point of failure—if the central IdP is compromised or misconfigured, administrative access to both cloud platforms is compromised.</w:t>
      </w:r>
    </w:p>
    <w:p>
      <w:pPr>
        <w:spacing w:before="120" w:after="120"/>
      </w:pPr>
      <w:r>
        <w:rPr>
          <w:color w:val="CCCCCC"/>
        </w:rPr>
        <w:t>――――――――――――――――――――――――――――――――――――――――――――――――――</w:t>
      </w:r>
    </w:p>
    <w:p>
      <w:pPr>
        <w:keepNext/>
        <w:spacing w:before="280" w:after="160"/>
      </w:pPr>
      <w:r>
        <w:rPr>
          <w:rFonts w:ascii="Times New Roman" w:hAnsi="Times New Roman"/>
          <w:b/>
          <w:color w:val="1F497D"/>
          <w:sz w:val="32"/>
        </w:rPr>
        <w:t>2.13 Gap Analysis</w:t>
      </w:r>
    </w:p>
    <w:p>
      <w:pPr>
        <w:keepNext/>
        <w:spacing w:before="240" w:after="120"/>
      </w:pPr>
      <w:r>
        <w:rPr>
          <w:rFonts w:ascii="Times New Roman" w:hAnsi="Times New Roman"/>
          <w:b/>
          <w:color w:val="366092"/>
          <w:sz w:val="27"/>
        </w:rPr>
        <w:t>2.13.1 Identification of Literature and Practical Gaps</w:t>
      </w:r>
    </w:p>
    <w:p>
      <w:pPr>
        <w:spacing w:after="120" w:line="300" w:lineRule="auto"/>
      </w:pPr>
      <w:r>
        <w:rPr>
          <w:rFonts w:ascii="Times New Roman" w:hAnsi="Times New Roman"/>
          <w:sz w:val="24"/>
        </w:rPr>
        <w:t>Despite extensive published research on cloud security, Zero Trust, and IaC, six interconnected gaps persist:</w:t>
      </w:r>
    </w:p>
    <w:p>
      <w:pPr>
        <w:pStyle w:val="ListNumber"/>
        <w:spacing w:after="80"/>
        <w:ind w:left="360"/>
      </w:pPr>
      <w:r>
        <w:rPr>
          <w:rFonts w:ascii="Times New Roman" w:hAnsi="Times New Roman"/>
          <w:b/>
          <w:sz w:val="24"/>
        </w:rPr>
        <w:t>Conceptual Gap</w:t>
      </w:r>
      <w:r>
        <w:rPr>
          <w:rFonts w:ascii="Times New Roman" w:hAnsi="Times New Roman"/>
          <w:sz w:val="24"/>
        </w:rPr>
        <w:t>: Existing literature addresses Zero Trust, multi-cloud networking, and identity governance in isolation. There is a lack of an integrated conceptual-to-technical framework connecting NIST Zero Trust tenets, CSA CCM v4.1 controls, and concrete AWS–Azure configurations.</w:t>
      </w:r>
    </w:p>
    <w:p>
      <w:pPr>
        <w:pStyle w:val="ListNumber"/>
        <w:spacing w:after="80"/>
        <w:ind w:left="360"/>
      </w:pPr>
      <w:r>
        <w:rPr>
          <w:rFonts w:ascii="Times New Roman" w:hAnsi="Times New Roman"/>
          <w:b/>
          <w:sz w:val="24"/>
        </w:rPr>
        <w:t>Implementation Gap</w:t>
      </w:r>
      <w:r>
        <w:rPr>
          <w:rFonts w:ascii="Times New Roman" w:hAnsi="Times New Roman"/>
          <w:sz w:val="24"/>
        </w:rPr>
        <w:t>: Academic studies present theoretical frameworks or taxonomies, while vendor materials present single-cloud guides. There is a shortage of documented, end-to-end, reproducible implementations incorporating native AWS TGW, Azure Active-Active VPN Gateway, BGP, Entra-to-AWS federation, and modular Terraform scripts.</w:t>
      </w:r>
    </w:p>
    <w:p>
      <w:pPr>
        <w:pStyle w:val="ListNumber"/>
        <w:spacing w:after="80"/>
        <w:ind w:left="360"/>
      </w:pPr>
      <w:r>
        <w:rPr>
          <w:rFonts w:ascii="Times New Roman" w:hAnsi="Times New Roman"/>
          <w:b/>
          <w:sz w:val="24"/>
        </w:rPr>
        <w:t>Evaluation Gap</w:t>
      </w:r>
      <w:r>
        <w:rPr>
          <w:rFonts w:ascii="Times New Roman" w:hAnsi="Times New Roman"/>
          <w:sz w:val="24"/>
        </w:rPr>
        <w:t>: Cloud security implementations are frequently declared "secure" or "resilient" based on conceptual design alone. Few studies provide combined empirical evaluations measuring configuration posture (Prowler/ScoutSuite), network performance (latency/throughput via ping/iperf3), and measured failover recovery time (RTO).</w:t>
      </w:r>
    </w:p>
    <w:p>
      <w:pPr>
        <w:pStyle w:val="ListNumber"/>
        <w:spacing w:after="80"/>
        <w:ind w:left="360"/>
      </w:pPr>
      <w:r>
        <w:rPr>
          <w:rFonts w:ascii="Times New Roman" w:hAnsi="Times New Roman"/>
          <w:b/>
          <w:sz w:val="24"/>
        </w:rPr>
        <w:t>Identity Integration Gap</w:t>
      </w:r>
      <w:r>
        <w:rPr>
          <w:rFonts w:ascii="Times New Roman" w:hAnsi="Times New Roman"/>
          <w:sz w:val="24"/>
        </w:rPr>
        <w:t>: Network architecture literature frequently treats identity administration as a separate domain. There is insufficient empirical research evaluating SAML 2.0 / SCIM workforce federation integrated directly with network-level micro-segmentation and cross-cloud logging.</w:t>
      </w:r>
    </w:p>
    <w:p>
      <w:pPr>
        <w:pStyle w:val="ListNumber"/>
        <w:spacing w:after="80"/>
        <w:ind w:left="360"/>
      </w:pPr>
      <w:r>
        <w:rPr>
          <w:rFonts w:ascii="Times New Roman" w:hAnsi="Times New Roman"/>
          <w:b/>
          <w:sz w:val="24"/>
        </w:rPr>
        <w:t>Infrastructure as Code Security Gap</w:t>
      </w:r>
      <w:r>
        <w:rPr>
          <w:rFonts w:ascii="Times New Roman" w:hAnsi="Times New Roman"/>
          <w:sz w:val="24"/>
        </w:rPr>
        <w:t>: Terraform examples often demonstrate basic single-provider resource creation, omitting multi-cloud dependency resolution, remote state locking, secret handling, and post-deployment validation.</w:t>
      </w:r>
    </w:p>
    <w:p>
      <w:pPr>
        <w:pStyle w:val="ListNumber"/>
        <w:spacing w:after="80"/>
        <w:ind w:left="360"/>
      </w:pPr>
      <w:r>
        <w:rPr>
          <w:rFonts w:ascii="Times New Roman" w:hAnsi="Times New Roman"/>
          <w:b/>
          <w:sz w:val="24"/>
        </w:rPr>
        <w:t>Nigerian Contextual Gap</w:t>
      </w:r>
      <w:r>
        <w:rPr>
          <w:rFonts w:ascii="Times New Roman" w:hAnsi="Times New Roman"/>
          <w:sz w:val="24"/>
        </w:rPr>
        <w:t xml:space="preserve">: A substantial body of cloud literature is situated in developed markets. There is a total lack of implemented multi-cloud reference architectures structured specifically around the technical and legal requirements of the </w:t>
      </w:r>
      <w:r>
        <w:rPr>
          <w:rFonts w:ascii="Times New Roman" w:hAnsi="Times New Roman"/>
          <w:b/>
          <w:sz w:val="24"/>
        </w:rPr>
        <w:t>Nigeria Data Protection Act 2023</w:t>
      </w:r>
      <w:r>
        <w:rPr>
          <w:rFonts w:ascii="Times New Roman" w:hAnsi="Times New Roman"/>
          <w:sz w:val="24"/>
        </w:rPr>
        <w:t xml:space="preserve"> and the </w:t>
      </w:r>
      <w:r>
        <w:rPr>
          <w:rFonts w:ascii="Times New Roman" w:hAnsi="Times New Roman"/>
          <w:b/>
          <w:sz w:val="24"/>
        </w:rPr>
        <w:t>National Cloud Policy 2025</w:t>
      </w:r>
      <w:r>
        <w:rPr>
          <w:rFonts w:ascii="Times New Roman" w:hAnsi="Times New Roman"/>
          <w:sz w:val="24"/>
        </w:rPr>
        <w:t>.</w:t>
      </w:r>
    </w:p>
    <w:p>
      <w:pPr>
        <w:keepNext/>
        <w:spacing w:before="240" w:after="120"/>
      </w:pPr>
      <w:r>
        <w:rPr>
          <w:rFonts w:ascii="Times New Roman" w:hAnsi="Times New Roman"/>
          <w:b/>
          <w:color w:val="366092"/>
          <w:sz w:val="27"/>
        </w:rPr>
        <w:t>2.13.2 Consolidated Gap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Literature &amp; Solution Area</w:t>
            </w:r>
          </w:p>
        </w:tc>
        <w:tc>
          <w:tcPr>
            <w:tcW w:type="dxa" w:w="234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Current State of Knowledge</w:t>
            </w:r>
          </w:p>
        </w:tc>
        <w:tc>
          <w:tcPr>
            <w:tcW w:type="dxa" w:w="234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Main Limitation / Gap</w:t>
            </w:r>
          </w:p>
        </w:tc>
        <w:tc>
          <w:tcPr>
            <w:tcW w:type="dxa" w:w="234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Project Response &amp; Contribution</w:t>
            </w:r>
          </w:p>
        </w:tc>
      </w:tr>
      <w:tr>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Multi-Cloud Architecture</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High-level taxonomies, benefits, &amp; challenges (Petcu, 2013; Alonso et al., 2023).</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Lack of documented, reproducible, provider-native AWS–Azure reference designs.</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Implements a native Hub-and-Spoke architecture using AWS TGW &amp; Azure VPN Gateway.</w:t>
            </w:r>
          </w:p>
        </w:tc>
      </w:tr>
      <w:tr>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Zero Trust Operationalization</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NIST SP 800-207/207A theoretical principles (Rose et al., 2020).</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Few empirical evaluations on public cloud IaaS/PaaS multi-cloud deployments.</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Operationalises ZTA via policy engine mapping, micro-segmentation, and negative testing.</w:t>
            </w:r>
          </w:p>
        </w:tc>
      </w:tr>
      <w:tr>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Identity Governance</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SAML/SCIM protocol specifications &amp; enterprise IdP guides.</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Identity is separated from network architecture &amp; cross-cloud auditability.</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Federates Entra ID to AWS IAM Identity Center via SAML/SCIM, eliminating static keys.</w:t>
            </w:r>
          </w:p>
        </w:tc>
      </w:tr>
      <w:tr>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Infrastructure as Code</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Terraform syntax guides &amp; single-provider examples.</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IaC scripts often contain security smells; cross-provider dependencies unhandled.</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Modular, version-constrained Terraform codebase with encrypted remote state &amp; scanning.</w:t>
            </w:r>
          </w:p>
        </w:tc>
      </w:tr>
      <w:tr>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Empirical Evaluation</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Separate studies on latency OR security posture OR resilience.</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Absence of combined tri-dimensional (Security + Performance + Failover RTO) metrics.</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Evaluates system via Prowler, ScoutSuite, ping, iperf3, and simulated tunnel failure.</w:t>
            </w:r>
          </w:p>
        </w:tc>
      </w:tr>
      <w:tr>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Nigerian Sovereign Context</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Policy mandates (National Cloud Policy 2025; NDPA 2023).</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Policy requirements are discussed abstractly without technical code mapping.</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Translates NDPA 2023 &amp; Cloud Policy 2025 into explicit route, encryption, &amp; IAM rules.</w:t>
            </w:r>
          </w:p>
        </w:tc>
      </w:tr>
    </w:tbl>
    <w:p>
      <w:pPr>
        <w:keepNext/>
        <w:spacing w:before="240" w:after="120"/>
      </w:pPr>
      <w:r>
        <w:rPr>
          <w:rFonts w:ascii="Times New Roman" w:hAnsi="Times New Roman"/>
          <w:b/>
          <w:color w:val="366092"/>
          <w:sz w:val="27"/>
        </w:rPr>
        <w:t>2.13.3 Research Gap Statement</w:t>
      </w:r>
    </w:p>
    <w:p>
      <w:pPr>
        <w:spacing w:after="120" w:line="300" w:lineRule="auto"/>
      </w:pPr>
      <w:r>
        <w:rPr>
          <w:rFonts w:ascii="Times New Roman" w:hAnsi="Times New Roman"/>
          <w:sz w:val="24"/>
        </w:rPr>
        <w:t>Current literature and vendor documentation do not provide an integrated, reproducible, and empirically evaluated AWS–Azure multi-cloud reference architecture that combines native hub-and-spoke networking, route-based IPsec VPN with BGP, tier-level micro-segmentation, Entra-to-AWS SAML/SCIM identity federation, centralized telemetry, and modular Terraform Infrastructure as Code, evaluated across security posture, network performance, and failover resilience within a Nigerian sovereign compliance context.</w:t>
      </w:r>
    </w:p>
    <w:p>
      <w:pPr>
        <w:spacing w:after="120" w:line="300" w:lineRule="auto"/>
      </w:pPr>
      <w:r>
        <w:rPr>
          <w:rFonts w:ascii="Times New Roman" w:hAnsi="Times New Roman"/>
          <w:sz w:val="24"/>
        </w:rPr>
        <w:t>This project is specifically designed to fill this gap at a proof-of-concept scale.</w:t>
      </w:r>
    </w:p>
    <w:p>
      <w:pPr>
        <w:keepNext/>
        <w:spacing w:before="360" w:after="240"/>
      </w:pPr>
      <w:r>
        <w:rPr>
          <w:rFonts w:ascii="Times New Roman" w:hAnsi="Times New Roman"/>
          <w:b/>
          <w:color w:val="1F497D"/>
          <w:sz w:val="40"/>
        </w:rPr>
        <w:t>CHAPTER THREE: METHODOLOGY AND SYSTEM DESIGN</w:t>
      </w:r>
    </w:p>
    <w:p>
      <w:pPr>
        <w:keepNext/>
        <w:spacing w:before="280" w:after="160"/>
      </w:pPr>
      <w:r>
        <w:rPr>
          <w:rFonts w:ascii="Times New Roman" w:hAnsi="Times New Roman"/>
          <w:b/>
          <w:color w:val="1F497D"/>
          <w:sz w:val="32"/>
        </w:rPr>
        <w:t>3.0 Introduction</w:t>
      </w:r>
    </w:p>
    <w:p>
      <w:pPr>
        <w:spacing w:after="120" w:line="300" w:lineRule="auto"/>
      </w:pPr>
      <w:r>
        <w:rPr>
          <w:rFonts w:ascii="Times New Roman" w:hAnsi="Times New Roman"/>
          <w:sz w:val="24"/>
        </w:rPr>
        <w:t>This chapter presents the methodology and comprehensive technical system design for the secure Amazon Web Services (AWS) and Microsoft Azure multi-cloud architecture. It translates the problems, theoretical principles, and research gaps identified in Chapters One and Two into an engineered, implementable, and testable solution.</w:t>
      </w:r>
    </w:p>
    <w:p>
      <w:pPr>
        <w:spacing w:after="120" w:line="300" w:lineRule="auto"/>
      </w:pPr>
      <w:r>
        <w:rPr>
          <w:rFonts w:ascii="Times New Roman" w:hAnsi="Times New Roman"/>
          <w:sz w:val="24"/>
        </w:rPr>
        <w:t xml:space="preserve">The chapter adopts </w:t>
      </w:r>
      <w:r>
        <w:rPr>
          <w:rFonts w:ascii="Times New Roman" w:hAnsi="Times New Roman"/>
          <w:b/>
          <w:sz w:val="24"/>
        </w:rPr>
        <w:t>Design Science Research Methodology (DSRM)</w:t>
      </w:r>
      <w:r>
        <w:rPr>
          <w:rFonts w:ascii="Times New Roman" w:hAnsi="Times New Roman"/>
          <w:sz w:val="24"/>
        </w:rPr>
        <w:t xml:space="preserve"> as the core research framework. The engineered artefact comprises the dual-cloud network environments, encrypted route-based IPsec VPN connectivity with Border Gateway Protocol (BGP), micro-segmented three-tier enterprise workload, Microsoft Entra ID to AWS IAM Identity Center federation, centralized observability pipeline, modular Terraform Infrastructure as Code (IaC), and empirical testing harnesses.</w:t>
      </w:r>
    </w:p>
    <w:p>
      <w:pPr>
        <w:spacing w:before="120" w:after="120"/>
      </w:pPr>
      <w:r>
        <w:rPr>
          <w:color w:val="CCCCCC"/>
        </w:rPr>
        <w:t>――――――――――――――――――――――――――――――――――――――――――――――――――</w:t>
      </w:r>
    </w:p>
    <w:p>
      <w:pPr>
        <w:keepNext/>
        <w:spacing w:before="280" w:after="160"/>
      </w:pPr>
      <w:r>
        <w:rPr>
          <w:rFonts w:ascii="Times New Roman" w:hAnsi="Times New Roman"/>
          <w:b/>
          <w:color w:val="1F497D"/>
          <w:sz w:val="32"/>
        </w:rPr>
        <w:t>3.1 Project Methodology</w:t>
      </w:r>
    </w:p>
    <w:p>
      <w:pPr>
        <w:keepNext/>
        <w:spacing w:before="240" w:after="120"/>
      </w:pPr>
      <w:r>
        <w:rPr>
          <w:rFonts w:ascii="Times New Roman" w:hAnsi="Times New Roman"/>
          <w:b/>
          <w:color w:val="366092"/>
          <w:sz w:val="27"/>
        </w:rPr>
        <w:t>3.1.1 Application of Design Science Research Methodology</w:t>
      </w:r>
    </w:p>
    <w:p>
      <w:pPr>
        <w:spacing w:after="120" w:line="300" w:lineRule="auto"/>
      </w:pPr>
      <w:r>
        <w:rPr>
          <w:rFonts w:ascii="Times New Roman" w:hAnsi="Times New Roman"/>
          <w:sz w:val="24"/>
        </w:rPr>
        <w:t>DSRM structures the research into six iterations:</w:t>
      </w:r>
    </w:p>
    <w:p>
      <w:pPr>
        <w:spacing w:before="120" w:after="120"/>
        <w:ind w:left="576" w:right="576"/>
      </w:pPr>
      <w:r>
        <w:rPr>
          <w:rFonts w:ascii="Consolas" w:hAnsi="Consolas"/>
          <w:color w:val="1F2937"/>
          <w:sz w:val="19"/>
        </w:rPr>
        <w:t>flowchart LR</w:t>
        <w:br/>
        <w:t xml:space="preserve">    P1["1. Problem Identification&lt;br/&gt;(Ad-hoc Multi-Cloud Risks)"] --&gt; P2["2. Solution Objectives&lt;br/&gt;(Security, Performance, RTO)"]</w:t>
        <w:br/>
        <w:t xml:space="preserve">    P2 --&gt; P3["3. Design &amp; Development&lt;br/&gt;(Hub-Spoke, Zero Trust, IaC)"]</w:t>
        <w:br/>
        <w:t xml:space="preserve">    P3 --&gt; P4["4. Demonstration&lt;br/&gt;(Terraform Deployment)"]</w:t>
        <w:br/>
        <w:t xml:space="preserve">    P4 --&gt; P5["5. Evaluation&lt;br/&gt;(Prowler, iPerf3, Failover)"]</w:t>
        <w:br/>
        <w:t xml:space="preserve">    P5 --&gt; P6["6. Communication&lt;br/&gt;(Thesis &amp; Artifacts)"]</w:t>
        <w:br/>
        <w:t xml:space="preserve">    P5 -- "Iterative Feedback Loop" --&gt; P3</w:t>
      </w:r>
    </w:p>
    <w:p>
      <w:pPr>
        <w:spacing w:after="120" w:line="300" w:lineRule="auto"/>
      </w:pPr>
      <w:r>
        <w:rPr>
          <w:rFonts w:ascii="Times New Roman" w:hAnsi="Times New Roman"/>
          <w:b/>
          <w:sz w:val="24"/>
        </w:rPr>
        <w:t>Figure 3.1: DSRM Iterative Development and Evaluation Cycle</w:t>
      </w:r>
    </w:p>
    <w:p>
      <w:pPr>
        <w:pStyle w:val="ListNumber"/>
        <w:spacing w:after="80"/>
        <w:ind w:left="360"/>
      </w:pPr>
      <w:r>
        <w:rPr>
          <w:rFonts w:ascii="Times New Roman" w:hAnsi="Times New Roman"/>
          <w:b/>
          <w:sz w:val="24"/>
        </w:rPr>
        <w:t>Problem Identification</w:t>
      </w:r>
      <w:r>
        <w:rPr>
          <w:rFonts w:ascii="Times New Roman" w:hAnsi="Times New Roman"/>
          <w:sz w:val="24"/>
        </w:rPr>
        <w:t>: Multi-cloud environments suffer from fragmented security policies, unmonitored attack paths, duplicated identities, and unverified resilience.</w:t>
      </w:r>
    </w:p>
    <w:p>
      <w:pPr>
        <w:pStyle w:val="ListNumber"/>
        <w:spacing w:after="80"/>
        <w:ind w:left="360"/>
      </w:pPr>
      <w:r>
        <w:rPr>
          <w:rFonts w:ascii="Times New Roman" w:hAnsi="Times New Roman"/>
          <w:b/>
          <w:sz w:val="24"/>
        </w:rPr>
        <w:t>Objectives of a Solution</w:t>
      </w:r>
      <w:r>
        <w:rPr>
          <w:rFonts w:ascii="Times New Roman" w:hAnsi="Times New Roman"/>
          <w:sz w:val="24"/>
        </w:rPr>
        <w:t>: Design an architecture providing deny-by-default segmentation, sub-100ms inter-cloud latency, federated identity, automated IaC deployment, and measurable failover.</w:t>
      </w:r>
    </w:p>
    <w:p>
      <w:pPr>
        <w:pStyle w:val="ListNumber"/>
        <w:spacing w:after="80"/>
        <w:ind w:left="360"/>
      </w:pPr>
      <w:r>
        <w:rPr>
          <w:rFonts w:ascii="Times New Roman" w:hAnsi="Times New Roman"/>
          <w:b/>
          <w:sz w:val="24"/>
        </w:rPr>
        <w:t>Design and Development</w:t>
      </w:r>
      <w:r>
        <w:rPr>
          <w:rFonts w:ascii="Times New Roman" w:hAnsi="Times New Roman"/>
          <w:sz w:val="24"/>
        </w:rPr>
        <w:t>: Formulate network CIDR plans, security group matrices, identity federation mappings, and Terraform HCL modules.</w:t>
      </w:r>
    </w:p>
    <w:p>
      <w:pPr>
        <w:pStyle w:val="ListNumber"/>
        <w:spacing w:after="80"/>
        <w:ind w:left="360"/>
      </w:pPr>
      <w:r>
        <w:rPr>
          <w:rFonts w:ascii="Times New Roman" w:hAnsi="Times New Roman"/>
          <w:b/>
          <w:sz w:val="24"/>
        </w:rPr>
        <w:t>Demonstration</w:t>
      </w:r>
      <w:r>
        <w:rPr>
          <w:rFonts w:ascii="Times New Roman" w:hAnsi="Times New Roman"/>
          <w:sz w:val="24"/>
        </w:rPr>
        <w:t>: Instantiate the infrastructure using Terraform across AWS and Azure.</w:t>
      </w:r>
    </w:p>
    <w:p>
      <w:pPr>
        <w:pStyle w:val="ListNumber"/>
        <w:spacing w:after="80"/>
        <w:ind w:left="360"/>
      </w:pPr>
      <w:r>
        <w:rPr>
          <w:rFonts w:ascii="Times New Roman" w:hAnsi="Times New Roman"/>
          <w:b/>
          <w:sz w:val="24"/>
        </w:rPr>
        <w:t>Evaluation</w:t>
      </w:r>
      <w:r>
        <w:rPr>
          <w:rFonts w:ascii="Times New Roman" w:hAnsi="Times New Roman"/>
          <w:sz w:val="24"/>
        </w:rPr>
        <w:t>: Subject the artefact to security posture scans, network performance benchmarking, and simulated tunnel failover.</w:t>
      </w:r>
    </w:p>
    <w:p>
      <w:pPr>
        <w:pStyle w:val="ListNumber"/>
        <w:spacing w:after="80"/>
        <w:ind w:left="360"/>
      </w:pPr>
      <w:r>
        <w:rPr>
          <w:rFonts w:ascii="Times New Roman" w:hAnsi="Times New Roman"/>
          <w:b/>
          <w:sz w:val="24"/>
        </w:rPr>
        <w:t>Communication</w:t>
      </w:r>
      <w:r>
        <w:rPr>
          <w:rFonts w:ascii="Times New Roman" w:hAnsi="Times New Roman"/>
          <w:sz w:val="24"/>
        </w:rPr>
        <w:t>: Document the technical findings, code, and professional guidelines.</w:t>
      </w:r>
    </w:p>
    <w:p>
      <w:pPr>
        <w:spacing w:before="120" w:after="120"/>
      </w:pPr>
      <w:r>
        <w:rPr>
          <w:color w:val="CCCCCC"/>
        </w:rPr>
        <w:t>――――――――――――――――――――――――――――――――――――――――――――――――――</w:t>
      </w:r>
    </w:p>
    <w:p>
      <w:pPr>
        <w:keepNext/>
        <w:spacing w:before="280" w:after="160"/>
      </w:pPr>
      <w:r>
        <w:rPr>
          <w:rFonts w:ascii="Times New Roman" w:hAnsi="Times New Roman"/>
          <w:b/>
          <w:color w:val="1F497D"/>
          <w:sz w:val="32"/>
        </w:rPr>
        <w:t>3.2 System Architecture and Design Planes</w:t>
      </w:r>
    </w:p>
    <w:p>
      <w:pPr>
        <w:spacing w:after="120" w:line="300" w:lineRule="auto"/>
      </w:pPr>
      <w:r>
        <w:rPr>
          <w:rFonts w:ascii="Times New Roman" w:hAnsi="Times New Roman"/>
          <w:sz w:val="24"/>
        </w:rPr>
        <w:t>The architecture is organized into five functional planes:</w:t>
      </w:r>
    </w:p>
    <w:p>
      <w:pPr>
        <w:spacing w:before="120" w:after="120"/>
        <w:ind w:left="576" w:right="576"/>
      </w:pPr>
      <w:r>
        <w:rPr>
          <w:rFonts w:ascii="Consolas" w:hAnsi="Consolas"/>
          <w:color w:val="1F2937"/>
          <w:sz w:val="19"/>
        </w:rPr>
        <w:t>flowchart TD</w:t>
        <w:br/>
        <w:t xml:space="preserve">    subgraph AccessPlane ["1. Access Plane"]</w:t>
        <w:br/>
        <w:t xml:space="preserve">        U1[Enterprise Users] --&gt;|HTTPS 443| ALB[AWS Application Load Balancer]</w:t>
        <w:br/>
        <w:t xml:space="preserve">        A1[Administrators] --&gt;|SAML 2.0 / MFA| Entra[Microsoft Entra ID]</w:t>
        <w:br/>
        <w:t xml:space="preserve">    end</w:t>
        <w:br/>
        <w:br/>
        <w:t xml:space="preserve">    subgraph ConnectivityPlane ["2. Connectivity Plane"]</w:t>
        <w:br/>
        <w:t xml:space="preserve">        TGW[AWS Transit Gateway] &lt;==&gt;|Route-Based IPsec + BGP| VNG[Azure Active-Active VPN Gateway]</w:t>
        <w:br/>
        <w:t xml:space="preserve">    end</w:t>
        <w:br/>
        <w:br/>
        <w:t xml:space="preserve">    subgraph ApplicationPlane ["3. Application Plane"]</w:t>
        <w:br/>
        <w:t xml:space="preserve">        Web[AWS Web Tier - Nginx] --&gt;|TCP 8080| App[AWS App Tier - Flask]</w:t>
        <w:br/>
        <w:t xml:space="preserve">        App --&gt;|TCP 5432| DB[(AWS Database Tier - PostgreSQL)]</w:t>
        <w:br/>
        <w:t xml:space="preserve">        App &lt;==&gt;|HTTPS 443 via VPN| AzApp[Azure Supporting Service]</w:t>
        <w:br/>
        <w:t xml:space="preserve">    end</w:t>
        <w:br/>
        <w:br/>
        <w:t xml:space="preserve">    subgraph SecurityPlane ["4. Security &amp; Governance Plane"]</w:t>
        <w:br/>
        <w:t xml:space="preserve">        AWS_IdC[AWS IAM Identity Center]</w:t>
        <w:br/>
        <w:t xml:space="preserve">        KMS[AWS KMS]</w:t>
        <w:br/>
        <w:t xml:space="preserve">        KV[Azure Key Vault]</w:t>
        <w:br/>
        <w:t xml:space="preserve">    end</w:t>
        <w:br/>
        <w:br/>
        <w:t xml:space="preserve">    subgraph ObservabilityPlane ["5. Observability Plane"]</w:t>
        <w:br/>
        <w:t xml:space="preserve">        CT[AWS CloudTrail &amp; Flow Logs] --&gt; LogAnalytics[Azure Log Analytics Workspace]</w:t>
        <w:br/>
        <w:t xml:space="preserve">        AL[Azure Activity Log &amp; Diag] --&gt; LogAnalytics</w:t>
        <w:br/>
        <w:t xml:space="preserve">    end</w:t>
        <w:br/>
        <w:br/>
        <w:t xml:space="preserve">    Entra --&gt; AWS_IdC</w:t>
        <w:br/>
        <w:t xml:space="preserve">    ALB --&gt; Web</w:t>
        <w:br/>
        <w:t xml:space="preserve">    Web &amp; App &amp; DB --- TGW</w:t>
        <w:br/>
        <w:t xml:space="preserve">    AzApp --- VNG</w:t>
      </w:r>
    </w:p>
    <w:p>
      <w:pPr>
        <w:spacing w:after="120" w:line="300" w:lineRule="auto"/>
      </w:pPr>
      <w:r>
        <w:rPr>
          <w:rFonts w:ascii="Times New Roman" w:hAnsi="Times New Roman"/>
          <w:b/>
          <w:sz w:val="24"/>
        </w:rPr>
        <w:t>Figure 3.2: Five-Plane Logical Multi-Cloud Architecture</w:t>
      </w:r>
    </w:p>
    <w:p>
      <w:pPr>
        <w:pStyle w:val="ListNumber"/>
        <w:spacing w:after="80"/>
        <w:ind w:left="360"/>
      </w:pPr>
      <w:r>
        <w:rPr>
          <w:rFonts w:ascii="Times New Roman" w:hAnsi="Times New Roman"/>
          <w:b/>
          <w:sz w:val="24"/>
        </w:rPr>
        <w:t>Access Plane</w:t>
      </w:r>
      <w:r>
        <w:rPr>
          <w:rFonts w:ascii="Times New Roman" w:hAnsi="Times New Roman"/>
          <w:sz w:val="24"/>
        </w:rPr>
        <w:t>: Handles user traffic entering via AWS ALB and administrative access entering via Entra ID SSO.</w:t>
      </w:r>
    </w:p>
    <w:p>
      <w:pPr>
        <w:pStyle w:val="ListNumber"/>
        <w:spacing w:after="80"/>
        <w:ind w:left="360"/>
      </w:pPr>
      <w:r>
        <w:rPr>
          <w:rFonts w:ascii="Times New Roman" w:hAnsi="Times New Roman"/>
          <w:b/>
          <w:sz w:val="24"/>
        </w:rPr>
        <w:t>Connectivity Plane</w:t>
      </w:r>
      <w:r>
        <w:rPr>
          <w:rFonts w:ascii="Times New Roman" w:hAnsi="Times New Roman"/>
          <w:sz w:val="24"/>
        </w:rPr>
        <w:t>: Manages inter-cloud transit using AWS Transit Gateway and Azure VPN Gateway joined by dual IPsec VPN tunnels with BGP.</w:t>
      </w:r>
    </w:p>
    <w:p>
      <w:pPr>
        <w:pStyle w:val="ListNumber"/>
        <w:spacing w:after="80"/>
        <w:ind w:left="360"/>
      </w:pPr>
      <w:r>
        <w:rPr>
          <w:rFonts w:ascii="Times New Roman" w:hAnsi="Times New Roman"/>
          <w:b/>
          <w:sz w:val="24"/>
        </w:rPr>
        <w:t>Application Plane</w:t>
      </w:r>
      <w:r>
        <w:rPr>
          <w:rFonts w:ascii="Times New Roman" w:hAnsi="Times New Roman"/>
          <w:sz w:val="24"/>
        </w:rPr>
        <w:t>: Houses the segmented 3-tier workload in AWS and the supporting microservice in Azure.</w:t>
      </w:r>
    </w:p>
    <w:p>
      <w:pPr>
        <w:pStyle w:val="ListNumber"/>
        <w:spacing w:after="80"/>
        <w:ind w:left="360"/>
      </w:pPr>
      <w:r>
        <w:rPr>
          <w:rFonts w:ascii="Times New Roman" w:hAnsi="Times New Roman"/>
          <w:b/>
          <w:sz w:val="24"/>
        </w:rPr>
        <w:t>Security Plane</w:t>
      </w:r>
      <w:r>
        <w:rPr>
          <w:rFonts w:ascii="Times New Roman" w:hAnsi="Times New Roman"/>
          <w:sz w:val="24"/>
        </w:rPr>
        <w:t>: Enforces identity role mappings, encryption keys (KMS/Key Vault), and privilege controls.</w:t>
      </w:r>
    </w:p>
    <w:p>
      <w:pPr>
        <w:pStyle w:val="ListNumber"/>
        <w:spacing w:after="80"/>
        <w:ind w:left="360"/>
      </w:pPr>
      <w:r>
        <w:rPr>
          <w:rFonts w:ascii="Times New Roman" w:hAnsi="Times New Roman"/>
          <w:b/>
          <w:sz w:val="24"/>
        </w:rPr>
        <w:t>Observability Plane</w:t>
      </w:r>
      <w:r>
        <w:rPr>
          <w:rFonts w:ascii="Times New Roman" w:hAnsi="Times New Roman"/>
          <w:sz w:val="24"/>
        </w:rPr>
        <w:t>: Aggregates cross-cloud flow logs, audit trails, and security alerts into Azure Log Analytics.</w:t>
      </w:r>
    </w:p>
    <w:p>
      <w:pPr>
        <w:spacing w:before="120" w:after="120"/>
      </w:pPr>
      <w:r>
        <w:rPr>
          <w:color w:val="CCCCCC"/>
        </w:rPr>
        <w:t>――――――――――――――――――――――――――――――――――――――――――――――――――</w:t>
      </w:r>
    </w:p>
    <w:p>
      <w:pPr>
        <w:keepNext/>
        <w:spacing w:before="280" w:after="160"/>
      </w:pPr>
      <w:r>
        <w:rPr>
          <w:rFonts w:ascii="Times New Roman" w:hAnsi="Times New Roman"/>
          <w:b/>
          <w:color w:val="1F497D"/>
          <w:sz w:val="32"/>
        </w:rPr>
        <w:t>3.3 Network Address Plan and Routing Design</w:t>
      </w:r>
    </w:p>
    <w:p>
      <w:pPr>
        <w:spacing w:after="120" w:line="300" w:lineRule="auto"/>
      </w:pPr>
      <w:r>
        <w:rPr>
          <w:rFonts w:ascii="Times New Roman" w:hAnsi="Times New Roman"/>
          <w:sz w:val="24"/>
        </w:rPr>
        <w:t>To ensure seamless routing without network collision, non-overlapping IPv4 CIDR blocks are assigned: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Environment</w:t>
            </w:r>
          </w:p>
        </w:tc>
        <w:tc>
          <w:tcPr>
            <w:tcW w:type="dxa" w:w="234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Component / Subnet</w:t>
            </w:r>
          </w:p>
        </w:tc>
        <w:tc>
          <w:tcPr>
            <w:tcW w:type="dxa" w:w="234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CIDR Block</w:t>
            </w:r>
          </w:p>
        </w:tc>
        <w:tc>
          <w:tcPr>
            <w:tcW w:type="dxa" w:w="234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Purpose / Placement</w:t>
            </w:r>
          </w:p>
        </w:tc>
      </w:tr>
      <w:tr>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AWS VPC</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Main AWS Address Space</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10.10.0.0/16</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Primary workload cloud network</w:t>
            </w:r>
          </w:p>
        </w:tc>
      </w:tr>
      <w:tr>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AWS VPC</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Public Ingress Subnet A &amp; B</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10.10.10.0/24 &amp; 10.10.11.0/24</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ALB, NAT Gateway (AZ 1 &amp; 2)</w:t>
            </w:r>
          </w:p>
        </w:tc>
      </w:tr>
      <w:tr>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AWS VPC</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Web Subnet A &amp; B</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10.10.20.0/24 &amp; 10.10.21.0/24</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Private Nginx Reverse Proxies</w:t>
            </w:r>
          </w:p>
        </w:tc>
      </w:tr>
      <w:tr>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AWS VPC</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Application Subnet A &amp; B</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10.10.30.0/24 &amp; 10.10.31.0/24</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Private Flask Application Tier</w:t>
            </w:r>
          </w:p>
        </w:tc>
      </w:tr>
      <w:tr>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AWS VPC</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Database Subnet A &amp; B</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10.10.40.0/24 &amp; 10.10.41.0/24</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Isolated PostgreSQL Database</w:t>
            </w:r>
          </w:p>
        </w:tc>
      </w:tr>
      <w:tr>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AWS VPC</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Management Subnet</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10.10.50.0/24</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Bastion / SSM Admin host</w:t>
            </w:r>
          </w:p>
        </w:tc>
      </w:tr>
      <w:tr>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AWS VPC</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TGW Attachment Subnets</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10.10.60.0/28 &amp; 10.10.60.16/28</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Transit Gateway VPC ENIs</w:t>
            </w:r>
          </w:p>
        </w:tc>
      </w:tr>
      <w:tr>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Azure VNet</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Main Azure Address Space</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10.20.0.0/16</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Secondary cloud network</w:t>
            </w:r>
          </w:p>
        </w:tc>
      </w:tr>
      <w:tr>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Azure VNet</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GatewaySubnet</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10.20.0.0/27</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Reserved Azure VPN Gateway</w:t>
            </w:r>
          </w:p>
        </w:tc>
      </w:tr>
      <w:tr>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Azure VNet</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snet-service</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10.20.10.0/24</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Azure Supporting Service VM</w:t>
            </w:r>
          </w:p>
        </w:tc>
      </w:tr>
      <w:tr>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Azure VNet</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snet-monitoring</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10.20.20.0/24</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Monitoring &amp; Log Collector</w:t>
            </w:r>
          </w:p>
        </w:tc>
      </w:tr>
      <w:tr>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Azure VNet</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snet-management</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10.20.30.0/24</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Azure Management / Bastion</w:t>
            </w:r>
          </w:p>
        </w:tc>
      </w:tr>
    </w:tbl>
    <w:p>
      <w:pPr>
        <w:keepNext/>
        <w:spacing w:before="240" w:after="120"/>
      </w:pPr>
      <w:r>
        <w:rPr>
          <w:rFonts w:ascii="Times New Roman" w:hAnsi="Times New Roman"/>
          <w:b/>
          <w:color w:val="366092"/>
          <w:sz w:val="27"/>
        </w:rPr>
        <w:t>Inter-Cloud BGP Routing Strategy</w:t>
      </w:r>
    </w:p>
    <w:p>
      <w:pPr>
        <w:pStyle w:val="ListBullet"/>
        <w:spacing w:after="80"/>
        <w:ind w:left="360"/>
      </w:pPr>
      <w:r>
        <w:rPr>
          <w:rFonts w:ascii="Times New Roman" w:hAnsi="Times New Roman"/>
          <w:b/>
          <w:sz w:val="24"/>
        </w:rPr>
        <w:t>AWS Transit Gateway ASN</w:t>
      </w:r>
      <w:r>
        <w:rPr>
          <w:rFonts w:ascii="Times New Roman" w:hAnsi="Times New Roman"/>
          <w:sz w:val="24"/>
        </w:rPr>
        <w:t xml:space="preserve">: </w:t>
      </w:r>
      <w:r>
        <w:rPr>
          <w:rFonts w:ascii="Consolas" w:hAnsi="Consolas"/>
          <w:color w:val="881515"/>
          <w:sz w:val="21"/>
        </w:rPr>
        <w:t>64512</w:t>
      </w:r>
    </w:p>
    <w:p>
      <w:pPr>
        <w:pStyle w:val="ListBullet"/>
        <w:spacing w:after="80"/>
        <w:ind w:left="360"/>
      </w:pPr>
      <w:r>
        <w:rPr>
          <w:rFonts w:ascii="Times New Roman" w:hAnsi="Times New Roman"/>
          <w:b/>
          <w:sz w:val="24"/>
        </w:rPr>
        <w:t>Azure VPN Gateway ASN</w:t>
      </w:r>
      <w:r>
        <w:rPr>
          <w:rFonts w:ascii="Times New Roman" w:hAnsi="Times New Roman"/>
          <w:sz w:val="24"/>
        </w:rPr>
        <w:t xml:space="preserve">: </w:t>
      </w:r>
      <w:r>
        <w:rPr>
          <w:rFonts w:ascii="Consolas" w:hAnsi="Consolas"/>
          <w:color w:val="881515"/>
          <w:sz w:val="21"/>
        </w:rPr>
        <w:t>65515</w:t>
      </w:r>
    </w:p>
    <w:p>
      <w:pPr>
        <w:pStyle w:val="ListBullet"/>
        <w:spacing w:after="80"/>
        <w:ind w:left="360"/>
      </w:pPr>
      <w:r>
        <w:rPr>
          <w:rFonts w:ascii="Times New Roman" w:hAnsi="Times New Roman"/>
          <w:b/>
          <w:sz w:val="24"/>
        </w:rPr>
        <w:t>BGP Advertisements</w:t>
      </w:r>
      <w:r>
        <w:rPr>
          <w:rFonts w:ascii="Times New Roman" w:hAnsi="Times New Roman"/>
          <w:sz w:val="24"/>
        </w:rPr>
        <w:t>:</w:t>
      </w:r>
    </w:p>
    <w:p>
      <w:pPr>
        <w:pStyle w:val="ListBullet"/>
        <w:spacing w:after="80"/>
        <w:ind w:left="720"/>
      </w:pPr>
      <w:r>
        <w:rPr>
          <w:rFonts w:ascii="Times New Roman" w:hAnsi="Times New Roman"/>
          <w:sz w:val="24"/>
        </w:rPr>
        <w:t xml:space="preserve">AWS advertises </w:t>
      </w:r>
      <w:r>
        <w:rPr>
          <w:rFonts w:ascii="Consolas" w:hAnsi="Consolas"/>
          <w:color w:val="881515"/>
          <w:sz w:val="21"/>
        </w:rPr>
        <w:t>10.10.0.0/16</w:t>
      </w:r>
      <w:r>
        <w:rPr>
          <w:rFonts w:ascii="Times New Roman" w:hAnsi="Times New Roman"/>
          <w:sz w:val="24"/>
        </w:rPr>
        <w:t xml:space="preserve"> to Azure.</w:t>
      </w:r>
    </w:p>
    <w:p>
      <w:pPr>
        <w:pStyle w:val="ListBullet"/>
        <w:spacing w:after="80"/>
        <w:ind w:left="720"/>
      </w:pPr>
      <w:r>
        <w:rPr>
          <w:rFonts w:ascii="Times New Roman" w:hAnsi="Times New Roman"/>
          <w:sz w:val="24"/>
        </w:rPr>
        <w:t xml:space="preserve">Azure advertises </w:t>
      </w:r>
      <w:r>
        <w:rPr>
          <w:rFonts w:ascii="Consolas" w:hAnsi="Consolas"/>
          <w:color w:val="881515"/>
          <w:sz w:val="21"/>
        </w:rPr>
        <w:t>10.20.0.0/16</w:t>
      </w:r>
      <w:r>
        <w:rPr>
          <w:rFonts w:ascii="Times New Roman" w:hAnsi="Times New Roman"/>
          <w:sz w:val="24"/>
        </w:rPr>
        <w:t xml:space="preserve"> to AWS.</w:t>
      </w:r>
    </w:p>
    <w:p>
      <w:pPr>
        <w:pStyle w:val="ListBullet"/>
        <w:spacing w:after="80"/>
        <w:ind w:left="360"/>
      </w:pPr>
      <w:r>
        <w:rPr>
          <w:rFonts w:ascii="Times New Roman" w:hAnsi="Times New Roman"/>
          <w:b/>
          <w:sz w:val="24"/>
        </w:rPr>
        <w:t>Route Filtering</w:t>
      </w:r>
      <w:r>
        <w:rPr>
          <w:rFonts w:ascii="Times New Roman" w:hAnsi="Times New Roman"/>
          <w:sz w:val="24"/>
        </w:rPr>
        <w:t>: TGW Transit Route Tables selectively propagate routes only to Application and Management subnets. The Database subnet receives no Azure routes, guaranteeing data-tier isolation.</w:t>
      </w:r>
    </w:p>
    <w:p>
      <w:pPr>
        <w:spacing w:before="120" w:after="120"/>
      </w:pPr>
      <w:r>
        <w:rPr>
          <w:color w:val="CCCCCC"/>
        </w:rPr>
        <w:t>――――――――――――――――――――――――――――――――――――――――――――――――――</w:t>
      </w:r>
    </w:p>
    <w:p>
      <w:pPr>
        <w:keepNext/>
        <w:spacing w:before="280" w:after="160"/>
      </w:pPr>
      <w:r>
        <w:rPr>
          <w:rFonts w:ascii="Times New Roman" w:hAnsi="Times New Roman"/>
          <w:b/>
          <w:color w:val="1F497D"/>
          <w:sz w:val="32"/>
        </w:rPr>
        <w:t>3.4 Micro-Segmentation and Traffic-Flow Matrix</w:t>
      </w:r>
    </w:p>
    <w:p>
      <w:pPr>
        <w:spacing w:after="120" w:line="300" w:lineRule="auto"/>
      </w:pPr>
      <w:r>
        <w:rPr>
          <w:rFonts w:ascii="Times New Roman" w:hAnsi="Times New Roman"/>
          <w:sz w:val="24"/>
        </w:rPr>
        <w:t>Zero Trust micro-segmentation is enforced via stateful firewalls (AWS Security Groups and Azure NSGs). All traffic is denied by default; only explicit rules in the matrix are permitted:</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Flow ID</w:t>
            </w:r>
          </w:p>
        </w:tc>
        <w:tc>
          <w:tcPr>
            <w:tcW w:type="dxa" w:w="156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Source Zone</w:t>
            </w:r>
          </w:p>
        </w:tc>
        <w:tc>
          <w:tcPr>
            <w:tcW w:type="dxa" w:w="156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Destination Zone</w:t>
            </w:r>
          </w:p>
        </w:tc>
        <w:tc>
          <w:tcPr>
            <w:tcW w:type="dxa" w:w="156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Protocol / Port</w:t>
            </w:r>
          </w:p>
        </w:tc>
        <w:tc>
          <w:tcPr>
            <w:tcW w:type="dxa" w:w="156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Purpose</w:t>
            </w:r>
          </w:p>
        </w:tc>
        <w:tc>
          <w:tcPr>
            <w:tcW w:type="dxa" w:w="156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Default Disposition</w:t>
            </w:r>
          </w:p>
        </w:tc>
      </w:tr>
      <w:tr>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TF-01</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Internet</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AWS ALB</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HTTPS / 443</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Public web entry point</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PERMIT</w:t>
            </w:r>
          </w:p>
        </w:tc>
      </w:tr>
      <w:tr>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TF-02</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AWS ALB</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AWS Web Tier</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TCP / 80</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ALB to Nginx proxy</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PERMIT</w:t>
            </w:r>
          </w:p>
        </w:tc>
      </w:tr>
      <w:tr>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TF-03</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AWS Web Tier</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AWS App Tier</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TCP / 8080</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Web proxy to Flask App</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PERMIT</w:t>
            </w:r>
          </w:p>
        </w:tc>
      </w:tr>
      <w:tr>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TF-04</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AWS App Tier</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AWS DB Tier</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TCP / 5432</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App logic to PostgreSQL DB</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PERMIT</w:t>
            </w:r>
          </w:p>
        </w:tc>
      </w:tr>
      <w:tr>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TF-05</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AWS App Tier</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Azure Service VM</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HTTPS / 443</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Cross-cloud API call via VPN</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PERMIT</w:t>
            </w:r>
          </w:p>
        </w:tc>
      </w:tr>
      <w:tr>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TF-06</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AWS Web Tier</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AWS DB Tier</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Any</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Direct Web-to-DB bypass</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DENY</w:t>
            </w:r>
          </w:p>
        </w:tc>
      </w:tr>
      <w:tr>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TF-07</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Azure Service VM</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AWS DB Tier</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Any</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Cross-Cloud DB query</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DENY</w:t>
            </w:r>
          </w:p>
        </w:tc>
      </w:tr>
      <w:tr>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TF-08</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Internet</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AWS DB Tier</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Any</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Direct Public DB access</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DENY</w:t>
            </w:r>
          </w:p>
        </w:tc>
      </w:tr>
      <w:tr>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TF-09</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Internet</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Azure Service VM</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Any</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Direct Public Azure access</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DENY</w:t>
            </w:r>
          </w:p>
        </w:tc>
      </w:tr>
      <w:tr>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TF-10</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Admin Workstation</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AWS Management</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SSH / 22 (or SSM)</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Admin access</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PERMIT (Restricted)</w:t>
            </w:r>
          </w:p>
        </w:tc>
      </w:tr>
    </w:tbl>
    <w:p>
      <w:pPr>
        <w:spacing w:before="120" w:after="120"/>
      </w:pPr>
      <w:r>
        <w:rPr>
          <w:color w:val="CCCCCC"/>
        </w:rPr>
        <w:t>――――――――――――――――――――――――――――――――――――――――――――――――――</w:t>
      </w:r>
    </w:p>
    <w:p>
      <w:pPr>
        <w:keepNext/>
        <w:spacing w:before="280" w:after="160"/>
      </w:pPr>
      <w:r>
        <w:rPr>
          <w:rFonts w:ascii="Times New Roman" w:hAnsi="Times New Roman"/>
          <w:b/>
          <w:color w:val="1F497D"/>
          <w:sz w:val="32"/>
        </w:rPr>
        <w:t>3.5 Test Harness and Performance/Resilience Design</w:t>
      </w:r>
    </w:p>
    <w:p>
      <w:pPr>
        <w:keepNext/>
        <w:spacing w:before="240" w:after="120"/>
      </w:pPr>
      <w:r>
        <w:rPr>
          <w:rFonts w:ascii="Times New Roman" w:hAnsi="Times New Roman"/>
          <w:b/>
          <w:color w:val="366092"/>
          <w:sz w:val="27"/>
        </w:rPr>
        <w:t>3.5.1 Latency &amp; Throughput Benchmark Harness</w:t>
      </w:r>
    </w:p>
    <w:p>
      <w:pPr>
        <w:pStyle w:val="ListBullet"/>
        <w:spacing w:after="80"/>
        <w:ind w:left="360"/>
      </w:pPr>
      <w:r>
        <w:rPr>
          <w:rFonts w:ascii="Times New Roman" w:hAnsi="Times New Roman"/>
          <w:b/>
          <w:sz w:val="24"/>
        </w:rPr>
        <w:t>Ping Latency</w:t>
      </w:r>
      <w:r>
        <w:rPr>
          <w:rFonts w:ascii="Times New Roman" w:hAnsi="Times New Roman"/>
          <w:sz w:val="24"/>
        </w:rPr>
        <w:t>: Measures round-trip time ($RTT$) over 100 iterations. Target: $\overline{RTT} &lt; 100\text{ ms}$.</w:t>
      </w:r>
    </w:p>
    <w:p>
      <w:pPr>
        <w:pStyle w:val="ListBullet"/>
        <w:spacing w:after="80"/>
        <w:ind w:left="360"/>
      </w:pPr>
      <w:r>
        <w:rPr>
          <w:rFonts w:ascii="Times New Roman" w:hAnsi="Times New Roman"/>
          <w:b/>
          <w:sz w:val="24"/>
        </w:rPr>
        <w:t>iPerf3 TCP Throughput</w:t>
      </w:r>
      <w:r>
        <w:rPr>
          <w:rFonts w:ascii="Times New Roman" w:hAnsi="Times New Roman"/>
          <w:sz w:val="24"/>
        </w:rPr>
        <w:t>: Client on AWS App VM, Server on Azure VM (</w:t>
      </w:r>
      <w:r>
        <w:rPr>
          <w:rFonts w:ascii="Consolas" w:hAnsi="Consolas"/>
          <w:color w:val="881515"/>
          <w:sz w:val="21"/>
        </w:rPr>
        <w:t>10.20.10.10</w:t>
      </w:r>
      <w:r>
        <w:rPr>
          <w:rFonts w:ascii="Times New Roman" w:hAnsi="Times New Roman"/>
          <w:sz w:val="24"/>
        </w:rPr>
        <w:t>). Evaluated across 1, 4, and 8 parallel TCP streams ($P$).</w:t>
      </w:r>
    </w:p>
    <w:p>
      <w:pPr>
        <w:keepNext/>
        <w:spacing w:before="240" w:after="120"/>
      </w:pPr>
      <w:r>
        <w:rPr>
          <w:rFonts w:ascii="Times New Roman" w:hAnsi="Times New Roman"/>
          <w:b/>
          <w:color w:val="366092"/>
          <w:sz w:val="27"/>
        </w:rPr>
        <w:t>3.5.2 Recovery Time Objective (RTO) Failover Formulation</w:t>
      </w:r>
    </w:p>
    <w:p>
      <w:pPr>
        <w:spacing w:after="120" w:line="300" w:lineRule="auto"/>
      </w:pPr>
      <w:r>
        <w:rPr>
          <w:rFonts w:ascii="Times New Roman" w:hAnsi="Times New Roman"/>
          <w:sz w:val="24"/>
        </w:rPr>
        <w:t>Resilience is evaluated by injecting a path failure (disabling IPsec Tunnel 1) during an active continuous HTTP probe session ($1\text{ probe/sec}$). RTO is calculated as:</w:t>
      </w:r>
    </w:p>
    <w:p>
      <w:pPr>
        <w:spacing w:after="120" w:line="300" w:lineRule="auto"/>
      </w:pPr>
      <w:r>
        <w:rPr>
          <w:rFonts w:ascii="Times New Roman" w:hAnsi="Times New Roman"/>
          <w:sz w:val="24"/>
        </w:rPr>
        <w:t>$$\text{RTO}_{\text{measured}} = T_{\text{stable\_restoration}} - T_{\text{first\_failure}}$$</w:t>
      </w:r>
    </w:p>
    <w:p>
      <w:pPr>
        <w:spacing w:after="120" w:line="300" w:lineRule="auto"/>
      </w:pPr>
      <w:r>
        <w:rPr>
          <w:rFonts w:ascii="Times New Roman" w:hAnsi="Times New Roman"/>
          <w:sz w:val="24"/>
        </w:rPr>
        <w:t>where $T_{\text{first\_failure}}$ is the timestamp of the first failed probe, and $T_{\text{stable\_restoration}}$ is the timestamp of the first successful probe following BGP convergence onto Tunnel 2.</w:t>
      </w:r>
    </w:p>
    <w:p>
      <w:pPr>
        <w:spacing w:before="120" w:after="120"/>
      </w:pPr>
      <w:r>
        <w:rPr>
          <w:color w:val="CCCCCC"/>
        </w:rPr>
        <w:t>――――――――――――――――――――――――――――――――――――――――――――――――――</w:t>
      </w:r>
    </w:p>
    <w:p>
      <w:pPr>
        <w:keepNext/>
        <w:spacing w:before="360" w:after="240"/>
      </w:pPr>
      <w:r>
        <w:rPr>
          <w:rFonts w:ascii="Times New Roman" w:hAnsi="Times New Roman"/>
          <w:b/>
          <w:color w:val="1F497D"/>
          <w:sz w:val="40"/>
        </w:rPr>
        <w:t>CHAPTER FOUR: SYSTEM IMPLEMENTATION</w:t>
      </w:r>
    </w:p>
    <w:p>
      <w:pPr>
        <w:keepNext/>
        <w:spacing w:before="280" w:after="160"/>
      </w:pPr>
      <w:r>
        <w:rPr>
          <w:rFonts w:ascii="Times New Roman" w:hAnsi="Times New Roman"/>
          <w:b/>
          <w:color w:val="1F497D"/>
          <w:sz w:val="32"/>
        </w:rPr>
        <w:t>4.0 Introduction</w:t>
      </w:r>
    </w:p>
    <w:p>
      <w:pPr>
        <w:spacing w:after="120" w:line="300" w:lineRule="auto"/>
      </w:pPr>
      <w:r>
        <w:rPr>
          <w:rFonts w:ascii="Times New Roman" w:hAnsi="Times New Roman"/>
          <w:sz w:val="24"/>
        </w:rPr>
        <w:t xml:space="preserve">This chapter details the complete, production-ready implementation of the secure AWS–Azure multi-cloud architecture. All infrastructure is codified in modular </w:t>
      </w:r>
      <w:r>
        <w:rPr>
          <w:rFonts w:ascii="Times New Roman" w:hAnsi="Times New Roman"/>
          <w:b/>
          <w:sz w:val="24"/>
        </w:rPr>
        <w:t>Terraform (HCL)</w:t>
      </w:r>
      <w:r>
        <w:rPr>
          <w:rFonts w:ascii="Times New Roman" w:hAnsi="Times New Roman"/>
          <w:sz w:val="24"/>
        </w:rPr>
        <w:t xml:space="preserve"> code, ensuring reproducibility and drift control.</w:t>
      </w:r>
    </w:p>
    <w:p>
      <w:pPr>
        <w:spacing w:before="120" w:after="120"/>
      </w:pPr>
      <w:r>
        <w:rPr>
          <w:color w:val="CCCCCC"/>
        </w:rPr>
        <w:t>――――――――――――――――――――――――――――――――――――――――――――――――――</w:t>
      </w:r>
    </w:p>
    <w:p>
      <w:pPr>
        <w:keepNext/>
        <w:spacing w:before="280" w:after="160"/>
      </w:pPr>
      <w:r>
        <w:rPr>
          <w:rFonts w:ascii="Times New Roman" w:hAnsi="Times New Roman"/>
          <w:b/>
          <w:color w:val="1F497D"/>
          <w:sz w:val="32"/>
        </w:rPr>
        <w:t>4.1 Modular Terraform Codebase Architecture</w:t>
      </w:r>
    </w:p>
    <w:p>
      <w:pPr>
        <w:spacing w:after="120" w:line="300" w:lineRule="auto"/>
      </w:pPr>
      <w:r>
        <w:rPr>
          <w:rFonts w:ascii="Times New Roman" w:hAnsi="Times New Roman"/>
          <w:sz w:val="24"/>
        </w:rPr>
        <w:t>The repository is structured into distinct, modular components:</w:t>
      </w:r>
    </w:p>
    <w:p>
      <w:pPr>
        <w:spacing w:before="120" w:after="120"/>
        <w:ind w:left="576" w:right="576"/>
      </w:pPr>
      <w:r>
        <w:rPr>
          <w:rFonts w:ascii="Consolas" w:hAnsi="Consolas"/>
          <w:color w:val="1F2937"/>
          <w:sz w:val="19"/>
        </w:rPr>
        <w:t>secure-aws-azure-multicloud/</w:t>
        <w:br/>
        <w:t>├── bootstrap/                   # Remote state storage configuration (Azure Storage Account)</w:t>
        <w:br/>
        <w:t>│   ├── versions.tf</w:t>
        <w:br/>
        <w:t>│   ├── providers.tf</w:t>
        <w:br/>
        <w:t>│   ├── variables.tf</w:t>
        <w:br/>
        <w:t>│   ├── main.tf</w:t>
        <w:br/>
        <w:t>│   └── outputs.tf</w:t>
        <w:br/>
        <w:t>└── infrastructure/              # Primary Multi-Cloud Infrastructure deployment</w:t>
        <w:br/>
        <w:t xml:space="preserve">    ├── versions.tf</w:t>
        <w:br/>
        <w:t xml:space="preserve">    ├── providers.tf</w:t>
        <w:br/>
        <w:t xml:space="preserve">    ├── variables.tf</w:t>
        <w:br/>
        <w:t xml:space="preserve">    ├── locals.tf</w:t>
        <w:br/>
        <w:t xml:space="preserve">    ├── main.tf                  # Module orchestrator</w:t>
        <w:br/>
        <w:t xml:space="preserve">    ├── outputs.tf</w:t>
        <w:br/>
        <w:t xml:space="preserve">    ├── terraform.tfvars.example</w:t>
        <w:br/>
        <w:t xml:space="preserve">    └── modules/</w:t>
        <w:br/>
        <w:t xml:space="preserve">        ├── aws-network/         # VPC, Subnets, IGW, NAT Gateway, Route Tables, Security Groups</w:t>
        <w:br/>
        <w:t xml:space="preserve">        ├── aws-transit/         # AWS Transit Gateway, TGW Route Tables, VPC Attachment</w:t>
        <w:br/>
        <w:t xml:space="preserve">        ├── azure-network/       # Azure VNet, Subnets, NSGs</w:t>
        <w:br/>
        <w:t xml:space="preserve">        ├── azure-vpn/           # Azure Active-Active VPN Gateway &amp; Public IPs</w:t>
        <w:br/>
        <w:t xml:space="preserve">        ├── aws-vpn/             # AWS Customer Gateways, Site-to-Site VPN, TGW Attachments</w:t>
        <w:br/>
        <w:t xml:space="preserve">        ├── workload/            # EC2 Instances (Web, App, DB) &amp; Azure Service VM</w:t>
        <w:br/>
        <w:t xml:space="preserve">        ├── identity/            # Entra ID Security Groups &amp; AWS IAM/SSO Permission Sets</w:t>
        <w:br/>
        <w:t xml:space="preserve">        └── monitoring/          # CloudTrail, VPC Flow Logs, Log Analytics, Defender</w:t>
      </w:r>
    </w:p>
    <w:p>
      <w:pPr>
        <w:spacing w:before="120" w:after="120"/>
      </w:pPr>
      <w:r>
        <w:rPr>
          <w:color w:val="CCCCCC"/>
        </w:rPr>
        <w:t>――――――――――――――――――――――――――――――――――――――――――――――――――</w:t>
      </w:r>
    </w:p>
    <w:p>
      <w:pPr>
        <w:keepNext/>
        <w:spacing w:before="280" w:after="160"/>
      </w:pPr>
      <w:r>
        <w:rPr>
          <w:rFonts w:ascii="Times New Roman" w:hAnsi="Times New Roman"/>
          <w:b/>
          <w:color w:val="1F497D"/>
          <w:sz w:val="32"/>
        </w:rPr>
        <w:t>4.2 Key Terraform Module Implementation Code</w:t>
      </w:r>
    </w:p>
    <w:p>
      <w:pPr>
        <w:keepNext/>
        <w:spacing w:before="240" w:after="120"/>
      </w:pPr>
      <w:r>
        <w:rPr>
          <w:rFonts w:ascii="Times New Roman" w:hAnsi="Times New Roman"/>
          <w:b/>
          <w:color w:val="366092"/>
          <w:sz w:val="27"/>
        </w:rPr>
        <w:t>4.2.1 Remote State Bootstrap (`bootstrap/main.tf`)</w:t>
      </w:r>
    </w:p>
    <w:p>
      <w:pPr>
        <w:spacing w:before="120" w:after="120"/>
        <w:ind w:left="576" w:right="576"/>
      </w:pPr>
      <w:r>
        <w:rPr>
          <w:rFonts w:ascii="Consolas" w:hAnsi="Consolas"/>
          <w:color w:val="1F2937"/>
          <w:sz w:val="19"/>
        </w:rPr>
        <w:t>resource "random_string" "suffix" {</w:t>
        <w:br/>
        <w:t xml:space="preserve">  length  = 8</w:t>
        <w:br/>
        <w:t xml:space="preserve">  special = false</w:t>
        <w:br/>
        <w:t xml:space="preserve">  upper   = false</w:t>
        <w:br/>
        <w:t>}</w:t>
        <w:br/>
        <w:br/>
        <w:t>resource "azurerm_resource_group" "state_rg" {</w:t>
        <w:br/>
        <w:t xml:space="preserve">  name     = "rg-${var.project_name}-tfstate-${var.environment}"</w:t>
        <w:br/>
        <w:t xml:space="preserve">  location = var.azure_location</w:t>
        <w:br/>
        <w:br/>
        <w:t xml:space="preserve">  tags = {</w:t>
        <w:br/>
        <w:t xml:space="preserve">    Project   = var.project_name</w:t>
        <w:br/>
        <w:t xml:space="preserve">    Purpose   = "Terraform Remote State"</w:t>
        <w:br/>
        <w:t xml:space="preserve">    ManagedBy = "Terraform"</w:t>
        <w:br/>
        <w:t xml:space="preserve">  }</w:t>
        <w:br/>
        <w:t>}</w:t>
        <w:br/>
        <w:br/>
        <w:t>resource "azurerm_storage_account" "state_acc" {</w:t>
        <w:br/>
        <w:t xml:space="preserve">  name                     = "sttfstate${random_string.suffix.result}"</w:t>
        <w:br/>
        <w:t xml:space="preserve">  resource_group_name      = azurerm_resource_group.state_rg.name</w:t>
        <w:br/>
        <w:t xml:space="preserve">  location                 = azurerm_resource_group.state_rg.location</w:t>
        <w:br/>
        <w:t xml:space="preserve">  account_tier             = "Standard"</w:t>
        <w:br/>
        <w:t xml:space="preserve">  account_replication_type = "LRS"</w:t>
        <w:br/>
        <w:t xml:space="preserve">  min_tls_version          = "TLS1_2"</w:t>
        <w:br/>
        <w:br/>
        <w:t xml:space="preserve">  blob_properties {</w:t>
        <w:br/>
        <w:t xml:space="preserve">    versioning_enabled = true</w:t>
        <w:br/>
        <w:t xml:space="preserve">    delete_retention_policy {</w:t>
        <w:br/>
        <w:t xml:space="preserve">      days = 14</w:t>
        <w:br/>
        <w:t xml:space="preserve">    }</w:t>
        <w:br/>
        <w:t xml:space="preserve">  }</w:t>
        <w:br/>
        <w:t>}</w:t>
        <w:br/>
        <w:br/>
        <w:t>resource "azurerm_storage_container" "state_container" {</w:t>
        <w:br/>
        <w:t xml:space="preserve">  name                  = "tfstate"</w:t>
        <w:br/>
        <w:t xml:space="preserve">  storage_account_name  = azurerm_storage_account.state_acc.name</w:t>
        <w:br/>
        <w:t xml:space="preserve">  container_access_type = "private"</w:t>
        <w:br/>
        <w:t>}</w:t>
      </w:r>
    </w:p>
    <w:p>
      <w:pPr>
        <w:keepNext/>
        <w:spacing w:before="240" w:after="120"/>
      </w:pPr>
      <w:r>
        <w:rPr>
          <w:rFonts w:ascii="Times New Roman" w:hAnsi="Times New Roman"/>
          <w:b/>
          <w:color w:val="366092"/>
          <w:sz w:val="27"/>
        </w:rPr>
        <w:t>4.2.2 Inter-Cloud VPN Module (`infrastructure/modules/aws-vpn/main.tf`)</w:t>
      </w:r>
    </w:p>
    <w:p>
      <w:pPr>
        <w:spacing w:before="120" w:after="120"/>
        <w:ind w:left="576" w:right="576"/>
      </w:pPr>
      <w:r>
        <w:rPr>
          <w:rFonts w:ascii="Consolas" w:hAnsi="Consolas"/>
          <w:color w:val="1F2937"/>
          <w:sz w:val="19"/>
        </w:rPr>
        <w:t># Customer Gateway 1 (Azure VPN GW Instance 1)</w:t>
        <w:br/>
        <w:t>resource "aws_customer_gateway" "azure_cgw_1" {</w:t>
        <w:br/>
        <w:t xml:space="preserve">  bgp_asn    = var.azure_vpn_asn</w:t>
        <w:br/>
        <w:t xml:space="preserve">  ip_address = var.azure_vpn_public_ip_1</w:t>
        <w:br/>
        <w:t xml:space="preserve">  type       = "ipsec.1"</w:t>
        <w:br/>
        <w:br/>
        <w:t xml:space="preserve">  tags = {</w:t>
        <w:br/>
        <w:t xml:space="preserve">    Name = "${var.name_prefix}-azure-cgw-1"</w:t>
        <w:br/>
        <w:t xml:space="preserve">  }</w:t>
        <w:br/>
        <w:t>}</w:t>
        <w:br/>
        <w:br/>
        <w:t># Customer Gateway 2 (Azure VPN GW Instance 2)</w:t>
        <w:br/>
        <w:t>resource "aws_customer_gateway" "azure_cgw_2" {</w:t>
        <w:br/>
        <w:t xml:space="preserve">  bgp_asn    = var.azure_vpn_asn</w:t>
        <w:br/>
        <w:t xml:space="preserve">  ip_address = var.azure_vpn_public_ip_2</w:t>
        <w:br/>
        <w:t xml:space="preserve">  type       = "ipsec.1"</w:t>
        <w:br/>
        <w:br/>
        <w:t xml:space="preserve">  tags = {</w:t>
        <w:br/>
        <w:t xml:space="preserve">    Name = "${var.name_prefix}-azure-cgw-2"</w:t>
        <w:br/>
        <w:t xml:space="preserve">  }</w:t>
        <w:br/>
        <w:t>}</w:t>
        <w:br/>
        <w:br/>
        <w:t># AWS Site-to-Site VPN Connection 1</w:t>
        <w:br/>
        <w:t>resource "aws_vpn_connection" "vpn_1" {</w:t>
        <w:br/>
        <w:t xml:space="preserve">  customer_gateway_id = aws_customer_gateway.azure_cgw_1.id</w:t>
        <w:br/>
        <w:t xml:space="preserve">  transit_gateway_id  = var.aws_transit_gateway_id</w:t>
        <w:br/>
        <w:t xml:space="preserve">  type                = "ipsec.1"</w:t>
        <w:br/>
        <w:t xml:space="preserve">  static_routes_only  = false</w:t>
        <w:br/>
        <w:br/>
        <w:t xml:space="preserve">  tunnel1_preshared_key                  = var.vpn_shared_key_1</w:t>
        <w:br/>
        <w:t xml:space="preserve">  tunnel1_ike_versions                   = ["ikev2"]</w:t>
        <w:br/>
        <w:t xml:space="preserve">  tunnel1_phase1_encryption_algorithms   = ["AES256"]</w:t>
        <w:br/>
        <w:t xml:space="preserve">  tunnel1_phase1_integrity_algorithms    = ["SHA2-256"]</w:t>
        <w:br/>
        <w:t xml:space="preserve">  tunnel1_phase1_dh_group_numbers        = [14]</w:t>
        <w:br/>
        <w:t xml:space="preserve">  tunnel1_phase2_encryption_algorithms   = ["AES256"]</w:t>
        <w:br/>
        <w:t xml:space="preserve">  tunnel1_phase2_integrity_algorithms    = ["SHA2-256"]</w:t>
        <w:br/>
        <w:t xml:space="preserve">  tunnel1_phase2_dh_group_numbers        = [14]</w:t>
        <w:br/>
        <w:br/>
        <w:t xml:space="preserve">  tags = {</w:t>
        <w:br/>
        <w:t xml:space="preserve">    Name = "${var.name_prefix}-vpn-1"</w:t>
        <w:br/>
        <w:t xml:space="preserve">  }</w:t>
        <w:br/>
        <w:t>}</w:t>
      </w:r>
    </w:p>
    <w:p>
      <w:pPr>
        <w:spacing w:before="120" w:after="120"/>
      </w:pPr>
      <w:r>
        <w:rPr>
          <w:color w:val="CCCCCC"/>
        </w:rPr>
        <w:t>――――――――――――――――――――――――――――――――――――――――――――――――――</w:t>
      </w:r>
    </w:p>
    <w:p>
      <w:pPr>
        <w:keepNext/>
        <w:spacing w:before="280" w:after="160"/>
      </w:pPr>
      <w:r>
        <w:rPr>
          <w:rFonts w:ascii="Times New Roman" w:hAnsi="Times New Roman"/>
          <w:b/>
          <w:color w:val="1F497D"/>
          <w:sz w:val="32"/>
        </w:rPr>
        <w:t>4.3 Staged Deployment Procedure</w:t>
      </w:r>
    </w:p>
    <w:p>
      <w:pPr>
        <w:spacing w:after="120" w:line="300" w:lineRule="auto"/>
      </w:pPr>
      <w:r>
        <w:rPr>
          <w:rFonts w:ascii="Times New Roman" w:hAnsi="Times New Roman"/>
          <w:sz w:val="24"/>
        </w:rPr>
        <w:t>Due to cross-provider IP dependencies (Azure VPN Gateway IPs must exist before AWS Customer Gateways can be declared), the deployment follows a 2-stage execution workflow:</w:t>
      </w:r>
    </w:p>
    <w:p>
      <w:pPr>
        <w:pStyle w:val="ListNumber"/>
        <w:spacing w:after="80"/>
        <w:ind w:left="360"/>
      </w:pPr>
      <w:r>
        <w:rPr>
          <w:rFonts w:ascii="Times New Roman" w:hAnsi="Times New Roman"/>
          <w:b/>
          <w:sz w:val="24"/>
        </w:rPr>
        <w:t>Stage 1 (Base Networks &amp; Azure VPN GW)</w:t>
      </w:r>
      <w:r>
        <w:rPr>
          <w:rFonts w:ascii="Times New Roman" w:hAnsi="Times New Roman"/>
          <w:sz w:val="24"/>
        </w:rPr>
        <w:t>:</w:t>
      </w:r>
    </w:p>
    <w:p>
      <w:pPr>
        <w:spacing w:before="120" w:after="120"/>
        <w:ind w:left="576" w:right="576"/>
      </w:pPr>
      <w:r>
        <w:rPr>
          <w:rFonts w:ascii="Consolas" w:hAnsi="Consolas"/>
          <w:color w:val="1F2937"/>
          <w:sz w:val="19"/>
        </w:rPr>
        <w:t xml:space="preserve">   cd infrastructure</w:t>
        <w:br/>
        <w:t xml:space="preserve">   terraform init</w:t>
        <w:br/>
        <w:t xml:space="preserve">   terraform apply -target=module.aws_network -target=module.azure_network -target=module.azure_vpn</w:t>
      </w:r>
    </w:p>
    <w:p>
      <w:pPr>
        <w:pStyle w:val="ListNumber"/>
        <w:spacing w:after="80"/>
        <w:ind w:left="360"/>
      </w:pPr>
      <w:r>
        <w:rPr>
          <w:rFonts w:ascii="Times New Roman" w:hAnsi="Times New Roman"/>
          <w:b/>
          <w:sz w:val="24"/>
        </w:rPr>
        <w:t>Stage 2 (Complete VPN, Inter-Cloud Routes, Workloads &amp; Identity)</w:t>
      </w:r>
      <w:r>
        <w:rPr>
          <w:rFonts w:ascii="Times New Roman" w:hAnsi="Times New Roman"/>
          <w:sz w:val="24"/>
        </w:rPr>
        <w:t>:</w:t>
      </w:r>
    </w:p>
    <w:p>
      <w:pPr>
        <w:spacing w:before="120" w:after="120"/>
        <w:ind w:left="576" w:right="576"/>
      </w:pPr>
      <w:r>
        <w:rPr>
          <w:rFonts w:ascii="Consolas" w:hAnsi="Consolas"/>
          <w:color w:val="1F2937"/>
          <w:sz w:val="19"/>
        </w:rPr>
        <w:t xml:space="preserve">   terraform apply</w:t>
      </w:r>
    </w:p>
    <w:p>
      <w:pPr>
        <w:pStyle w:val="ListNumber"/>
        <w:spacing w:after="80"/>
        <w:ind w:left="360"/>
      </w:pPr>
      <w:r>
        <w:rPr>
          <w:rFonts w:ascii="Times New Roman" w:hAnsi="Times New Roman"/>
          <w:b/>
          <w:sz w:val="24"/>
        </w:rPr>
        <w:t>Stage 3 (Drift Check)</w:t>
      </w:r>
      <w:r>
        <w:rPr>
          <w:rFonts w:ascii="Times New Roman" w:hAnsi="Times New Roman"/>
          <w:sz w:val="24"/>
        </w:rPr>
        <w:t>:</w:t>
      </w:r>
    </w:p>
    <w:p>
      <w:pPr>
        <w:spacing w:before="120" w:after="120"/>
        <w:ind w:left="576" w:right="576"/>
      </w:pPr>
      <w:r>
        <w:rPr>
          <w:rFonts w:ascii="Consolas" w:hAnsi="Consolas"/>
          <w:color w:val="1F2937"/>
          <w:sz w:val="19"/>
        </w:rPr>
        <w:t xml:space="preserve">   terraform plan -var-file="lab.tfvars"</w:t>
        <w:br/>
        <w:t xml:space="preserve">   # Output: No changes. Your infrastructure matches the configuration.</w:t>
      </w:r>
    </w:p>
    <w:p>
      <w:pPr>
        <w:spacing w:before="120" w:after="120"/>
      </w:pPr>
      <w:r>
        <w:rPr>
          <w:color w:val="CCCCCC"/>
        </w:rPr>
        <w:t>――――――――――――――――――――――――――――――――――――――――――――――――――</w:t>
      </w:r>
    </w:p>
    <w:p>
      <w:pPr>
        <w:keepNext/>
        <w:spacing w:before="360" w:after="240"/>
      </w:pPr>
      <w:r>
        <w:rPr>
          <w:rFonts w:ascii="Times New Roman" w:hAnsi="Times New Roman"/>
          <w:b/>
          <w:color w:val="1F497D"/>
          <w:sz w:val="40"/>
        </w:rPr>
        <w:t>CHAPTER FIVE: TESTING, RESULTS AND EVALUATION</w:t>
      </w:r>
    </w:p>
    <w:p>
      <w:pPr>
        <w:keepNext/>
        <w:spacing w:before="280" w:after="160"/>
      </w:pPr>
      <w:r>
        <w:rPr>
          <w:rFonts w:ascii="Times New Roman" w:hAnsi="Times New Roman"/>
          <w:b/>
          <w:color w:val="1F497D"/>
          <w:sz w:val="32"/>
        </w:rPr>
        <w:t>5.0 Introduction</w:t>
      </w:r>
    </w:p>
    <w:p>
      <w:pPr>
        <w:spacing w:after="120" w:line="300" w:lineRule="auto"/>
      </w:pPr>
      <w:r>
        <w:rPr>
          <w:rFonts w:ascii="Times New Roman" w:hAnsi="Times New Roman"/>
          <w:sz w:val="24"/>
        </w:rPr>
        <w:t>This chapter presents the empirical testing strategy, raw telemetry data, quantitative results, and comprehensive evaluation of the secure AWS–Azure multi-cloud architecture implemented in Chapter Four. In accordance with Design Science Research Methodology (DSRM), evaluation validates whether the technical artefact satisfies the functional, security, performance, and resilience requirements established in Chapter Three.</w:t>
      </w:r>
    </w:p>
    <w:p>
      <w:pPr>
        <w:spacing w:before="120" w:after="120"/>
      </w:pPr>
      <w:r>
        <w:rPr>
          <w:color w:val="CCCCCC"/>
        </w:rPr>
        <w:t>――――――――――――――――――――――――――――――――――――――――――――――――――</w:t>
      </w:r>
    </w:p>
    <w:p>
      <w:pPr>
        <w:keepNext/>
        <w:spacing w:before="280" w:after="160"/>
      </w:pPr>
      <w:r>
        <w:rPr>
          <w:rFonts w:ascii="Times New Roman" w:hAnsi="Times New Roman"/>
          <w:b/>
          <w:color w:val="1F497D"/>
          <w:sz w:val="32"/>
        </w:rPr>
        <w:t>5.1 Functional Testing Results</w:t>
      </w:r>
    </w:p>
    <w:p>
      <w:pPr>
        <w:spacing w:after="120" w:line="300" w:lineRule="auto"/>
      </w:pPr>
      <w:r>
        <w:rPr>
          <w:rFonts w:ascii="Times New Roman" w:hAnsi="Times New Roman"/>
          <w:sz w:val="24"/>
        </w:rPr>
        <w:t>Functional tests verify that core provisioning, routing, workload communication, and native cloud operations perform as designed.</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Test ID</w:t>
            </w:r>
          </w:p>
        </w:tc>
        <w:tc>
          <w:tcPr>
            <w:tcW w:type="dxa" w:w="156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Test Description</w:t>
            </w:r>
          </w:p>
        </w:tc>
        <w:tc>
          <w:tcPr>
            <w:tcW w:type="dxa" w:w="156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Execution Method</w:t>
            </w:r>
          </w:p>
        </w:tc>
        <w:tc>
          <w:tcPr>
            <w:tcW w:type="dxa" w:w="156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Expected Outcome</w:t>
            </w:r>
          </w:p>
        </w:tc>
        <w:tc>
          <w:tcPr>
            <w:tcW w:type="dxa" w:w="156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Actual Result</w:t>
            </w:r>
          </w:p>
        </w:tc>
        <w:tc>
          <w:tcPr>
            <w:tcW w:type="dxa" w:w="156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Status</w:t>
            </w:r>
          </w:p>
        </w:tc>
      </w:tr>
      <w:tr>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FT-01</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Terraform Provisioning</w:t>
            </w:r>
          </w:p>
        </w:tc>
        <w:tc>
          <w:tcPr>
            <w:tcW w:type="dxa" w:w="1560"/>
            <w:vAlign w:val="center"/>
            <w:tcMar>
              <w:top w:w="120" w:type="dxa"/>
              <w:bottom w:w="120" w:type="dxa"/>
              <w:left w:w="150" w:type="dxa"/>
              <w:right w:w="150" w:type="dxa"/>
            </w:tcMar>
            <w:shd w:fill="F2F5F9"/>
          </w:tcPr>
          <w:p>
            <w:pPr>
              <w:spacing w:after="40" w:before="40" w:line="276" w:lineRule="auto"/>
            </w:pPr>
            <w:r>
              <w:rPr>
                <w:rFonts w:ascii="Consolas" w:hAnsi="Consolas"/>
                <w:color w:val="881515"/>
                <w:sz w:val="21"/>
              </w:rPr>
              <w:t>terraform apply</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All AWS/Azure resources instantiated</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100% resources created</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PASS</w:t>
            </w:r>
          </w:p>
        </w:tc>
      </w:tr>
      <w:tr>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FT-02</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Configuration Drift Check</w:t>
            </w:r>
          </w:p>
        </w:tc>
        <w:tc>
          <w:tcPr>
            <w:tcW w:type="dxa" w:w="1560"/>
            <w:vAlign w:val="center"/>
            <w:tcMar>
              <w:top w:w="120" w:type="dxa"/>
              <w:bottom w:w="120" w:type="dxa"/>
              <w:left w:w="150" w:type="dxa"/>
              <w:right w:w="150" w:type="dxa"/>
            </w:tcMar>
            <w:shd w:fill="FFFFFF"/>
          </w:tcPr>
          <w:p>
            <w:pPr>
              <w:spacing w:after="40" w:before="40" w:line="276" w:lineRule="auto"/>
            </w:pPr>
            <w:r>
              <w:rPr>
                <w:rFonts w:ascii="Consolas" w:hAnsi="Consolas"/>
                <w:color w:val="881515"/>
                <w:sz w:val="21"/>
              </w:rPr>
              <w:t>terraform plan</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Zero unexplained drift</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No changes reported</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PASS</w:t>
            </w:r>
          </w:p>
        </w:tc>
      </w:tr>
      <w:tr>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FT-03</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AWS VPN Tunnel Status</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 xml:space="preserve">AWS CLI </w:t>
            </w:r>
            <w:r>
              <w:rPr>
                <w:rFonts w:ascii="Consolas" w:hAnsi="Consolas"/>
                <w:color w:val="881515"/>
                <w:sz w:val="21"/>
              </w:rPr>
              <w:t>describe-vpn-connections</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 xml:space="preserve">Tunnels report </w:t>
            </w:r>
            <w:r>
              <w:rPr>
                <w:rFonts w:ascii="Consolas" w:hAnsi="Consolas"/>
                <w:color w:val="881515"/>
                <w:sz w:val="21"/>
              </w:rPr>
              <w:t>UP</w:t>
            </w:r>
            <w:r>
              <w:rPr>
                <w:rFonts w:ascii="Times New Roman" w:hAnsi="Times New Roman"/>
                <w:sz w:val="20"/>
              </w:rPr>
              <w:t xml:space="preserve"> state</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2/2 Tunnels Active</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PASS</w:t>
            </w:r>
          </w:p>
        </w:tc>
      </w:tr>
      <w:tr>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FT-04</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Azure VPN Conn Status</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 xml:space="preserve">Azure CLI </w:t>
            </w:r>
            <w:r>
              <w:rPr>
                <w:rFonts w:ascii="Consolas" w:hAnsi="Consolas"/>
                <w:color w:val="881515"/>
                <w:sz w:val="21"/>
              </w:rPr>
              <w:t>az network vpn-connection</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 xml:space="preserve">Connection status </w:t>
            </w:r>
            <w:r>
              <w:rPr>
                <w:rFonts w:ascii="Consolas" w:hAnsi="Consolas"/>
                <w:color w:val="881515"/>
                <w:sz w:val="21"/>
              </w:rPr>
              <w:t>Connected</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Both Connections Connected</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PASS</w:t>
            </w:r>
          </w:p>
        </w:tc>
      </w:tr>
      <w:tr>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FT-05</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BGP Route Exchange</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TGW &amp; VNG Route Inspection</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CIDRs 10.10.0.0/16 &amp; 10.20.0.0/16 learned</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Dynamic BGP routes active</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PASS</w:t>
            </w:r>
          </w:p>
        </w:tc>
      </w:tr>
      <w:tr>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FT-06</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End-to-End App Flow</w:t>
            </w:r>
          </w:p>
        </w:tc>
        <w:tc>
          <w:tcPr>
            <w:tcW w:type="dxa" w:w="1560"/>
            <w:vAlign w:val="center"/>
            <w:tcMar>
              <w:top w:w="120" w:type="dxa"/>
              <w:bottom w:w="120" w:type="dxa"/>
              <w:left w:w="150" w:type="dxa"/>
              <w:right w:w="150" w:type="dxa"/>
            </w:tcMar>
            <w:shd w:fill="FFFFFF"/>
          </w:tcPr>
          <w:p>
            <w:pPr>
              <w:spacing w:after="40" w:before="40" w:line="276" w:lineRule="auto"/>
            </w:pPr>
            <w:r>
              <w:rPr>
                <w:rFonts w:ascii="Consolas" w:hAnsi="Consolas"/>
                <w:color w:val="881515"/>
                <w:sz w:val="21"/>
              </w:rPr>
              <w:t>curl /azure-health</w:t>
            </w:r>
            <w:r>
              <w:rPr>
                <w:rFonts w:ascii="Times New Roman" w:hAnsi="Times New Roman"/>
                <w:sz w:val="20"/>
              </w:rPr>
              <w:t xml:space="preserve"> from ALB</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HTTP 200 returned via inter-cloud path</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HTTP 200 OK (0.042s)</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PASS</w:t>
            </w:r>
          </w:p>
        </w:tc>
      </w:tr>
    </w:tbl>
    <w:p>
      <w:pPr>
        <w:spacing w:before="120" w:after="120"/>
      </w:pPr>
      <w:r>
        <w:rPr>
          <w:color w:val="CCCCCC"/>
        </w:rPr>
        <w:t>――――――――――――――――――――――――――――――――――――――――――――――――――</w:t>
      </w:r>
    </w:p>
    <w:p>
      <w:pPr>
        <w:keepNext/>
        <w:spacing w:before="280" w:after="160"/>
      </w:pPr>
      <w:r>
        <w:rPr>
          <w:rFonts w:ascii="Times New Roman" w:hAnsi="Times New Roman"/>
          <w:b/>
          <w:color w:val="1F497D"/>
          <w:sz w:val="32"/>
        </w:rPr>
        <w:t>5.2 Security Posture Assessment &amp; Segmentation Validation</w:t>
      </w:r>
    </w:p>
    <w:p>
      <w:pPr>
        <w:keepNext/>
        <w:spacing w:before="240" w:after="120"/>
      </w:pPr>
      <w:r>
        <w:rPr>
          <w:rFonts w:ascii="Times New Roman" w:hAnsi="Times New Roman"/>
          <w:b/>
          <w:color w:val="366092"/>
          <w:sz w:val="27"/>
        </w:rPr>
        <w:t>5.2.1 Traffic-Flow Matrix Negative Test Results</w:t>
      </w:r>
    </w:p>
    <w:p>
      <w:pPr>
        <w:spacing w:before="120" w:after="120"/>
        <w:ind w:left="576" w:right="576"/>
      </w:pPr>
      <w:r>
        <w:rPr>
          <w:rFonts w:ascii="Consolas" w:hAnsi="Consolas"/>
          <w:color w:val="1F2937"/>
          <w:sz w:val="19"/>
        </w:rPr>
        <w:t>flowchart LR</w:t>
        <w:br/>
        <w:t xml:space="preserve">    subgraph AllowedFlows ["Authorised Traffic Paths (PASS)"]</w:t>
        <w:br/>
        <w:t xml:space="preserve">        ALB[ALB] --&gt;|TCP 80| Web[Web Proxy]</w:t>
        <w:br/>
        <w:t xml:space="preserve">        Web --&gt;|TCP 8080| App[App Tier]</w:t>
        <w:br/>
        <w:t xml:space="preserve">        App --&gt;|TCP 5432| DB[(PostgreSQL DB)]</w:t>
        <w:br/>
        <w:t xml:space="preserve">        App --&gt;|HTTPS 443 via VPN| AzService[Azure Service VM]</w:t>
        <w:br/>
        <w:t xml:space="preserve">    end</w:t>
        <w:br/>
        <w:br/>
        <w:t xml:space="preserve">    subgraph BlockedFlows ["Prohibited Traffic Paths (BLOCKED)"]</w:t>
        <w:br/>
        <w:t xml:space="preserve">        Internet[Public Internet] --x|Blocked| DB</w:t>
        <w:br/>
        <w:t xml:space="preserve">        Web --x|Blocked| DB</w:t>
        <w:br/>
        <w:t xml:space="preserve">        AzService --x|Blocked| DB</w:t>
        <w:br/>
        <w:t xml:space="preserve">    end</w:t>
      </w:r>
    </w:p>
    <w:p>
      <w:pPr>
        <w:spacing w:after="120" w:line="300" w:lineRule="auto"/>
      </w:pPr>
      <w:r>
        <w:rPr>
          <w:rFonts w:ascii="Times New Roman" w:hAnsi="Times New Roman"/>
          <w:b/>
          <w:sz w:val="24"/>
        </w:rPr>
        <w:t>Figure 5.1: Empirical Traffic Segmentation Validation Results</w:t>
      </w:r>
    </w:p>
    <w:p>
      <w:pPr>
        <w:pStyle w:val="ListBullet"/>
        <w:spacing w:after="80"/>
        <w:ind w:left="360"/>
      </w:pPr>
      <w:r>
        <w:rPr>
          <w:rFonts w:ascii="Times New Roman" w:hAnsi="Times New Roman"/>
          <w:b/>
          <w:sz w:val="24"/>
        </w:rPr>
        <w:t>Direct Web-to-Database Denial (ST-05)</w:t>
      </w:r>
      <w:r>
        <w:rPr>
          <w:rFonts w:ascii="Times New Roman" w:hAnsi="Times New Roman"/>
          <w:sz w:val="24"/>
        </w:rPr>
        <w:t xml:space="preserve">: Command </w:t>
      </w:r>
      <w:r>
        <w:rPr>
          <w:rFonts w:ascii="Consolas" w:hAnsi="Consolas"/>
          <w:color w:val="881515"/>
          <w:sz w:val="21"/>
        </w:rPr>
        <w:t>nc -vz -w 5 10.10.40.10 5432</w:t>
      </w:r>
      <w:r>
        <w:rPr>
          <w:rFonts w:ascii="Times New Roman" w:hAnsi="Times New Roman"/>
          <w:sz w:val="24"/>
        </w:rPr>
        <w:t xml:space="preserve"> executed from the Web proxy instance returned </w:t>
      </w:r>
      <w:r>
        <w:rPr>
          <w:rFonts w:ascii="Consolas" w:hAnsi="Consolas"/>
          <w:color w:val="881515"/>
          <w:sz w:val="21"/>
        </w:rPr>
        <w:t>Connection timed out</w:t>
      </w:r>
      <w:r>
        <w:rPr>
          <w:rFonts w:ascii="Times New Roman" w:hAnsi="Times New Roman"/>
          <w:sz w:val="24"/>
        </w:rPr>
        <w:t xml:space="preserve">. VPC Flow Logs confirmed an </w:t>
      </w:r>
      <w:r>
        <w:rPr>
          <w:rFonts w:ascii="Consolas" w:hAnsi="Consolas"/>
          <w:color w:val="881515"/>
          <w:sz w:val="21"/>
        </w:rPr>
        <w:t>REJECT</w:t>
      </w:r>
      <w:r>
        <w:rPr>
          <w:rFonts w:ascii="Times New Roman" w:hAnsi="Times New Roman"/>
          <w:sz w:val="24"/>
        </w:rPr>
        <w:t xml:space="preserve"> disposition at the Security Group PEP boundary.</w:t>
      </w:r>
    </w:p>
    <w:p>
      <w:pPr>
        <w:pStyle w:val="ListBullet"/>
        <w:spacing w:after="80"/>
        <w:ind w:left="360"/>
      </w:pPr>
      <w:r>
        <w:rPr>
          <w:rFonts w:ascii="Times New Roman" w:hAnsi="Times New Roman"/>
          <w:b/>
          <w:sz w:val="24"/>
        </w:rPr>
        <w:t>Azure-to-Database Denial (ST-09)</w:t>
      </w:r>
      <w:r>
        <w:rPr>
          <w:rFonts w:ascii="Times New Roman" w:hAnsi="Times New Roman"/>
          <w:sz w:val="24"/>
        </w:rPr>
        <w:t xml:space="preserve">: Command </w:t>
      </w:r>
      <w:r>
        <w:rPr>
          <w:rFonts w:ascii="Consolas" w:hAnsi="Consolas"/>
          <w:color w:val="881515"/>
          <w:sz w:val="21"/>
        </w:rPr>
        <w:t>nc -vz -w 5 10.10.40.10 5432</w:t>
      </w:r>
      <w:r>
        <w:rPr>
          <w:rFonts w:ascii="Times New Roman" w:hAnsi="Times New Roman"/>
          <w:sz w:val="24"/>
        </w:rPr>
        <w:t xml:space="preserve"> executed from the Azure Supporting VM returned </w:t>
      </w:r>
      <w:r>
        <w:rPr>
          <w:rFonts w:ascii="Consolas" w:hAnsi="Consolas"/>
          <w:color w:val="881515"/>
          <w:sz w:val="21"/>
        </w:rPr>
        <w:t>Connection timed out</w:t>
      </w:r>
      <w:r>
        <w:rPr>
          <w:rFonts w:ascii="Times New Roman" w:hAnsi="Times New Roman"/>
          <w:sz w:val="24"/>
        </w:rPr>
        <w:t>. TGW route filtering prevented prefix propagation to Azure.</w:t>
      </w:r>
    </w:p>
    <w:p>
      <w:pPr>
        <w:keepNext/>
        <w:spacing w:before="240" w:after="120"/>
      </w:pPr>
      <w:r>
        <w:rPr>
          <w:rFonts w:ascii="Times New Roman" w:hAnsi="Times New Roman"/>
          <w:b/>
          <w:color w:val="366092"/>
          <w:sz w:val="27"/>
        </w:rPr>
        <w:t>5.2.2 Automated Posture Assessment: Prowler &amp; ScoutSuite Results</w:t>
      </w:r>
    </w:p>
    <w:p>
      <w:pPr>
        <w:spacing w:before="120" w:after="120"/>
        <w:ind w:left="576" w:right="576"/>
      </w:pPr>
      <w:r>
        <w:rPr>
          <w:rFonts w:ascii="Consolas" w:hAnsi="Consolas"/>
          <w:color w:val="1F2937"/>
          <w:sz w:val="19"/>
        </w:rPr>
        <w:t>gantt</w:t>
        <w:br/>
        <w:t xml:space="preserve">    title Prowler Vulnerability Remediation Progress</w:t>
        <w:br/>
        <w:t xml:space="preserve">    dateFormat X</w:t>
        <w:br/>
        <w:t xml:space="preserve">    axisFormat %s</w:t>
        <w:br/>
        <w:t xml:space="preserve">    section AWS Findings</w:t>
        <w:br/>
        <w:t xml:space="preserve">    Critical (Initial: 2 -&gt; Final: 0) :active, 0, 2</w:t>
        <w:br/>
        <w:t xml:space="preserve">    High (Initial: 7 -&gt; Final: 0)     :active, 0, 7</w:t>
        <w:br/>
        <w:t xml:space="preserve">    Medium (Initial: 12 -&gt; Final: 2)   :active, 0, 10</w:t>
        <w:br/>
        <w:t xml:space="preserve">    section Azure Findings</w:t>
        <w:br/>
        <w:t xml:space="preserve">    Critical (Initial: 1 -&gt; Final: 0) :active, 0, 1</w:t>
        <w:br/>
        <w:t xml:space="preserve">    High (Initial: 5 -&gt; Final: 0)     :active, 0, 5</w:t>
        <w:br/>
        <w:t xml:space="preserve">    Medium (Initial: 9 -&gt; Final: 1)   :active, 0, 8</w:t>
      </w:r>
    </w:p>
    <w:p>
      <w:pPr>
        <w:spacing w:after="120" w:line="300" w:lineRule="auto"/>
      </w:pPr>
      <w:r>
        <w:rPr>
          <w:rFonts w:ascii="Times New Roman" w:hAnsi="Times New Roman"/>
          <w:b/>
          <w:sz w:val="24"/>
        </w:rPr>
        <w:t>Figure 5.2: Prowler Security Scan Finding Counts Before and After Remediation</w:t>
      </w:r>
    </w:p>
    <w:p>
      <w:pPr>
        <w:pStyle w:val="ListBullet"/>
        <w:spacing w:after="80"/>
        <w:ind w:left="360"/>
      </w:pPr>
      <w:r>
        <w:rPr>
          <w:rFonts w:ascii="Times New Roman" w:hAnsi="Times New Roman"/>
          <w:b/>
          <w:sz w:val="24"/>
        </w:rPr>
        <w:t>Initial Assessment</w:t>
      </w:r>
      <w:r>
        <w:rPr>
          <w:rFonts w:ascii="Times New Roman" w:hAnsi="Times New Roman"/>
          <w:sz w:val="24"/>
        </w:rPr>
        <w:t>: Prowler identified 3 Critical findings (unencrypted EBS volume, missing Key Vault purge protection, exposed SSH) and 12 High findings.</w:t>
      </w:r>
    </w:p>
    <w:p>
      <w:pPr>
        <w:pStyle w:val="ListBullet"/>
        <w:spacing w:after="80"/>
        <w:ind w:left="360"/>
      </w:pPr>
      <w:r>
        <w:rPr>
          <w:rFonts w:ascii="Times New Roman" w:hAnsi="Times New Roman"/>
          <w:b/>
          <w:sz w:val="24"/>
        </w:rPr>
        <w:t>Remediation</w:t>
      </w:r>
      <w:r>
        <w:rPr>
          <w:rFonts w:ascii="Times New Roman" w:hAnsi="Times New Roman"/>
          <w:sz w:val="24"/>
        </w:rPr>
        <w:t>: Customer-managed KMS/Key Vault encryption was enforced, SSH was restricted to administrator CIDR, and Key Vault soft-delete/purge protection was activated in Terraform.</w:t>
      </w:r>
    </w:p>
    <w:p>
      <w:pPr>
        <w:pStyle w:val="ListBullet"/>
        <w:spacing w:after="80"/>
        <w:ind w:left="360"/>
      </w:pPr>
      <w:r>
        <w:rPr>
          <w:rFonts w:ascii="Times New Roman" w:hAnsi="Times New Roman"/>
          <w:b/>
          <w:sz w:val="24"/>
        </w:rPr>
        <w:t>Final Assessment</w:t>
      </w:r>
      <w:r>
        <w:rPr>
          <w:rFonts w:ascii="Times New Roman" w:hAnsi="Times New Roman"/>
          <w:sz w:val="24"/>
        </w:rPr>
        <w:t xml:space="preserve">: </w:t>
      </w:r>
      <w:r>
        <w:rPr>
          <w:rFonts w:ascii="Times New Roman" w:hAnsi="Times New Roman"/>
          <w:b/>
          <w:sz w:val="24"/>
        </w:rPr>
        <w:t>0 Critical and 0 High findings</w:t>
      </w:r>
      <w:r>
        <w:rPr>
          <w:rFonts w:ascii="Times New Roman" w:hAnsi="Times New Roman"/>
          <w:sz w:val="24"/>
        </w:rPr>
        <w:t xml:space="preserve"> within the project scope. 3 residual Medium findings were formally documented as deliberate lab budget limitations (single NAT Gateway).</w:t>
      </w:r>
    </w:p>
    <w:p>
      <w:pPr>
        <w:spacing w:before="120" w:after="120"/>
      </w:pPr>
      <w:r>
        <w:rPr>
          <w:color w:val="CCCCCC"/>
        </w:rPr>
        <w:t>――――――――――――――――――――――――――――――――――――――――――――――――――</w:t>
      </w:r>
    </w:p>
    <w:p>
      <w:pPr>
        <w:keepNext/>
        <w:spacing w:before="280" w:after="160"/>
      </w:pPr>
      <w:r>
        <w:rPr>
          <w:rFonts w:ascii="Times New Roman" w:hAnsi="Times New Roman"/>
          <w:b/>
          <w:color w:val="1F497D"/>
          <w:sz w:val="32"/>
        </w:rPr>
        <w:t>5.3 Network Performance Evaluation</w:t>
      </w:r>
    </w:p>
    <w:p>
      <w:pPr>
        <w:keepNext/>
        <w:spacing w:before="240" w:after="120"/>
      </w:pPr>
      <w:r>
        <w:rPr>
          <w:rFonts w:ascii="Times New Roman" w:hAnsi="Times New Roman"/>
          <w:b/>
          <w:color w:val="366092"/>
          <w:sz w:val="27"/>
        </w:rPr>
        <w:t>5.3.1 Ping Round-Trip Latency Analysis</w:t>
      </w:r>
    </w:p>
    <w:p>
      <w:pPr>
        <w:spacing w:after="120" w:line="300" w:lineRule="auto"/>
      </w:pPr>
      <w:r>
        <w:rPr>
          <w:rFonts w:ascii="Times New Roman" w:hAnsi="Times New Roman"/>
          <w:sz w:val="24"/>
        </w:rPr>
        <w:t>Latency was measured across 100 ICMP echo probes per run over 5 repeated trial sets:</w:t>
      </w:r>
    </w:p>
    <w:p>
      <w:pPr>
        <w:spacing w:before="120" w:after="120"/>
        <w:ind w:left="576" w:right="576"/>
      </w:pPr>
      <w:r>
        <w:rPr>
          <w:rFonts w:ascii="Consolas" w:hAnsi="Consolas"/>
          <w:color w:val="1F2937"/>
          <w:sz w:val="19"/>
        </w:rPr>
        <w:t>plot</w:t>
        <w:br/>
        <w:t xml:space="preserve">    title AWS to Azure Inter-Cloud RTT Latency Across Test Runs</w:t>
        <w:br/>
        <w:t xml:space="preserve">    x-axis "Run Index" 1 2 3 4 5</w:t>
        <w:br/>
        <w:t xml:space="preserve">    y-axis "Latency (ms)" 20 40 60 80 100</w:t>
        <w:br/>
        <w:t xml:space="preserve">    line [1, 34.2], [2, 35.1], [3, 33.8], [4, 36.5], [5, 34.9]</w:t>
      </w:r>
    </w:p>
    <w:p>
      <w:pPr>
        <w:pStyle w:val="ListBullet"/>
        <w:spacing w:after="80"/>
        <w:ind w:left="360"/>
      </w:pPr>
      <w:r>
        <w:rPr>
          <w:rFonts w:ascii="Times New Roman" w:hAnsi="Times New Roman"/>
          <w:b/>
          <w:sz w:val="24"/>
        </w:rPr>
        <w:t>Mean AWS $\rightarrow$ Azure RTT</w:t>
      </w:r>
      <w:r>
        <w:rPr>
          <w:rFonts w:ascii="Times New Roman" w:hAnsi="Times New Roman"/>
          <w:sz w:val="24"/>
        </w:rPr>
        <w:t>: $34.9\text{ ms}$ (Min: $32.1\text{ ms}$, Max: $41.2\text{ ms}$, StDev: $1.8\text{ ms}$).</w:t>
      </w:r>
    </w:p>
    <w:p>
      <w:pPr>
        <w:pStyle w:val="ListBullet"/>
        <w:spacing w:after="80"/>
        <w:ind w:left="360"/>
      </w:pPr>
      <w:r>
        <w:rPr>
          <w:rFonts w:ascii="Times New Roman" w:hAnsi="Times New Roman"/>
          <w:b/>
          <w:sz w:val="24"/>
        </w:rPr>
        <w:t>Mean Azure $\rightarrow$ AWS RTT</w:t>
      </w:r>
      <w:r>
        <w:rPr>
          <w:rFonts w:ascii="Times New Roman" w:hAnsi="Times New Roman"/>
          <w:sz w:val="24"/>
        </w:rPr>
        <w:t>: $35.4\text{ ms}$ (Min: $32.5\text{ ms}$, Max: $42.0\text{ ms}$, StDev: $1.9\text{ ms}$).</w:t>
      </w:r>
    </w:p>
    <w:p>
      <w:pPr>
        <w:pStyle w:val="ListBullet"/>
        <w:spacing w:after="80"/>
        <w:ind w:left="360"/>
      </w:pPr>
      <w:r>
        <w:rPr>
          <w:rFonts w:ascii="Times New Roman" w:hAnsi="Times New Roman"/>
          <w:b/>
          <w:sz w:val="24"/>
        </w:rPr>
        <w:t>Evaluation</w:t>
      </w:r>
      <w:r>
        <w:rPr>
          <w:rFonts w:ascii="Times New Roman" w:hAnsi="Times New Roman"/>
          <w:sz w:val="24"/>
        </w:rPr>
        <w:t xml:space="preserve">: Average latency ($35.15\text{ ms}$) is </w:t>
      </w:r>
      <w:r>
        <w:rPr>
          <w:rFonts w:ascii="Times New Roman" w:hAnsi="Times New Roman"/>
          <w:b/>
          <w:sz w:val="24"/>
        </w:rPr>
        <w:t>well below the sub-100ms threshold</w:t>
      </w:r>
      <w:r>
        <w:rPr>
          <w:rFonts w:ascii="Times New Roman" w:hAnsi="Times New Roman"/>
          <w:sz w:val="24"/>
        </w:rPr>
        <w:t>, validating the performance suitability of route-based IPsec VPNs for inter-cloud API communications.</w:t>
      </w:r>
    </w:p>
    <w:p>
      <w:pPr>
        <w:keepNext/>
        <w:spacing w:before="240" w:after="120"/>
      </w:pPr>
      <w:r>
        <w:rPr>
          <w:rFonts w:ascii="Times New Roman" w:hAnsi="Times New Roman"/>
          <w:b/>
          <w:color w:val="366092"/>
          <w:sz w:val="27"/>
        </w:rPr>
        <w:t>5.3.2 iPerf3 TCP Throughput Benchmarking</w:t>
      </w:r>
    </w:p>
    <w:p>
      <w:pPr>
        <w:spacing w:after="120" w:line="300" w:lineRule="auto"/>
      </w:pPr>
      <w:r>
        <w:rPr>
          <w:rFonts w:ascii="Times New Roman" w:hAnsi="Times New Roman"/>
          <w:sz w:val="24"/>
        </w:rPr>
        <w:t>Throughput was benchmarked across the encrypted inter-cloud VPN link:</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Direction</w:t>
            </w:r>
          </w:p>
        </w:tc>
        <w:tc>
          <w:tcPr>
            <w:tcW w:type="dxa" w:w="156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Parallel Streams ($P$)</w:t>
            </w:r>
          </w:p>
        </w:tc>
        <w:tc>
          <w:tcPr>
            <w:tcW w:type="dxa" w:w="156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Duration</w:t>
            </w:r>
          </w:p>
        </w:tc>
        <w:tc>
          <w:tcPr>
            <w:tcW w:type="dxa" w:w="156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Sender Throughput</w:t>
            </w:r>
          </w:p>
        </w:tc>
        <w:tc>
          <w:tcPr>
            <w:tcW w:type="dxa" w:w="156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Receiver Throughput</w:t>
            </w:r>
          </w:p>
        </w:tc>
        <w:tc>
          <w:tcPr>
            <w:tcW w:type="dxa" w:w="156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Retransmissions</w:t>
            </w:r>
          </w:p>
        </w:tc>
      </w:tr>
      <w:tr>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AWS $\rightarrow$ Azure</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1 Stream ($P=1$)</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30 sec</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142.5 Mbps</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140.2 Mbps</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12</w:t>
            </w:r>
          </w:p>
        </w:tc>
      </w:tr>
      <w:tr>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AWS $\rightarrow$ Azure</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4 Streams ($P=4$)</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30 sec</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385.1 Mbps</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378.6 Mbps</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48</w:t>
            </w:r>
          </w:p>
        </w:tc>
      </w:tr>
      <w:tr>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AWS $\rightarrow$ Azure</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8 Streams ($P=8$)</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30 sec</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512.4 Mbps</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498.9 Mbps</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115</w:t>
            </w:r>
          </w:p>
        </w:tc>
      </w:tr>
      <w:tr>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Azure $\rightarrow$ AWS</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1 Stream ($P=1$)</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30 sec</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139.8 Mbps</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137.9 Mbps</w:t>
            </w:r>
          </w:p>
        </w:tc>
        <w:tc>
          <w:tcPr>
            <w:tcW w:type="dxa" w:w="156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15</w:t>
            </w:r>
          </w:p>
        </w:tc>
      </w:tr>
      <w:tr>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Azure $\rightarrow$ AWS</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4 Streams ($P=4$)</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30 sec</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379.2 Mbps</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371.4 Mbps</w:t>
            </w:r>
          </w:p>
        </w:tc>
        <w:tc>
          <w:tcPr>
            <w:tcW w:type="dxa" w:w="156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52</w:t>
            </w:r>
          </w:p>
        </w:tc>
      </w:tr>
    </w:tbl>
    <w:p>
      <w:pPr>
        <w:spacing w:after="120" w:line="300" w:lineRule="auto"/>
      </w:pPr>
      <w:r>
        <w:rPr>
          <w:rFonts w:ascii="Times New Roman" w:hAnsi="Times New Roman"/>
          <w:b/>
          <w:sz w:val="24"/>
        </w:rPr>
        <w:t>Analysis</w:t>
      </w:r>
      <w:r>
        <w:rPr>
          <w:rFonts w:ascii="Times New Roman" w:hAnsi="Times New Roman"/>
          <w:sz w:val="24"/>
        </w:rPr>
        <w:t>: Multi-stream throughput scales up to $\approx 500\text{ Mbps}$, demonstrating that TCP window scaling and parallel connection pools effectively utilize the encrypted inter-cloud bandwidth pipeline.</w:t>
      </w:r>
    </w:p>
    <w:p>
      <w:pPr>
        <w:spacing w:before="120" w:after="120"/>
      </w:pPr>
      <w:r>
        <w:rPr>
          <w:color w:val="CCCCCC"/>
        </w:rPr>
        <w:t>――――――――――――――――――――――――――――――――――――――――――――――――――</w:t>
      </w:r>
    </w:p>
    <w:p>
      <w:pPr>
        <w:keepNext/>
        <w:spacing w:before="280" w:after="160"/>
      </w:pPr>
      <w:r>
        <w:rPr>
          <w:rFonts w:ascii="Times New Roman" w:hAnsi="Times New Roman"/>
          <w:b/>
          <w:color w:val="1F497D"/>
          <w:sz w:val="32"/>
        </w:rPr>
        <w:t>5.4 Failover and Resilience Evaluation</w:t>
      </w:r>
    </w:p>
    <w:p>
      <w:pPr>
        <w:spacing w:after="120" w:line="300" w:lineRule="auto"/>
      </w:pPr>
      <w:r>
        <w:rPr>
          <w:rFonts w:ascii="Times New Roman" w:hAnsi="Times New Roman"/>
          <w:sz w:val="24"/>
        </w:rPr>
        <w:t>To evaluate resilience, Tunnel 1 of the AWS Site-to-Site VPN was disabled during an active 1-second HTTP health probe session:</w:t>
      </w:r>
    </w:p>
    <w:p>
      <w:pPr>
        <w:spacing w:before="120" w:after="120"/>
        <w:ind w:left="576" w:right="576"/>
      </w:pPr>
      <w:r>
        <w:rPr>
          <w:rFonts w:ascii="Consolas" w:hAnsi="Consolas"/>
          <w:color w:val="1F2937"/>
          <w:sz w:val="19"/>
        </w:rPr>
        <w:t>sequenceDiagram</w:t>
        <w:br/>
        <w:t xml:space="preserve">    autonumber</w:t>
        <w:br/>
        <w:t xml:space="preserve">    participant Probe as Continuous Health Probe (1s)</w:t>
        <w:br/>
        <w:t xml:space="preserve">    participant T1 as IPsec Tunnel 1 (Primary)</w:t>
        <w:br/>
        <w:t xml:space="preserve">    participant T2 as IPsec Tunnel 2 (Secondary)</w:t>
        <w:br/>
        <w:t xml:space="preserve">    participant BGP as BGP Routing Engine</w:t>
        <w:br/>
        <w:br/>
        <w:t xml:space="preserve">    Probe -&gt;&gt; T1: Probe #1-45: HTTP 200 OK (Latency ~35ms)</w:t>
        <w:br/>
        <w:t xml:space="preserve">    Note over T1: Fault Injected: Tunnel 1 Disabled</w:t>
        <w:br/>
        <w:t xml:space="preserve">    Probe -&gt;&gt; T1: Probe #46: Request Timeout (First Failure: T = 0s)</w:t>
        <w:br/>
        <w:t xml:space="preserve">    Probe -&gt;&gt; T1: Probe #47-49: Request Timeout</w:t>
        <w:br/>
        <w:t xml:space="preserve">    BGP -&gt;&gt; BGP: Keepalive Expired -&gt; Withdraw Tunnel 1 Route (T = 3.2s)</w:t>
        <w:br/>
        <w:t xml:space="preserve">    BGP -&gt;&gt; T2: Activate Tunnel 2 BGP Learned Route (T = 3.8s)</w:t>
        <w:br/>
        <w:t xml:space="preserve">    Probe -&gt;&gt; T2: Probe #50: HTTP 200 OK (Restoration: T = 4.1s)</w:t>
        <w:br/>
        <w:t xml:space="preserve">    Note over Probe: Stable Response Confirmed</w:t>
      </w:r>
    </w:p>
    <w:p>
      <w:pPr>
        <w:spacing w:after="120" w:line="300" w:lineRule="auto"/>
      </w:pPr>
      <w:r>
        <w:rPr>
          <w:rFonts w:ascii="Times New Roman" w:hAnsi="Times New Roman"/>
          <w:b/>
          <w:sz w:val="24"/>
        </w:rPr>
        <w:t>Figure 5.3: Failover Timeline and BGP Route Convergence Sequence</w:t>
      </w:r>
    </w:p>
    <w:p>
      <w:pPr>
        <w:pStyle w:val="ListBullet"/>
        <w:spacing w:after="80"/>
        <w:ind w:left="360"/>
      </w:pPr>
      <w:r>
        <w:rPr>
          <w:rFonts w:ascii="Times New Roman" w:hAnsi="Times New Roman"/>
          <w:b/>
          <w:sz w:val="24"/>
        </w:rPr>
        <w:t>First Failure Timestamp ($T_{\text{first\_failure}}$)</w:t>
      </w:r>
      <w:r>
        <w:rPr>
          <w:rFonts w:ascii="Times New Roman" w:hAnsi="Times New Roman"/>
          <w:sz w:val="24"/>
        </w:rPr>
        <w:t>: $0.0\text{s}$ (Probe #46 timeout).</w:t>
      </w:r>
    </w:p>
    <w:p>
      <w:pPr>
        <w:pStyle w:val="ListBullet"/>
        <w:spacing w:after="80"/>
        <w:ind w:left="360"/>
      </w:pPr>
      <w:r>
        <w:rPr>
          <w:rFonts w:ascii="Times New Roman" w:hAnsi="Times New Roman"/>
          <w:b/>
          <w:sz w:val="24"/>
        </w:rPr>
        <w:t>Stable Restoration Timestamp ($T_{\text{stable\_restoration}}$)</w:t>
      </w:r>
      <w:r>
        <w:rPr>
          <w:rFonts w:ascii="Times New Roman" w:hAnsi="Times New Roman"/>
          <w:sz w:val="24"/>
        </w:rPr>
        <w:t>: $4.1\text{s}$ (Probe #50 HTTP 200 OK).</w:t>
      </w:r>
    </w:p>
    <w:p>
      <w:pPr>
        <w:pStyle w:val="ListBullet"/>
        <w:spacing w:after="80"/>
        <w:ind w:left="360"/>
      </w:pPr>
      <w:r>
        <w:rPr>
          <w:rFonts w:ascii="Times New Roman" w:hAnsi="Times New Roman"/>
          <w:b/>
          <w:sz w:val="24"/>
        </w:rPr>
        <w:t>Measured RTO</w:t>
      </w:r>
      <w:r>
        <w:rPr>
          <w:rFonts w:ascii="Times New Roman" w:hAnsi="Times New Roman"/>
          <w:sz w:val="24"/>
        </w:rPr>
        <w:t>:</w:t>
      </w:r>
    </w:p>
    <w:p>
      <w:pPr>
        <w:spacing w:after="120" w:line="300" w:lineRule="auto"/>
      </w:pPr>
      <w:r>
        <w:rPr>
          <w:rFonts w:ascii="Times New Roman" w:hAnsi="Times New Roman"/>
          <w:sz w:val="24"/>
        </w:rPr>
        <w:t>$$\text{RTO}_{\text{measured}} = 4.1\text{s} - 0.0\text{s} = 4.1\text{ seconds}$$</w:t>
      </w:r>
    </w:p>
    <w:p>
      <w:pPr>
        <w:pStyle w:val="ListBullet"/>
        <w:spacing w:after="80"/>
        <w:ind w:left="360"/>
      </w:pPr>
      <w:r>
        <w:rPr>
          <w:rFonts w:ascii="Times New Roman" w:hAnsi="Times New Roman"/>
          <w:b/>
          <w:sz w:val="24"/>
        </w:rPr>
        <w:t>Evaluation</w:t>
      </w:r>
      <w:r>
        <w:rPr>
          <w:rFonts w:ascii="Times New Roman" w:hAnsi="Times New Roman"/>
          <w:sz w:val="24"/>
        </w:rPr>
        <w:t>: The 4.1-second RTO demonstrates rapid, automated BGP failover across redundant IPsec tunnels without manual intervention.</w:t>
      </w:r>
    </w:p>
    <w:p>
      <w:pPr>
        <w:spacing w:before="120" w:after="120"/>
      </w:pPr>
      <w:r>
        <w:rPr>
          <w:color w:val="CCCCCC"/>
        </w:rPr>
        <w:t>――――――――――――――――――――――――――――――――――――――――――――――――――</w:t>
      </w:r>
    </w:p>
    <w:p>
      <w:pPr>
        <w:keepNext/>
        <w:spacing w:before="280" w:after="160"/>
      </w:pPr>
      <w:r>
        <w:rPr>
          <w:rFonts w:ascii="Times New Roman" w:hAnsi="Times New Roman"/>
          <w:b/>
          <w:color w:val="1F497D"/>
          <w:sz w:val="32"/>
        </w:rPr>
        <w:t>5.5 Overall Evaluation against Project Objectives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Objective</w:t>
            </w:r>
          </w:p>
        </w:tc>
        <w:tc>
          <w:tcPr>
            <w:tcW w:type="dxa" w:w="234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Target Criteria</w:t>
            </w:r>
          </w:p>
        </w:tc>
        <w:tc>
          <w:tcPr>
            <w:tcW w:type="dxa" w:w="234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Empirical Evidence Baseline</w:t>
            </w:r>
          </w:p>
        </w:tc>
        <w:tc>
          <w:tcPr>
            <w:tcW w:type="dxa" w:w="2340"/>
            <w:vAlign w:val="center"/>
            <w:tcMar>
              <w:top w:w="120" w:type="dxa"/>
              <w:bottom w:w="120" w:type="dxa"/>
              <w:left w:w="150" w:type="dxa"/>
              <w:right w:w="150" w:type="dxa"/>
            </w:tcMar>
            <w:shd w:fill="1F497D"/>
          </w:tcPr>
          <w:p>
            <w:pPr>
              <w:spacing w:after="40" w:before="40" w:line="276" w:lineRule="auto"/>
            </w:pPr>
            <w:r>
              <w:rPr>
                <w:rFonts w:ascii="Times New Roman" w:hAnsi="Times New Roman"/>
                <w:b/>
                <w:color w:val="FFFFFF"/>
                <w:sz w:val="21"/>
              </w:rPr>
              <w:t>Achievement Status</w:t>
            </w:r>
          </w:p>
        </w:tc>
      </w:tr>
      <w:tr>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Objective 1 (Review &amp; Gap)</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Identify gaps in existing literature &amp; Nigerian policy</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Literature synthesis, Gap Matrix (Section 2.13)</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ACHIEVED</w:t>
            </w:r>
          </w:p>
        </w:tc>
      </w:tr>
      <w:tr>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Objective 2 (System Design)</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Design hub-spoke Zero Trust multi-cloud architecture</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5-Plane architecture, Flow Matrix, CIDR plan</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ACHIEVED</w:t>
            </w:r>
          </w:p>
        </w:tc>
      </w:tr>
      <w:tr>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Objective 3 (IaC Implementation)</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Modular Terraform codebase with zero drift</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100% codified deployment, 0 drift plan</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ACHIEVED</w:t>
            </w:r>
          </w:p>
        </w:tc>
      </w:tr>
      <w:tr>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Objective 4 (Security Control)</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Micro-segmentation, Entra IdC federation, 0 High scans</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sz w:val="20"/>
              </w:rPr>
              <w:t>0 High Prowler findings, Web-DB denial verified</w:t>
            </w:r>
          </w:p>
        </w:tc>
        <w:tc>
          <w:tcPr>
            <w:tcW w:type="dxa" w:w="2340"/>
            <w:vAlign w:val="center"/>
            <w:tcMar>
              <w:top w:w="120" w:type="dxa"/>
              <w:bottom w:w="120" w:type="dxa"/>
              <w:left w:w="150" w:type="dxa"/>
              <w:right w:w="150" w:type="dxa"/>
            </w:tcMar>
            <w:shd w:fill="FFFFFF"/>
          </w:tcPr>
          <w:p>
            <w:pPr>
              <w:spacing w:after="40" w:before="40" w:line="276" w:lineRule="auto"/>
            </w:pPr>
            <w:r>
              <w:rPr>
                <w:rFonts w:ascii="Times New Roman" w:hAnsi="Times New Roman"/>
                <w:b/>
                <w:sz w:val="20"/>
              </w:rPr>
              <w:t>ACHIEVED</w:t>
            </w:r>
          </w:p>
        </w:tc>
      </w:tr>
      <w:tr>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Objective 5 (Empirical Evaluation)</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Latency &lt;100ms, RTO measurement, throughput data</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sz w:val="20"/>
              </w:rPr>
              <w:t>Latency = 35.1ms, RTO = 4.1s, Throughput = 498Mbps</w:t>
            </w:r>
          </w:p>
        </w:tc>
        <w:tc>
          <w:tcPr>
            <w:tcW w:type="dxa" w:w="2340"/>
            <w:vAlign w:val="center"/>
            <w:tcMar>
              <w:top w:w="120" w:type="dxa"/>
              <w:bottom w:w="120" w:type="dxa"/>
              <w:left w:w="150" w:type="dxa"/>
              <w:right w:w="150" w:type="dxa"/>
            </w:tcMar>
            <w:shd w:fill="F2F5F9"/>
          </w:tcPr>
          <w:p>
            <w:pPr>
              <w:spacing w:after="40" w:before="40" w:line="276" w:lineRule="auto"/>
            </w:pPr>
            <w:r>
              <w:rPr>
                <w:rFonts w:ascii="Times New Roman" w:hAnsi="Times New Roman"/>
                <w:b/>
                <w:sz w:val="20"/>
              </w:rPr>
              <w:t>ACHIEVED</w:t>
            </w:r>
          </w:p>
        </w:tc>
      </w:tr>
    </w:tbl>
    <w:p>
      <w:pPr>
        <w:spacing w:after="120" w:line="300" w:lineRule="auto"/>
      </w:pPr>
      <w:r>
        <w:rPr>
          <w:rFonts w:ascii="Times New Roman" w:hAnsi="Times New Roman"/>
          <w:b/>
          <w:sz w:val="24"/>
        </w:rPr>
        <w:t>Final Artefact Classification</w:t>
      </w:r>
      <w:r>
        <w:rPr>
          <w:rFonts w:ascii="Times New Roman" w:hAnsi="Times New Roman"/>
          <w:sz w:val="24"/>
        </w:rPr>
        <w:t xml:space="preserve">: </w:t>
      </w:r>
      <w:r>
        <w:rPr>
          <w:rFonts w:ascii="Times New Roman" w:hAnsi="Times New Roman"/>
          <w:b/>
          <w:sz w:val="24"/>
        </w:rPr>
        <w:t>FULLY SUCCESSFUL</w:t>
      </w:r>
      <w:r>
        <w:rPr>
          <w:rFonts w:ascii="Times New Roman" w:hAnsi="Times New Roman"/>
          <w:sz w:val="24"/>
        </w:rPr>
        <w:t>.</w:t>
      </w:r>
    </w:p>
    <w:p>
      <w:pPr>
        <w:spacing w:before="120" w:after="120"/>
      </w:pPr>
      <w:r>
        <w:rPr>
          <w:color w:val="CCCCCC"/>
        </w:rPr>
        <w:t>――――――――――――――――――――――――――――――――――――――――――――――――――</w:t>
      </w:r>
    </w:p>
    <w:p>
      <w:pPr>
        <w:keepNext/>
        <w:spacing w:before="360" w:after="240"/>
      </w:pPr>
      <w:r>
        <w:rPr>
          <w:rFonts w:ascii="Times New Roman" w:hAnsi="Times New Roman"/>
          <w:b/>
          <w:color w:val="1F497D"/>
          <w:sz w:val="40"/>
        </w:rPr>
        <w:t>CHAPTER SIX: SUMMARY, CONCLUSION AND RECOMMENDATIONS</w:t>
      </w:r>
    </w:p>
    <w:p>
      <w:pPr>
        <w:keepNext/>
        <w:spacing w:before="280" w:after="160"/>
      </w:pPr>
      <w:r>
        <w:rPr>
          <w:rFonts w:ascii="Times New Roman" w:hAnsi="Times New Roman"/>
          <w:b/>
          <w:color w:val="1F497D"/>
          <w:sz w:val="32"/>
        </w:rPr>
        <w:t>6.0 Introduction</w:t>
      </w:r>
    </w:p>
    <w:p>
      <w:pPr>
        <w:spacing w:after="120" w:line="300" w:lineRule="auto"/>
      </w:pPr>
      <w:r>
        <w:rPr>
          <w:rFonts w:ascii="Times New Roman" w:hAnsi="Times New Roman"/>
          <w:sz w:val="24"/>
        </w:rPr>
        <w:t>This chapter concludes the project report. It synthesizes the major architectural findings from Chapters One through Five, evaluates the overall achievement of project objectives, defines core professional contributions, presents actionable recommendations for Nigerian enterprise cloud adoption, and outlines roadmap enhancements for future research.</w:t>
      </w:r>
    </w:p>
    <w:p>
      <w:pPr>
        <w:spacing w:before="120" w:after="120"/>
      </w:pPr>
      <w:r>
        <w:rPr>
          <w:color w:val="CCCCCC"/>
        </w:rPr>
        <w:t>――――――――――――――――――――――――――――――――――――――――――――――――――</w:t>
      </w:r>
    </w:p>
    <w:p>
      <w:pPr>
        <w:keepNext/>
        <w:spacing w:before="280" w:after="160"/>
      </w:pPr>
      <w:r>
        <w:rPr>
          <w:rFonts w:ascii="Times New Roman" w:hAnsi="Times New Roman"/>
          <w:b/>
          <w:color w:val="1F497D"/>
          <w:sz w:val="32"/>
        </w:rPr>
        <w:t>6.1 Summary of the Completed Project</w:t>
      </w:r>
    </w:p>
    <w:p>
      <w:pPr>
        <w:spacing w:after="120" w:line="300" w:lineRule="auto"/>
      </w:pPr>
      <w:r>
        <w:rPr>
          <w:rFonts w:ascii="Times New Roman" w:hAnsi="Times New Roman"/>
          <w:sz w:val="24"/>
        </w:rPr>
        <w:t>The project successfully designed, implemented, and empirically evaluated a secure, resilient, and compliant AWS–Azure multi-cloud architecture for enterprise workloads:</w:t>
      </w:r>
    </w:p>
    <w:p>
      <w:pPr>
        <w:pStyle w:val="ListNumber"/>
        <w:spacing w:after="80"/>
        <w:ind w:left="360"/>
      </w:pPr>
      <w:r>
        <w:rPr>
          <w:rFonts w:ascii="Times New Roman" w:hAnsi="Times New Roman"/>
          <w:b/>
          <w:sz w:val="24"/>
        </w:rPr>
        <w:t>Chapter 1</w:t>
      </w:r>
      <w:r>
        <w:rPr>
          <w:rFonts w:ascii="Times New Roman" w:hAnsi="Times New Roman"/>
          <w:sz w:val="24"/>
        </w:rPr>
        <w:t xml:space="preserve"> established the problem statement: ungoverned inter-cloud connectivity creates lateral movement risks, fragmented identity, weak visibility, and compliance uncertainty under the </w:t>
      </w:r>
      <w:r>
        <w:rPr>
          <w:rFonts w:ascii="Times New Roman" w:hAnsi="Times New Roman"/>
          <w:b/>
          <w:sz w:val="24"/>
        </w:rPr>
        <w:t>Nigeria Data Protection Act 2023</w:t>
      </w:r>
      <w:r>
        <w:rPr>
          <w:rFonts w:ascii="Times New Roman" w:hAnsi="Times New Roman"/>
          <w:sz w:val="24"/>
        </w:rPr>
        <w:t xml:space="preserve"> and </w:t>
      </w:r>
      <w:r>
        <w:rPr>
          <w:rFonts w:ascii="Times New Roman" w:hAnsi="Times New Roman"/>
          <w:b/>
          <w:sz w:val="24"/>
        </w:rPr>
        <w:t>National Cloud Policy 2025</w:t>
      </w:r>
      <w:r>
        <w:rPr>
          <w:rFonts w:ascii="Times New Roman" w:hAnsi="Times New Roman"/>
          <w:sz w:val="24"/>
        </w:rPr>
        <w:t>.</w:t>
      </w:r>
    </w:p>
    <w:p>
      <w:pPr>
        <w:pStyle w:val="ListNumber"/>
        <w:spacing w:after="80"/>
        <w:ind w:left="360"/>
      </w:pPr>
      <w:r>
        <w:rPr>
          <w:rFonts w:ascii="Times New Roman" w:hAnsi="Times New Roman"/>
          <w:b/>
          <w:sz w:val="24"/>
        </w:rPr>
        <w:t>Chapter 2</w:t>
      </w:r>
      <w:r>
        <w:rPr>
          <w:rFonts w:ascii="Times New Roman" w:hAnsi="Times New Roman"/>
          <w:sz w:val="24"/>
        </w:rPr>
        <w:t xml:space="preserve"> conducted a critical literature review, comparing solution approaches and establishing a 6-part research gap.</w:t>
      </w:r>
    </w:p>
    <w:p>
      <w:pPr>
        <w:pStyle w:val="ListNumber"/>
        <w:spacing w:after="80"/>
        <w:ind w:left="360"/>
      </w:pPr>
      <w:r>
        <w:rPr>
          <w:rFonts w:ascii="Times New Roman" w:hAnsi="Times New Roman"/>
          <w:b/>
          <w:sz w:val="24"/>
        </w:rPr>
        <w:t>Chapter 3</w:t>
      </w:r>
      <w:r>
        <w:rPr>
          <w:rFonts w:ascii="Times New Roman" w:hAnsi="Times New Roman"/>
          <w:sz w:val="24"/>
        </w:rPr>
        <w:t xml:space="preserve"> applied Design Science Research Methodology (DSRM), designing a 5-plane hub-and-spoke architecture, non-overlapping address plan (</w:t>
      </w:r>
      <w:r>
        <w:rPr>
          <w:rFonts w:ascii="Consolas" w:hAnsi="Consolas"/>
          <w:color w:val="881515"/>
          <w:sz w:val="21"/>
        </w:rPr>
        <w:t>10.10.0.0/16</w:t>
      </w:r>
      <w:r>
        <w:rPr>
          <w:rFonts w:ascii="Times New Roman" w:hAnsi="Times New Roman"/>
          <w:sz w:val="24"/>
        </w:rPr>
        <w:t xml:space="preserve"> &amp; </w:t>
      </w:r>
      <w:r>
        <w:rPr>
          <w:rFonts w:ascii="Consolas" w:hAnsi="Consolas"/>
          <w:color w:val="881515"/>
          <w:sz w:val="21"/>
        </w:rPr>
        <w:t>10.20.0.0/16</w:t>
      </w:r>
      <w:r>
        <w:rPr>
          <w:rFonts w:ascii="Times New Roman" w:hAnsi="Times New Roman"/>
          <w:sz w:val="24"/>
        </w:rPr>
        <w:t>), Zero Trust traffic flow matrix, SAML/SCIM identity federation model, and performance/failover test harness.</w:t>
      </w:r>
    </w:p>
    <w:p>
      <w:pPr>
        <w:pStyle w:val="ListNumber"/>
        <w:spacing w:after="80"/>
        <w:ind w:left="360"/>
      </w:pPr>
      <w:r>
        <w:rPr>
          <w:rFonts w:ascii="Times New Roman" w:hAnsi="Times New Roman"/>
          <w:b/>
          <w:sz w:val="24"/>
        </w:rPr>
        <w:t>Chapter 4</w:t>
      </w:r>
      <w:r>
        <w:rPr>
          <w:rFonts w:ascii="Times New Roman" w:hAnsi="Times New Roman"/>
          <w:sz w:val="24"/>
        </w:rPr>
        <w:t xml:space="preserve"> codified the system in modular Terraform HCL scripts, documenting a 2-stage execution workflow and remote state security.</w:t>
      </w:r>
    </w:p>
    <w:p>
      <w:pPr>
        <w:pStyle w:val="ListNumber"/>
        <w:spacing w:after="80"/>
        <w:ind w:left="360"/>
      </w:pPr>
      <w:r>
        <w:rPr>
          <w:rFonts w:ascii="Times New Roman" w:hAnsi="Times New Roman"/>
          <w:b/>
          <w:sz w:val="24"/>
        </w:rPr>
        <w:t>Chapter 5</w:t>
      </w:r>
      <w:r>
        <w:rPr>
          <w:rFonts w:ascii="Times New Roman" w:hAnsi="Times New Roman"/>
          <w:sz w:val="24"/>
        </w:rPr>
        <w:t xml:space="preserve"> empirically validated the artefact: proving deny-by-default segmentation, achieving 0 High Prowler scan findings, measuring </w:t>
      </w:r>
      <w:r>
        <w:rPr>
          <w:rFonts w:ascii="Times New Roman" w:hAnsi="Times New Roman"/>
          <w:b/>
          <w:sz w:val="24"/>
        </w:rPr>
        <w:t>35.1ms inter-cloud latency</w:t>
      </w:r>
      <w:r>
        <w:rPr>
          <w:rFonts w:ascii="Times New Roman" w:hAnsi="Times New Roman"/>
          <w:sz w:val="24"/>
        </w:rPr>
        <w:t xml:space="preserve">, achieving </w:t>
      </w:r>
      <w:r>
        <w:rPr>
          <w:rFonts w:ascii="Times New Roman" w:hAnsi="Times New Roman"/>
          <w:b/>
          <w:sz w:val="24"/>
        </w:rPr>
        <w:t>498 Mbps TCP throughput</w:t>
      </w:r>
      <w:r>
        <w:rPr>
          <w:rFonts w:ascii="Times New Roman" w:hAnsi="Times New Roman"/>
          <w:sz w:val="24"/>
        </w:rPr>
        <w:t xml:space="preserve">, and demonstrating a </w:t>
      </w:r>
      <w:r>
        <w:rPr>
          <w:rFonts w:ascii="Times New Roman" w:hAnsi="Times New Roman"/>
          <w:b/>
          <w:sz w:val="24"/>
        </w:rPr>
        <w:t>4.1-second BGP failover RTO</w:t>
      </w:r>
      <w:r>
        <w:rPr>
          <w:rFonts w:ascii="Times New Roman" w:hAnsi="Times New Roman"/>
          <w:sz w:val="24"/>
        </w:rPr>
        <w:t>.</w:t>
      </w:r>
    </w:p>
    <w:p>
      <w:pPr>
        <w:spacing w:before="120" w:after="120"/>
      </w:pPr>
      <w:r>
        <w:rPr>
          <w:color w:val="CCCCCC"/>
        </w:rPr>
        <w:t>――――――――――――――――――――――――――――――――――――――――――――――――――</w:t>
      </w:r>
    </w:p>
    <w:p>
      <w:pPr>
        <w:keepNext/>
        <w:spacing w:before="280" w:after="160"/>
      </w:pPr>
      <w:r>
        <w:rPr>
          <w:rFonts w:ascii="Times New Roman" w:hAnsi="Times New Roman"/>
          <w:b/>
          <w:color w:val="1F497D"/>
          <w:sz w:val="32"/>
        </w:rPr>
        <w:t>6.2 Professional Contributions of the Project</w:t>
      </w:r>
    </w:p>
    <w:p>
      <w:pPr>
        <w:pStyle w:val="ListNumber"/>
        <w:spacing w:after="80"/>
        <w:ind w:left="360"/>
      </w:pPr>
      <w:r>
        <w:rPr>
          <w:rFonts w:ascii="Times New Roman" w:hAnsi="Times New Roman"/>
          <w:b/>
          <w:sz w:val="24"/>
        </w:rPr>
        <w:t>Reproducible AWS–Azure Reference Architecture</w:t>
      </w:r>
      <w:r>
        <w:rPr>
          <w:rFonts w:ascii="Times New Roman" w:hAnsi="Times New Roman"/>
          <w:sz w:val="24"/>
        </w:rPr>
        <w:t>: Provides a fully codified, provider-native blueprint using AWS Transit Gateway and Azure Active-Active VPN Gateway, avoiding proprietary vendor overlays.</w:t>
      </w:r>
    </w:p>
    <w:p>
      <w:pPr>
        <w:pStyle w:val="ListNumber"/>
        <w:spacing w:after="80"/>
        <w:ind w:left="360"/>
      </w:pPr>
      <w:r>
        <w:rPr>
          <w:rFonts w:ascii="Times New Roman" w:hAnsi="Times New Roman"/>
          <w:b/>
          <w:sz w:val="24"/>
        </w:rPr>
        <w:t>Provider-to-Provider Security Control Mapping</w:t>
      </w:r>
      <w:r>
        <w:rPr>
          <w:rFonts w:ascii="Times New Roman" w:hAnsi="Times New Roman"/>
          <w:sz w:val="24"/>
        </w:rPr>
        <w:t>: Synthesizes equivalent security constructs (Security Groups vs. NSGs, IAM vs. Entra ID, CloudTrail vs. Activity Logs) into a unified Zero Trust model.</w:t>
      </w:r>
    </w:p>
    <w:p>
      <w:pPr>
        <w:pStyle w:val="ListNumber"/>
        <w:spacing w:after="80"/>
        <w:ind w:left="360"/>
      </w:pPr>
      <w:r>
        <w:rPr>
          <w:rFonts w:ascii="Times New Roman" w:hAnsi="Times New Roman"/>
          <w:b/>
          <w:sz w:val="24"/>
        </w:rPr>
        <w:t>IaC Security Governance Framework</w:t>
      </w:r>
      <w:r>
        <w:rPr>
          <w:rFonts w:ascii="Times New Roman" w:hAnsi="Times New Roman"/>
          <w:sz w:val="24"/>
        </w:rPr>
        <w:t>: Demonstrates secure Terraform practices—remote state locking, provider version pinning, secret segregation, and static posture scanning.</w:t>
      </w:r>
    </w:p>
    <w:p>
      <w:pPr>
        <w:pStyle w:val="ListNumber"/>
        <w:spacing w:after="80"/>
        <w:ind w:left="360"/>
      </w:pPr>
      <w:r>
        <w:rPr>
          <w:rFonts w:ascii="Times New Roman" w:hAnsi="Times New Roman"/>
          <w:b/>
          <w:sz w:val="24"/>
        </w:rPr>
        <w:t>Operationalization of Zero Trust (NIST SP 800-207/207A)</w:t>
      </w:r>
      <w:r>
        <w:rPr>
          <w:rFonts w:ascii="Times New Roman" w:hAnsi="Times New Roman"/>
          <w:sz w:val="24"/>
        </w:rPr>
        <w:t>: Translates theoretical Zero Trust tenets into deployable Policy Engine, Administrator, and Enforcement Point configurations across two public clouds.</w:t>
      </w:r>
    </w:p>
    <w:p>
      <w:pPr>
        <w:pStyle w:val="ListNumber"/>
        <w:spacing w:after="80"/>
        <w:ind w:left="360"/>
      </w:pPr>
      <w:r>
        <w:rPr>
          <w:rFonts w:ascii="Times New Roman" w:hAnsi="Times New Roman"/>
          <w:b/>
          <w:sz w:val="24"/>
        </w:rPr>
        <w:t>Context-Aware Nigerian Cloud Compliance Blueprint</w:t>
      </w:r>
      <w:r>
        <w:rPr>
          <w:rFonts w:ascii="Times New Roman" w:hAnsi="Times New Roman"/>
          <w:sz w:val="24"/>
        </w:rPr>
        <w:t>: Bridges global security standards with local statutory requirements (NDPA 2023, NDPC GAID 2025, National Cloud Policy 2025), showing how data sovereignty regulations translate into concrete technical rules.</w:t>
      </w:r>
    </w:p>
    <w:p>
      <w:pPr>
        <w:spacing w:before="120" w:after="120"/>
      </w:pPr>
      <w:r>
        <w:rPr>
          <w:color w:val="CCCCCC"/>
        </w:rPr>
        <w:t>――――――――――――――――――――――――――――――――――――――――――――――――――</w:t>
      </w:r>
    </w:p>
    <w:p>
      <w:pPr>
        <w:keepNext/>
        <w:spacing w:before="280" w:after="160"/>
      </w:pPr>
      <w:r>
        <w:rPr>
          <w:rFonts w:ascii="Times New Roman" w:hAnsi="Times New Roman"/>
          <w:b/>
          <w:color w:val="1F497D"/>
          <w:sz w:val="32"/>
        </w:rPr>
        <w:t>6.3 Practical Recommendations for Nigerian Enterprises</w:t>
      </w:r>
    </w:p>
    <w:p>
      <w:pPr>
        <w:keepNext/>
        <w:spacing w:before="240" w:after="120"/>
      </w:pPr>
      <w:r>
        <w:rPr>
          <w:rFonts w:ascii="Times New Roman" w:hAnsi="Times New Roman"/>
          <w:b/>
          <w:color w:val="366092"/>
          <w:sz w:val="27"/>
        </w:rPr>
        <w:t>6.3.1 Implementation Roadmap for Multi-Cloud Adoption</w:t>
      </w:r>
    </w:p>
    <w:p>
      <w:pPr>
        <w:spacing w:before="120" w:after="120"/>
        <w:ind w:left="576" w:right="576"/>
      </w:pPr>
      <w:r>
        <w:rPr>
          <w:rFonts w:ascii="Consolas" w:hAnsi="Consolas"/>
          <w:color w:val="1F2937"/>
          <w:sz w:val="19"/>
        </w:rPr>
        <w:t>flowchart TD</w:t>
        <w:br/>
        <w:t xml:space="preserve">    Phase1["Phase 1: Business &amp; Regulatory Justification&lt;br/&gt;(Classify data under NDPA 2023)"] --&gt; Phase2["Phase 2: Governance &amp; Landing Zones&lt;br/&gt;(Deploy Entra ID &amp; Account Structures)"]</w:t>
        <w:br/>
        <w:t xml:space="preserve">    Phase2 --&gt; Phase3["Phase 3: Network Foundation&lt;br/&gt;(Establish AWS TGW, Azure Hub &amp; BGP IPsec)"]</w:t>
        <w:br/>
        <w:t xml:space="preserve">    Phase3 --&gt; Phase4["Phase 4: Identity &amp; Security Integration&lt;br/&gt;(SAML SSO, SCIM &amp; Micro-segmentation)"]</w:t>
        <w:br/>
        <w:t xml:space="preserve">    Phase4 --&gt; Phase5["Phase 5: Automated IaC Delivery&lt;br/&gt;(Enforce Terraform &amp; Policy-as-Code)"]</w:t>
        <w:br/>
        <w:t xml:space="preserve">    Phase5 --&gt; Phase6["Phase 6: Empirical Validation&lt;br/&gt;(Execute Latency, Throughput &amp; Failover Tests)"]</w:t>
      </w:r>
    </w:p>
    <w:p>
      <w:pPr>
        <w:spacing w:after="120" w:line="300" w:lineRule="auto"/>
      </w:pPr>
      <w:r>
        <w:rPr>
          <w:rFonts w:ascii="Times New Roman" w:hAnsi="Times New Roman"/>
          <w:b/>
          <w:sz w:val="24"/>
        </w:rPr>
        <w:t>Figure 6.1: Phased Multi-Cloud Adoption Roadmap for Nigerian Enterprises</w:t>
      </w:r>
    </w:p>
    <w:p>
      <w:pPr>
        <w:pStyle w:val="ListNumber"/>
        <w:spacing w:after="80"/>
        <w:ind w:left="360"/>
      </w:pPr>
      <w:r>
        <w:rPr>
          <w:rFonts w:ascii="Times New Roman" w:hAnsi="Times New Roman"/>
          <w:b/>
          <w:sz w:val="24"/>
        </w:rPr>
        <w:t>Establish Business &amp; Regulatory Justification</w:t>
      </w:r>
      <w:r>
        <w:rPr>
          <w:rFonts w:ascii="Times New Roman" w:hAnsi="Times New Roman"/>
          <w:sz w:val="24"/>
        </w:rPr>
        <w:t>: Avoid adopting multi-cloud solely due to vendor trends. Conduct data classification under NDPA 2023 to determine which workloads require multi-cloud resilience versus single-cloud hosting.</w:t>
      </w:r>
    </w:p>
    <w:p>
      <w:pPr>
        <w:pStyle w:val="ListNumber"/>
        <w:spacing w:after="80"/>
        <w:ind w:left="360"/>
      </w:pPr>
      <w:r>
        <w:rPr>
          <w:rFonts w:ascii="Times New Roman" w:hAnsi="Times New Roman"/>
          <w:b/>
          <w:sz w:val="24"/>
        </w:rPr>
        <w:t>Establish Governed Landing Zones</w:t>
      </w:r>
      <w:r>
        <w:rPr>
          <w:rFonts w:ascii="Times New Roman" w:hAnsi="Times New Roman"/>
          <w:sz w:val="24"/>
        </w:rPr>
        <w:t>: Provision standardized accounts/subscriptions, central logging, and mandatory tagging before launching workloads.</w:t>
      </w:r>
    </w:p>
    <w:p>
      <w:pPr>
        <w:pStyle w:val="ListNumber"/>
        <w:spacing w:after="80"/>
        <w:ind w:left="360"/>
      </w:pPr>
      <w:r>
        <w:rPr>
          <w:rFonts w:ascii="Times New Roman" w:hAnsi="Times New Roman"/>
          <w:b/>
          <w:sz w:val="24"/>
        </w:rPr>
        <w:t>Mandate Federated Identity as Default</w:t>
      </w:r>
      <w:r>
        <w:rPr>
          <w:rFonts w:ascii="Times New Roman" w:hAnsi="Times New Roman"/>
          <w:sz w:val="24"/>
        </w:rPr>
        <w:t>: Use Microsoft Entra ID as the central IdP, federating access to AWS via SAML 2.0 and automating lifecycle provisioning via SCIM. Eliminate static IAM credentials.</w:t>
      </w:r>
    </w:p>
    <w:p>
      <w:pPr>
        <w:pStyle w:val="ListNumber"/>
        <w:spacing w:after="80"/>
        <w:ind w:left="360"/>
      </w:pPr>
      <w:r>
        <w:rPr>
          <w:rFonts w:ascii="Times New Roman" w:hAnsi="Times New Roman"/>
          <w:b/>
          <w:sz w:val="24"/>
        </w:rPr>
        <w:t>Treat the Inter-Cloud VPN as an Untrusted Transport</w:t>
      </w:r>
      <w:r>
        <w:rPr>
          <w:rFonts w:ascii="Times New Roman" w:hAnsi="Times New Roman"/>
          <w:sz w:val="24"/>
        </w:rPr>
        <w:t>: Do not grant blanket network trust across tunnels. Enforce strict micro-segmentation using Security Groups, NSGs, and host firewalls.</w:t>
      </w:r>
    </w:p>
    <w:p>
      <w:pPr>
        <w:pStyle w:val="ListNumber"/>
        <w:spacing w:after="80"/>
        <w:ind w:left="360"/>
      </w:pPr>
      <w:r>
        <w:rPr>
          <w:rFonts w:ascii="Times New Roman" w:hAnsi="Times New Roman"/>
          <w:b/>
          <w:sz w:val="24"/>
        </w:rPr>
        <w:t>Automate Delivery via IaC with Security Gates</w:t>
      </w:r>
      <w:r>
        <w:rPr>
          <w:rFonts w:ascii="Times New Roman" w:hAnsi="Times New Roman"/>
          <w:sz w:val="24"/>
        </w:rPr>
        <w:t>: Deploy infrastructure exclusively using version-controlled Terraform scripts integrated with static security scanners (e.g., Checkov, Prowler).</w:t>
      </w:r>
    </w:p>
    <w:p>
      <w:pPr>
        <w:pStyle w:val="ListNumber"/>
        <w:spacing w:after="80"/>
        <w:ind w:left="360"/>
      </w:pPr>
      <w:r>
        <w:rPr>
          <w:rFonts w:ascii="Times New Roman" w:hAnsi="Times New Roman"/>
          <w:b/>
          <w:sz w:val="24"/>
        </w:rPr>
        <w:t>Test Failover as an Operational Process</w:t>
      </w:r>
      <w:r>
        <w:rPr>
          <w:rFonts w:ascii="Times New Roman" w:hAnsi="Times New Roman"/>
          <w:sz w:val="24"/>
        </w:rPr>
        <w:t>: Periodically execute simulated tunnel and BGP failure tests to verify that Recovery Time Objectives meet business continuity baselines.</w:t>
      </w:r>
    </w:p>
    <w:p>
      <w:pPr>
        <w:pStyle w:val="ListNumber"/>
        <w:spacing w:after="80"/>
        <w:ind w:left="360"/>
      </w:pPr>
      <w:r>
        <w:rPr>
          <w:rFonts w:ascii="Times New Roman" w:hAnsi="Times New Roman"/>
          <w:b/>
          <w:sz w:val="24"/>
        </w:rPr>
        <w:t>Maintain Rigorous Cost &amp; FinOps Governance</w:t>
      </w:r>
      <w:r>
        <w:rPr>
          <w:rFonts w:ascii="Times New Roman" w:hAnsi="Times New Roman"/>
          <w:sz w:val="24"/>
        </w:rPr>
        <w:t>: Set billing alerts and monitor cross-cloud egress charges to prevent cost overruns.</w:t>
      </w:r>
    </w:p>
    <w:p>
      <w:pPr>
        <w:spacing w:before="120" w:after="120"/>
      </w:pPr>
      <w:r>
        <w:rPr>
          <w:color w:val="CCCCCC"/>
        </w:rPr>
        <w:t>――――――――――――――――――――――――――――――――――――――――――――――――――</w:t>
      </w:r>
    </w:p>
    <w:p>
      <w:pPr>
        <w:keepNext/>
        <w:spacing w:before="280" w:after="160"/>
      </w:pPr>
      <w:r>
        <w:rPr>
          <w:rFonts w:ascii="Times New Roman" w:hAnsi="Times New Roman"/>
          <w:b/>
          <w:color w:val="1F497D"/>
          <w:sz w:val="32"/>
        </w:rPr>
        <w:t>6.4 Recommendations for Future Enhancements</w:t>
      </w:r>
    </w:p>
    <w:p>
      <w:pPr>
        <w:pStyle w:val="ListNumber"/>
        <w:spacing w:after="80"/>
        <w:ind w:left="360"/>
      </w:pPr>
      <w:r>
        <w:rPr>
          <w:rFonts w:ascii="Times New Roman" w:hAnsi="Times New Roman"/>
          <w:b/>
          <w:sz w:val="24"/>
        </w:rPr>
        <w:t>Containerisation and Service Mesh Integration</w:t>
      </w:r>
      <w:r>
        <w:rPr>
          <w:rFonts w:ascii="Times New Roman" w:hAnsi="Times New Roman"/>
          <w:sz w:val="24"/>
        </w:rPr>
        <w:t>: Migrate the virtual machine workload to Amazon EKS and Azure Kubernetes Service (AKS), deploying a cross-cluster service mesh (e.g., Istio) to enforce mutual TLS (mTLS) and workload identity in accordance with NIST SP 800-207A.</w:t>
      </w:r>
    </w:p>
    <w:p>
      <w:pPr>
        <w:pStyle w:val="ListNumber"/>
        <w:spacing w:after="80"/>
        <w:ind w:left="360"/>
      </w:pPr>
      <w:r>
        <w:rPr>
          <w:rFonts w:ascii="Times New Roman" w:hAnsi="Times New Roman"/>
          <w:b/>
          <w:sz w:val="24"/>
        </w:rPr>
        <w:t>Cross-Cloud Workload Identity Federation</w:t>
      </w:r>
      <w:r>
        <w:rPr>
          <w:rFonts w:ascii="Times New Roman" w:hAnsi="Times New Roman"/>
          <w:sz w:val="24"/>
        </w:rPr>
        <w:t>: Eliminate static application secrets by implementing OIDC-based workload identity federation for machine-to-machine authentication between AWS and Azure.</w:t>
      </w:r>
    </w:p>
    <w:p>
      <w:pPr>
        <w:pStyle w:val="ListNumber"/>
        <w:spacing w:after="80"/>
        <w:ind w:left="360"/>
      </w:pPr>
      <w:r>
        <w:rPr>
          <w:rFonts w:ascii="Times New Roman" w:hAnsi="Times New Roman"/>
          <w:b/>
          <w:sz w:val="24"/>
        </w:rPr>
        <w:t>SIEM / SOAR Pipeline Integration</w:t>
      </w:r>
      <w:r>
        <w:rPr>
          <w:rFonts w:ascii="Times New Roman" w:hAnsi="Times New Roman"/>
          <w:sz w:val="24"/>
        </w:rPr>
        <w:t>: Ingest cross-cloud telemetry into a unified Security Information and Event Management platform (e.g., Microsoft Sentinel) with automated SOAR playbooks for immediate threat response.</w:t>
      </w:r>
    </w:p>
    <w:p>
      <w:pPr>
        <w:pStyle w:val="ListNumber"/>
        <w:spacing w:after="80"/>
        <w:ind w:left="360"/>
      </w:pPr>
      <w:r>
        <w:rPr>
          <w:rFonts w:ascii="Times New Roman" w:hAnsi="Times New Roman"/>
          <w:b/>
          <w:sz w:val="24"/>
        </w:rPr>
        <w:t>Policy-as-Code CI/CD Gates</w:t>
      </w:r>
      <w:r>
        <w:rPr>
          <w:rFonts w:ascii="Times New Roman" w:hAnsi="Times New Roman"/>
          <w:sz w:val="24"/>
        </w:rPr>
        <w:t>: Incorporate Open Policy Agent (OPA) or HashiCorp Sentinel into deployment pipelines to block non-compliant Terraform changes automatically prior to provisioning.</w:t>
      </w:r>
    </w:p>
    <w:p>
      <w:pPr>
        <w:spacing w:before="120" w:after="120"/>
      </w:pPr>
      <w:r>
        <w:rPr>
          <w:color w:val="CCCCCC"/>
        </w:rPr>
        <w:t>――――――――――――――――――――――――――――――――――――――――――――――――――</w:t>
      </w:r>
    </w:p>
    <w:p>
      <w:pPr>
        <w:keepNext/>
        <w:spacing w:before="280" w:after="160"/>
      </w:pPr>
      <w:r>
        <w:rPr>
          <w:rFonts w:ascii="Times New Roman" w:hAnsi="Times New Roman"/>
          <w:b/>
          <w:color w:val="1F497D"/>
          <w:sz w:val="32"/>
        </w:rPr>
        <w:t>6.5 Final Conclusion</w:t>
      </w:r>
    </w:p>
    <w:p>
      <w:pPr>
        <w:spacing w:after="120" w:line="300" w:lineRule="auto"/>
      </w:pPr>
      <w:r>
        <w:rPr>
          <w:rFonts w:ascii="Times New Roman" w:hAnsi="Times New Roman"/>
          <w:sz w:val="24"/>
        </w:rPr>
        <w:t>This project demonstrates that a secure multi-cloud architecture is not achieved simply by deploying resources across two cloud providers. True multi-cloud security requires deliberate architectural design, explicit trust boundaries, federated identity governance, automated infrastructure control, and continuous empirical validation.</w:t>
      </w:r>
    </w:p>
    <w:p>
      <w:pPr>
        <w:spacing w:after="120" w:line="300" w:lineRule="auto"/>
      </w:pPr>
      <w:r>
        <w:rPr>
          <w:rFonts w:ascii="Times New Roman" w:hAnsi="Times New Roman"/>
          <w:sz w:val="24"/>
        </w:rPr>
        <w:t>By combining native AWS and Azure constructs into a Zero Trust hub-and-spoke architecture, codifying the system in Terraform, and evaluating its performance and resilience, this project provides a concrete, publication-grade reference artefact for enterprise cybersecurity and cloud architecture practice.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