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Times New Roman" w:hAnsi="Times New Roman"/>
          <w:b/>
          <w:color w:val="1F497D"/>
          <w:sz w:val="32"/>
        </w:rPr>
        <w:t>DESIGN, IMPLEMENTATION, AND EVALUATION OF A SECURE AWS–AZURE MULTI-CLOUD ARCHITECTURE FOR ENTERPRISE WORKLOADS USING ZERO TRUST AND INFRASTRUCTURE AS CODE</w:t>
        <w:br/>
      </w:r>
    </w:p>
    <w:p>
      <w:pPr>
        <w:spacing w:after="720"/>
        <w:jc w:val="center"/>
      </w:pPr>
      <w:r>
        <w:rPr>
          <w:rFonts w:ascii="Times New Roman" w:hAnsi="Times New Roman"/>
          <w:sz w:val="24"/>
        </w:rPr>
        <w:t>A Professional Master's Project Report submitted to the Department of Information Technology, Miva Open University, in partial fulfilment of the requirements for the award of the degree of</w:t>
        <w:br/>
        <w:br/>
        <w:t>MASTER OF INFORMATION TECHNOLOGY (MIT)</w:t>
      </w:r>
    </w:p>
    <w:p>
      <w:pPr>
        <w:spacing w:before="960" w:after="960"/>
        <w:jc w:val="center"/>
      </w:pPr>
      <w:r>
        <w:rPr>
          <w:rFonts w:ascii="Times New Roman" w:hAnsi="Times New Roman"/>
          <w:b/>
          <w:sz w:val="24"/>
        </w:rPr>
        <w:t>BY</w:t>
        <w:br/>
        <w:br/>
        <w:t>LESILE UGWULEBO</w:t>
        <w:br/>
        <w:t>MATRICULATION NO: MIT/2025/00142</w:t>
        <w:br/>
        <w:br/>
        <w:t>DEPARTMENT OF INFORMATION TECHNOLOGY</w:t>
        <w:br/>
        <w:t>MIVA OPEN UNIVERSITY, NIGERIA</w:t>
        <w:br/>
        <w:br/>
        <w:t>AUGUST 2026</w:t>
      </w:r>
    </w:p>
    <w:p>
      <w:r>
        <w:br w:type="page"/>
      </w:r>
    </w:p>
    <w:p>
      <w:pPr>
        <w:jc w:val="center"/>
      </w:pPr>
      <w:r>
        <w:rPr>
          <w:rFonts w:ascii="Times New Roman" w:hAnsi="Times New Roman"/>
          <w:b/>
          <w:sz w:val="28"/>
        </w:rPr>
        <w:t>DECLARATION</w:t>
        <w:br/>
      </w:r>
    </w:p>
    <w:p>
      <w:pPr>
        <w:spacing w:line="300" w:lineRule="auto" w:after="360"/>
      </w:pPr>
      <w:r>
        <w:rPr>
          <w:rFonts w:ascii="Times New Roman" w:hAnsi="Times New Roman"/>
          <w:sz w:val="24"/>
        </w:rPr>
        <w:t xml:space="preserve">I, Lesile Ugwulebo, hereby declare that this Professional Master’s Project Report titled </w:t>
      </w:r>
      <w:r>
        <w:rPr>
          <w:rFonts w:ascii="Times New Roman" w:hAnsi="Times New Roman"/>
          <w:b/>
          <w:sz w:val="24"/>
        </w:rPr>
        <w:t>'DESIGN, IMPLEMENTATION, AND EVALUATION OF A SECURE AWS–AZURE MULTI-CLOUD ARCHITECTURE FOR ENTERPRISE WORKLOADS USING ZERO TRUST AND INFRASTRUCTURE AS CODE'</w:t>
      </w:r>
      <w:r>
        <w:rPr>
          <w:rFonts w:ascii="Times New Roman" w:hAnsi="Times New Roman"/>
          <w:sz w:val="24"/>
        </w:rPr>
        <w:t xml:space="preserve"> is an original account of my research work conducted under the supervision of the Department of Information Technology, Miva Open University.</w:t>
        <w:br/>
        <w:br/>
        <w:t>This work has not been submitted previously in part or in full for any other degree, diploma, or professional qualification at this or any other academic institution. All literature sources, tools, frameworks, and secondary data utilised have been duly acknowledged through appropriate citations and referencing.</w:t>
      </w:r>
    </w:p>
    <w:p>
      <w:pPr>
        <w:spacing w:before="720"/>
      </w:pPr>
      <w:r>
        <w:rPr>
          <w:rFonts w:ascii="Times New Roman" w:hAnsi="Times New Roman"/>
        </w:rPr>
        <w:t>_________________________</w:t>
        <w:tab/>
        <w:tab/>
        <w:tab/>
        <w:t>_________________________</w:t>
        <w:br/>
        <w:t>Lesile Ugwulebo</w:t>
        <w:tab/>
        <w:tab/>
        <w:tab/>
        <w:tab/>
        <w:tab/>
        <w:t>Date</w:t>
      </w:r>
    </w:p>
    <w:p>
      <w:r>
        <w:br w:type="page"/>
      </w:r>
    </w:p>
    <w:p>
      <w:pPr>
        <w:jc w:val="center"/>
      </w:pPr>
      <w:r>
        <w:rPr>
          <w:rFonts w:ascii="Times New Roman" w:hAnsi="Times New Roman"/>
          <w:b/>
          <w:sz w:val="28"/>
        </w:rPr>
        <w:t>CERTIFICATION AND APPROVAL PAGE</w:t>
        <w:br/>
      </w:r>
    </w:p>
    <w:p>
      <w:pPr>
        <w:spacing w:line="300" w:lineRule="auto" w:after="480"/>
      </w:pPr>
      <w:r>
        <w:rPr>
          <w:rFonts w:ascii="Times New Roman" w:hAnsi="Times New Roman"/>
          <w:sz w:val="24"/>
        </w:rPr>
        <w:t xml:space="preserve">This is to certify that this Professional Master’s Project Report by </w:t>
      </w:r>
      <w:r>
        <w:rPr>
          <w:rFonts w:ascii="Times New Roman" w:hAnsi="Times New Roman"/>
          <w:b/>
          <w:sz w:val="24"/>
        </w:rPr>
        <w:t>Lesile Ugwulebo (Matriculation No: MIT/2025/00142)</w:t>
      </w:r>
      <w:r>
        <w:rPr>
          <w:rFonts w:ascii="Times New Roman" w:hAnsi="Times New Roman"/>
          <w:sz w:val="24"/>
        </w:rPr>
        <w:t xml:space="preserve"> has been examined and approved as meeting the requirements of the Department of Information Technology, Miva Open University, for the award of the degree of Master of Information Technology (MIT).</w:t>
      </w:r>
    </w:p>
    <w:p>
      <w:pPr>
        <w:spacing w:before="480" w:line="360" w:lineRule="auto"/>
      </w:pPr>
      <w:r>
        <w:rPr>
          <w:rFonts w:ascii="Times New Roman" w:hAnsi="Times New Roman"/>
        </w:rPr>
        <w:t>_____________________________________</w:t>
        <w:tab/>
        <w:tab/>
        <w:tab/>
        <w:t>___________________</w:t>
        <w:br/>
        <w:t>Project Supervisor</w:t>
        <w:tab/>
        <w:tab/>
        <w:tab/>
        <w:tab/>
        <w:tab/>
        <w:tab/>
        <w:tab/>
        <w:t>Date</w:t>
        <w:br/>
        <w:br/>
        <w:br/>
        <w:t>_____________________________________</w:t>
        <w:tab/>
        <w:tab/>
        <w:tab/>
        <w:t>___________________</w:t>
        <w:br/>
        <w:t>Head of Department</w:t>
        <w:tab/>
        <w:tab/>
        <w:tab/>
        <w:tab/>
        <w:tab/>
        <w:tab/>
        <w:tab/>
        <w:t>Date</w:t>
        <w:br/>
        <w:br/>
        <w:br/>
        <w:t>_____________________________________</w:t>
        <w:tab/>
        <w:tab/>
        <w:tab/>
        <w:t>___________________</w:t>
        <w:br/>
        <w:t>External Examiner</w:t>
        <w:tab/>
        <w:tab/>
        <w:tab/>
        <w:tab/>
        <w:tab/>
        <w:tab/>
        <w:tab/>
        <w:t>Date</w:t>
      </w:r>
    </w:p>
    <w:p>
      <w:r>
        <w:br w:type="page"/>
      </w:r>
    </w:p>
    <w:p>
      <w:pPr>
        <w:jc w:val="center"/>
      </w:pPr>
      <w:r>
        <w:rPr>
          <w:rFonts w:ascii="Times New Roman" w:hAnsi="Times New Roman"/>
          <w:b/>
          <w:sz w:val="28"/>
        </w:rPr>
        <w:t>ACKNOWLEDGEMENTS</w:t>
        <w:br/>
      </w:r>
    </w:p>
    <w:p>
      <w:pPr>
        <w:spacing w:line="300" w:lineRule="auto"/>
      </w:pPr>
      <w:r>
        <w:rPr>
          <w:rFonts w:ascii="Times New Roman" w:hAnsi="Times New Roman"/>
          <w:sz w:val="24"/>
        </w:rPr>
        <w:t>First and foremost, I express my sincere gratitude to Almighty God for guidance, wisdom, and health throughout the duration of this Master of Information Technology (MIT) programme.</w:t>
        <w:br/>
        <w:br/>
        <w:t>My deepest appreciation goes to my project supervisor for invaluable academic guidance, constructive critique, and continuous encouragement. Special thanks to the faculty and management of Miva Open University for establishing an excellent, solution-driven professional learning environment.</w:t>
        <w:br/>
        <w:br/>
        <w:t>Finally, I extend my heartfelt thanks to my family, colleagues, and peers for their continuous moral support and understanding during the execution of this project.</w:t>
      </w:r>
    </w:p>
    <w:p>
      <w:r>
        <w:br w:type="page"/>
      </w:r>
    </w:p>
    <w:p>
      <w:pPr>
        <w:jc w:val="center"/>
      </w:pPr>
      <w:r>
        <w:rPr>
          <w:rFonts w:ascii="Times New Roman" w:hAnsi="Times New Roman"/>
          <w:b/>
          <w:sz w:val="28"/>
        </w:rPr>
        <w:t>ABSTRACT</w:t>
        <w:br/>
      </w:r>
    </w:p>
    <w:p>
      <w:pPr>
        <w:spacing w:line="300" w:lineRule="auto"/>
      </w:pPr>
      <w:r>
        <w:rPr>
          <w:rFonts w:ascii="Times New Roman" w:hAnsi="Times New Roman"/>
          <w:sz w:val="24"/>
        </w:rPr>
        <w:t>Modern enterprise information technology increasingly relies on multi-cloud strategies connecting Amazon Web Services (AWS) and Microsoft Azure to optimize service availability, access differentiated features, and mitigate single-vendor concentration risk. However, uncoordinated multi-cloud connectivity frequently introduces significant security and operational vulnerabilities, including inconsistent firewall policy enforcement, unmonitored attack paths for lateral movement, fragmented identity administration, disparate logging formats, and unverified failover resilience. Furthermore, in the Nigerian enterprise context, ungoverned inter-cloud data flows make it difficult to demonstrate compliance with the National Cloud Policy 2025 and the Nigeria Data Protection Act (NDPA) 2023. This Professional Master’s Project addresses these challenges through the design, implementation, and empirical evaluation of a secure, practice-oriented AWS–Azure reference architecture using Zero Trust principles, defence-in-depth controls, and modular Infrastructure as Code (IaC).</w:t>
        <w:br/>
        <w:br/>
        <w:t>Following Design Science Research Methodology (DSRM), the project engineered a 5-plane hub-and-spoke multi-cloud architecture utilizing AWS Transit Gateway (TGW) and Azure Active-Active VPN Gateway connected via route-based IKEv2 IPsec VPN with Border Gateway Protocol (BGP-4). Non-overlapping IPv4 address spaces (AWS 10.10.0.0/16 and Azure 10.20.0.0/16) were established with strict tier-level micro-segmentation. Workforce identity was centralized by federating Microsoft Entra ID with AWS IAM Identity Center using SAML 2.0 and automated SCIM provisioning. The entire multi-cloud infrastructure was codified using modular Terraform (HCL) with encrypted remote state management.</w:t>
        <w:br/>
        <w:br/>
        <w:t>Empirical evaluation validated the system's security, performance, and resilience. Security posture assessment using Prowler and ScoutSuite confirmed 0 Critical and 0 High findings within the project scope, verifying that direct web-to-database and cross-cloud database bypass paths were blocked. Active network benchmarking demonstrated an average inter-cloud round-trip latency of 35.15 ms—well within the sub-100ms threshold—and TCP throughput scaling up to 498.9 Mbps over parallel streams. Simulated fault injection (disabling an active IPsec tunnel during a continuous 1-second probe session) demonstrated dynamic BGP route convergence with a measured Recovery Time Objective (RTO) of 4.1 seconds. The project contributes a deployable reference blueprint, provider control mappings, IaC security governance practices, and a phased adoption roadmap for Nigerian enterprises.</w:t>
        <w:br/>
        <w:br/>
      </w:r>
      <w:r>
        <w:rPr>
          <w:rFonts w:ascii="Times New Roman" w:hAnsi="Times New Roman"/>
          <w:b/>
          <w:sz w:val="24"/>
        </w:rPr>
        <w:t>Keywords</w:t>
      </w:r>
      <w:r>
        <w:rPr>
          <w:rFonts w:ascii="Times New Roman" w:hAnsi="Times New Roman"/>
          <w:sz w:val="24"/>
        </w:rPr>
        <w:t>: Multi-Cloud Architecture, Zero Trust, Amazon Web Services, Microsoft Azure, BGP IPsec VPN, Infrastructure as Code, Microsoft Entra ID, Nigeria Data Protection Act.</w:t>
      </w:r>
    </w:p>
    <w:p>
      <w:r>
        <w:br w:type="page"/>
      </w:r>
    </w:p>
    <w:p>
      <w:pPr>
        <w:jc w:val="center"/>
      </w:pPr>
      <w:r>
        <w:rPr>
          <w:rFonts w:ascii="Times New Roman" w:hAnsi="Times New Roman"/>
          <w:b/>
          <w:sz w:val="28"/>
        </w:rPr>
        <w:t>LIST OF ABBREVIATIONS AND ACRONYMS</w:t>
        <w:br/>
      </w:r>
    </w:p>
    <w:tbl>
      <w:tblPr>
        <w:tblW w:type="auto" w:w="0"/>
        <w:jc w:val="center"/>
        <w:tblLook w:firstColumn="1" w:firstRow="1" w:lastColumn="0" w:lastRow="0" w:noHBand="0" w:noVBand="1" w:val="04A0"/>
      </w:tblPr>
      <w:tblGrid>
        <w:gridCol w:w="4680"/>
        <w:gridCol w:w="4680"/>
      </w:tblGrid>
      <w:tr>
        <w:tc>
          <w:tcPr>
            <w:tcW w:type="dxa" w:w="4680"/>
            <w:shd w:fill="1F497D"/>
          </w:tcPr>
          <w:p>
            <w:r>
              <w:rPr>
                <w:rFonts w:ascii="Times New Roman" w:hAnsi="Times New Roman"/>
                <w:b/>
                <w:color w:val="FFFFFF"/>
                <w:sz w:val="22"/>
              </w:rPr>
              <w:t>Abbreviation / Acronym</w:t>
            </w:r>
          </w:p>
        </w:tc>
        <w:tc>
          <w:tcPr>
            <w:tcW w:type="dxa" w:w="4680"/>
            <w:shd w:fill="1F497D"/>
          </w:tcPr>
          <w:p>
            <w:r>
              <w:rPr>
                <w:rFonts w:ascii="Times New Roman" w:hAnsi="Times New Roman"/>
                <w:b/>
                <w:color w:val="FFFFFF"/>
                <w:sz w:val="22"/>
              </w:rPr>
              <w:t>Full Meaning</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ALB</w:t>
            </w:r>
          </w:p>
        </w:tc>
        <w:tc>
          <w:tcPr>
            <w:tcW w:type="dxa" w:w="4680"/>
            <w:shd w:fill="F2F5F9"/>
            <w:tcMar>
              <w:top w:w="60" w:type="dxa"/>
              <w:bottom w:w="60" w:type="dxa"/>
              <w:left w:w="100" w:type="dxa"/>
              <w:right w:w="100" w:type="dxa"/>
            </w:tcMar>
          </w:tcPr>
          <w:p>
            <w:pPr>
              <w:spacing w:after="40"/>
            </w:pPr>
            <w:r>
              <w:rPr>
                <w:rFonts w:ascii="Times New Roman" w:hAnsi="Times New Roman"/>
                <w:sz w:val="20"/>
              </w:rPr>
              <w:t>Application Load Balancer</w:t>
            </w:r>
          </w:p>
        </w:tc>
      </w:tr>
      <w:tr>
        <w:tc>
          <w:tcPr>
            <w:tcW w:type="dxa" w:w="4680"/>
            <w:tcMar>
              <w:top w:w="60" w:type="dxa"/>
              <w:bottom w:w="60" w:type="dxa"/>
              <w:left w:w="100" w:type="dxa"/>
              <w:right w:w="100" w:type="dxa"/>
            </w:tcMar>
          </w:tcPr>
          <w:p>
            <w:pPr>
              <w:spacing w:after="40"/>
            </w:pPr>
            <w:r>
              <w:rPr>
                <w:rFonts w:ascii="Times New Roman" w:hAnsi="Times New Roman"/>
                <w:b/>
                <w:sz w:val="20"/>
              </w:rPr>
              <w:t>API</w:t>
            </w:r>
          </w:p>
        </w:tc>
        <w:tc>
          <w:tcPr>
            <w:tcW w:type="dxa" w:w="4680"/>
            <w:tcMar>
              <w:top w:w="60" w:type="dxa"/>
              <w:bottom w:w="60" w:type="dxa"/>
              <w:left w:w="100" w:type="dxa"/>
              <w:right w:w="100" w:type="dxa"/>
            </w:tcMar>
          </w:tcPr>
          <w:p>
            <w:pPr>
              <w:spacing w:after="40"/>
            </w:pPr>
            <w:r>
              <w:rPr>
                <w:rFonts w:ascii="Times New Roman" w:hAnsi="Times New Roman"/>
                <w:sz w:val="20"/>
              </w:rPr>
              <w:t>Application Programming Interface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ASN</w:t>
            </w:r>
          </w:p>
        </w:tc>
        <w:tc>
          <w:tcPr>
            <w:tcW w:type="dxa" w:w="4680"/>
            <w:shd w:fill="F2F5F9"/>
            <w:tcMar>
              <w:top w:w="60" w:type="dxa"/>
              <w:bottom w:w="60" w:type="dxa"/>
              <w:left w:w="100" w:type="dxa"/>
              <w:right w:w="100" w:type="dxa"/>
            </w:tcMar>
          </w:tcPr>
          <w:p>
            <w:pPr>
              <w:spacing w:after="40"/>
            </w:pPr>
            <w:r>
              <w:rPr>
                <w:rFonts w:ascii="Times New Roman" w:hAnsi="Times New Roman"/>
                <w:sz w:val="20"/>
              </w:rPr>
              <w:t>Autonomous System Number</w:t>
            </w:r>
          </w:p>
        </w:tc>
      </w:tr>
      <w:tr>
        <w:tc>
          <w:tcPr>
            <w:tcW w:type="dxa" w:w="4680"/>
            <w:tcMar>
              <w:top w:w="60" w:type="dxa"/>
              <w:bottom w:w="60" w:type="dxa"/>
              <w:left w:w="100" w:type="dxa"/>
              <w:right w:w="100" w:type="dxa"/>
            </w:tcMar>
          </w:tcPr>
          <w:p>
            <w:pPr>
              <w:spacing w:after="40"/>
            </w:pPr>
            <w:r>
              <w:rPr>
                <w:rFonts w:ascii="Times New Roman" w:hAnsi="Times New Roman"/>
                <w:b/>
                <w:sz w:val="20"/>
              </w:rPr>
              <w:t>AWS</w:t>
            </w:r>
          </w:p>
        </w:tc>
        <w:tc>
          <w:tcPr>
            <w:tcW w:type="dxa" w:w="4680"/>
            <w:tcMar>
              <w:top w:w="60" w:type="dxa"/>
              <w:bottom w:w="60" w:type="dxa"/>
              <w:left w:w="100" w:type="dxa"/>
              <w:right w:w="100" w:type="dxa"/>
            </w:tcMar>
          </w:tcPr>
          <w:p>
            <w:pPr>
              <w:spacing w:after="40"/>
            </w:pPr>
            <w:r>
              <w:rPr>
                <w:rFonts w:ascii="Times New Roman" w:hAnsi="Times New Roman"/>
                <w:sz w:val="20"/>
              </w:rPr>
              <w:t>Amazon Web Services</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BGP</w:t>
            </w:r>
          </w:p>
        </w:tc>
        <w:tc>
          <w:tcPr>
            <w:tcW w:type="dxa" w:w="4680"/>
            <w:shd w:fill="F2F5F9"/>
            <w:tcMar>
              <w:top w:w="60" w:type="dxa"/>
              <w:bottom w:w="60" w:type="dxa"/>
              <w:left w:w="100" w:type="dxa"/>
              <w:right w:w="100" w:type="dxa"/>
            </w:tcMar>
          </w:tcPr>
          <w:p>
            <w:pPr>
              <w:spacing w:after="40"/>
            </w:pPr>
            <w:r>
              <w:rPr>
                <w:rFonts w:ascii="Times New Roman" w:hAnsi="Times New Roman"/>
                <w:sz w:val="20"/>
              </w:rPr>
              <w:t>Border Gateway Protocol</w:t>
            </w:r>
          </w:p>
        </w:tc>
      </w:tr>
      <w:tr>
        <w:tc>
          <w:tcPr>
            <w:tcW w:type="dxa" w:w="4680"/>
            <w:tcMar>
              <w:top w:w="60" w:type="dxa"/>
              <w:bottom w:w="60" w:type="dxa"/>
              <w:left w:w="100" w:type="dxa"/>
              <w:right w:w="100" w:type="dxa"/>
            </w:tcMar>
          </w:tcPr>
          <w:p>
            <w:pPr>
              <w:spacing w:after="40"/>
            </w:pPr>
            <w:r>
              <w:rPr>
                <w:rFonts w:ascii="Times New Roman" w:hAnsi="Times New Roman"/>
                <w:b/>
                <w:sz w:val="20"/>
              </w:rPr>
              <w:t>CCM</w:t>
            </w:r>
          </w:p>
        </w:tc>
        <w:tc>
          <w:tcPr>
            <w:tcW w:type="dxa" w:w="4680"/>
            <w:tcMar>
              <w:top w:w="60" w:type="dxa"/>
              <w:bottom w:w="60" w:type="dxa"/>
              <w:left w:w="100" w:type="dxa"/>
              <w:right w:w="100" w:type="dxa"/>
            </w:tcMar>
          </w:tcPr>
          <w:p>
            <w:pPr>
              <w:spacing w:after="40"/>
            </w:pPr>
            <w:r>
              <w:rPr>
                <w:rFonts w:ascii="Times New Roman" w:hAnsi="Times New Roman"/>
                <w:sz w:val="20"/>
              </w:rPr>
              <w:t>Cloud Controls Matrix (Cloud Security Alliance)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CIDR</w:t>
            </w:r>
          </w:p>
        </w:tc>
        <w:tc>
          <w:tcPr>
            <w:tcW w:type="dxa" w:w="4680"/>
            <w:shd w:fill="F2F5F9"/>
            <w:tcMar>
              <w:top w:w="60" w:type="dxa"/>
              <w:bottom w:w="60" w:type="dxa"/>
              <w:left w:w="100" w:type="dxa"/>
              <w:right w:w="100" w:type="dxa"/>
            </w:tcMar>
          </w:tcPr>
          <w:p>
            <w:pPr>
              <w:spacing w:after="40"/>
            </w:pPr>
            <w:r>
              <w:rPr>
                <w:rFonts w:ascii="Times New Roman" w:hAnsi="Times New Roman"/>
                <w:sz w:val="20"/>
              </w:rPr>
              <w:t>Classless Inter-Domain Routing</w:t>
            </w:r>
          </w:p>
        </w:tc>
      </w:tr>
      <w:tr>
        <w:tc>
          <w:tcPr>
            <w:tcW w:type="dxa" w:w="4680"/>
            <w:tcMar>
              <w:top w:w="60" w:type="dxa"/>
              <w:bottom w:w="60" w:type="dxa"/>
              <w:left w:w="100" w:type="dxa"/>
              <w:right w:w="100" w:type="dxa"/>
            </w:tcMar>
          </w:tcPr>
          <w:p>
            <w:pPr>
              <w:spacing w:after="40"/>
            </w:pPr>
            <w:r>
              <w:rPr>
                <w:rFonts w:ascii="Times New Roman" w:hAnsi="Times New Roman"/>
                <w:b/>
                <w:sz w:val="20"/>
              </w:rPr>
              <w:t>CLI</w:t>
            </w:r>
          </w:p>
        </w:tc>
        <w:tc>
          <w:tcPr>
            <w:tcW w:type="dxa" w:w="4680"/>
            <w:tcMar>
              <w:top w:w="60" w:type="dxa"/>
              <w:bottom w:w="60" w:type="dxa"/>
              <w:left w:w="100" w:type="dxa"/>
              <w:right w:w="100" w:type="dxa"/>
            </w:tcMar>
          </w:tcPr>
          <w:p>
            <w:pPr>
              <w:spacing w:after="40"/>
            </w:pPr>
            <w:r>
              <w:rPr>
                <w:rFonts w:ascii="Times New Roman" w:hAnsi="Times New Roman"/>
                <w:sz w:val="20"/>
              </w:rPr>
              <w:t>Command Line Interface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CSA</w:t>
            </w:r>
          </w:p>
        </w:tc>
        <w:tc>
          <w:tcPr>
            <w:tcW w:type="dxa" w:w="4680"/>
            <w:shd w:fill="F2F5F9"/>
            <w:tcMar>
              <w:top w:w="60" w:type="dxa"/>
              <w:bottom w:w="60" w:type="dxa"/>
              <w:left w:w="100" w:type="dxa"/>
              <w:right w:w="100" w:type="dxa"/>
            </w:tcMar>
          </w:tcPr>
          <w:p>
            <w:pPr>
              <w:spacing w:after="40"/>
            </w:pPr>
            <w:r>
              <w:rPr>
                <w:rFonts w:ascii="Times New Roman" w:hAnsi="Times New Roman"/>
                <w:sz w:val="20"/>
              </w:rPr>
              <w:t>Cloud Security Alliance</w:t>
            </w:r>
          </w:p>
        </w:tc>
      </w:tr>
      <w:tr>
        <w:tc>
          <w:tcPr>
            <w:tcW w:type="dxa" w:w="4680"/>
            <w:tcMar>
              <w:top w:w="60" w:type="dxa"/>
              <w:bottom w:w="60" w:type="dxa"/>
              <w:left w:w="100" w:type="dxa"/>
              <w:right w:w="100" w:type="dxa"/>
            </w:tcMar>
          </w:tcPr>
          <w:p>
            <w:pPr>
              <w:spacing w:after="40"/>
            </w:pPr>
            <w:r>
              <w:rPr>
                <w:rFonts w:ascii="Times New Roman" w:hAnsi="Times New Roman"/>
                <w:b/>
                <w:sz w:val="20"/>
              </w:rPr>
              <w:t>DSRM</w:t>
            </w:r>
          </w:p>
        </w:tc>
        <w:tc>
          <w:tcPr>
            <w:tcW w:type="dxa" w:w="4680"/>
            <w:tcMar>
              <w:top w:w="60" w:type="dxa"/>
              <w:bottom w:w="60" w:type="dxa"/>
              <w:left w:w="100" w:type="dxa"/>
              <w:right w:w="100" w:type="dxa"/>
            </w:tcMar>
          </w:tcPr>
          <w:p>
            <w:pPr>
              <w:spacing w:after="40"/>
            </w:pPr>
            <w:r>
              <w:rPr>
                <w:rFonts w:ascii="Times New Roman" w:hAnsi="Times New Roman"/>
                <w:sz w:val="20"/>
              </w:rPr>
              <w:t>Design Science Research Methodology</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EBS</w:t>
            </w:r>
          </w:p>
        </w:tc>
        <w:tc>
          <w:tcPr>
            <w:tcW w:type="dxa" w:w="4680"/>
            <w:shd w:fill="F2F5F9"/>
            <w:tcMar>
              <w:top w:w="60" w:type="dxa"/>
              <w:bottom w:w="60" w:type="dxa"/>
              <w:left w:w="100" w:type="dxa"/>
              <w:right w:w="100" w:type="dxa"/>
            </w:tcMar>
          </w:tcPr>
          <w:p>
            <w:pPr>
              <w:spacing w:after="40"/>
            </w:pPr>
            <w:r>
              <w:rPr>
                <w:rFonts w:ascii="Times New Roman" w:hAnsi="Times New Roman"/>
                <w:sz w:val="20"/>
              </w:rPr>
              <w:t>Elastic Block Store</w:t>
            </w:r>
          </w:p>
        </w:tc>
      </w:tr>
      <w:tr>
        <w:tc>
          <w:tcPr>
            <w:tcW w:type="dxa" w:w="4680"/>
            <w:tcMar>
              <w:top w:w="60" w:type="dxa"/>
              <w:bottom w:w="60" w:type="dxa"/>
              <w:left w:w="100" w:type="dxa"/>
              <w:right w:w="100" w:type="dxa"/>
            </w:tcMar>
          </w:tcPr>
          <w:p>
            <w:pPr>
              <w:spacing w:after="40"/>
            </w:pPr>
            <w:r>
              <w:rPr>
                <w:rFonts w:ascii="Times New Roman" w:hAnsi="Times New Roman"/>
                <w:b/>
                <w:sz w:val="20"/>
              </w:rPr>
              <w:t>EC2</w:t>
            </w:r>
          </w:p>
        </w:tc>
        <w:tc>
          <w:tcPr>
            <w:tcW w:type="dxa" w:w="4680"/>
            <w:tcMar>
              <w:top w:w="60" w:type="dxa"/>
              <w:bottom w:w="60" w:type="dxa"/>
              <w:left w:w="100" w:type="dxa"/>
              <w:right w:w="100" w:type="dxa"/>
            </w:tcMar>
          </w:tcPr>
          <w:p>
            <w:pPr>
              <w:spacing w:after="40"/>
            </w:pPr>
            <w:r>
              <w:rPr>
                <w:rFonts w:ascii="Times New Roman" w:hAnsi="Times New Roman"/>
                <w:sz w:val="20"/>
              </w:rPr>
              <w:t>Elastic Compute Cloud</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ESP</w:t>
            </w:r>
          </w:p>
        </w:tc>
        <w:tc>
          <w:tcPr>
            <w:tcW w:type="dxa" w:w="4680"/>
            <w:shd w:fill="F2F5F9"/>
            <w:tcMar>
              <w:top w:w="60" w:type="dxa"/>
              <w:bottom w:w="60" w:type="dxa"/>
              <w:left w:w="100" w:type="dxa"/>
              <w:right w:w="100" w:type="dxa"/>
            </w:tcMar>
          </w:tcPr>
          <w:p>
            <w:pPr>
              <w:spacing w:after="40"/>
            </w:pPr>
            <w:r>
              <w:rPr>
                <w:rFonts w:ascii="Times New Roman" w:hAnsi="Times New Roman"/>
                <w:sz w:val="20"/>
              </w:rPr>
              <w:t>Encapsulating Security Payload</w:t>
            </w:r>
          </w:p>
        </w:tc>
      </w:tr>
      <w:tr>
        <w:tc>
          <w:tcPr>
            <w:tcW w:type="dxa" w:w="4680"/>
            <w:tcMar>
              <w:top w:w="60" w:type="dxa"/>
              <w:bottom w:w="60" w:type="dxa"/>
              <w:left w:w="100" w:type="dxa"/>
              <w:right w:w="100" w:type="dxa"/>
            </w:tcMar>
          </w:tcPr>
          <w:p>
            <w:pPr>
              <w:spacing w:after="40"/>
            </w:pPr>
            <w:r>
              <w:rPr>
                <w:rFonts w:ascii="Times New Roman" w:hAnsi="Times New Roman"/>
                <w:b/>
                <w:sz w:val="20"/>
              </w:rPr>
              <w:t>GAID</w:t>
            </w:r>
          </w:p>
        </w:tc>
        <w:tc>
          <w:tcPr>
            <w:tcW w:type="dxa" w:w="4680"/>
            <w:tcMar>
              <w:top w:w="60" w:type="dxa"/>
              <w:bottom w:w="60" w:type="dxa"/>
              <w:left w:w="100" w:type="dxa"/>
              <w:right w:w="100" w:type="dxa"/>
            </w:tcMar>
          </w:tcPr>
          <w:p>
            <w:pPr>
              <w:spacing w:after="40"/>
            </w:pPr>
            <w:r>
              <w:rPr>
                <w:rFonts w:ascii="Times New Roman" w:hAnsi="Times New Roman"/>
                <w:sz w:val="20"/>
              </w:rPr>
              <w:t>General Application and Implementation Directive (NDPC)</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GCP</w:t>
            </w:r>
          </w:p>
        </w:tc>
        <w:tc>
          <w:tcPr>
            <w:tcW w:type="dxa" w:w="4680"/>
            <w:shd w:fill="F2F5F9"/>
            <w:tcMar>
              <w:top w:w="60" w:type="dxa"/>
              <w:bottom w:w="60" w:type="dxa"/>
              <w:left w:w="100" w:type="dxa"/>
              <w:right w:w="100" w:type="dxa"/>
            </w:tcMar>
          </w:tcPr>
          <w:p>
            <w:pPr>
              <w:spacing w:after="40"/>
            </w:pPr>
            <w:r>
              <w:rPr>
                <w:rFonts w:ascii="Times New Roman" w:hAnsi="Times New Roman"/>
                <w:sz w:val="20"/>
              </w:rPr>
              <w:t>Google Cloud Platform</w:t>
            </w:r>
          </w:p>
        </w:tc>
      </w:tr>
      <w:tr>
        <w:tc>
          <w:tcPr>
            <w:tcW w:type="dxa" w:w="4680"/>
            <w:tcMar>
              <w:top w:w="60" w:type="dxa"/>
              <w:bottom w:w="60" w:type="dxa"/>
              <w:left w:w="100" w:type="dxa"/>
              <w:right w:w="100" w:type="dxa"/>
            </w:tcMar>
          </w:tcPr>
          <w:p>
            <w:pPr>
              <w:spacing w:after="40"/>
            </w:pPr>
            <w:r>
              <w:rPr>
                <w:rFonts w:ascii="Times New Roman" w:hAnsi="Times New Roman"/>
                <w:b/>
                <w:sz w:val="20"/>
              </w:rPr>
              <w:t>HCL</w:t>
            </w:r>
          </w:p>
        </w:tc>
        <w:tc>
          <w:tcPr>
            <w:tcW w:type="dxa" w:w="4680"/>
            <w:tcMar>
              <w:top w:w="60" w:type="dxa"/>
              <w:bottom w:w="60" w:type="dxa"/>
              <w:left w:w="100" w:type="dxa"/>
              <w:right w:w="100" w:type="dxa"/>
            </w:tcMar>
          </w:tcPr>
          <w:p>
            <w:pPr>
              <w:spacing w:after="40"/>
            </w:pPr>
            <w:r>
              <w:rPr>
                <w:rFonts w:ascii="Times New Roman" w:hAnsi="Times New Roman"/>
                <w:sz w:val="20"/>
              </w:rPr>
              <w:t>HashiCorp Configuration Language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IaaS</w:t>
            </w:r>
          </w:p>
        </w:tc>
        <w:tc>
          <w:tcPr>
            <w:tcW w:type="dxa" w:w="4680"/>
            <w:shd w:fill="F2F5F9"/>
            <w:tcMar>
              <w:top w:w="60" w:type="dxa"/>
              <w:bottom w:w="60" w:type="dxa"/>
              <w:left w:w="100" w:type="dxa"/>
              <w:right w:w="100" w:type="dxa"/>
            </w:tcMar>
          </w:tcPr>
          <w:p>
            <w:pPr>
              <w:spacing w:after="40"/>
            </w:pPr>
            <w:r>
              <w:rPr>
                <w:rFonts w:ascii="Times New Roman" w:hAnsi="Times New Roman"/>
                <w:sz w:val="20"/>
              </w:rPr>
              <w:t>Infrastructure as a Service</w:t>
            </w:r>
          </w:p>
        </w:tc>
      </w:tr>
      <w:tr>
        <w:tc>
          <w:tcPr>
            <w:tcW w:type="dxa" w:w="4680"/>
            <w:tcMar>
              <w:top w:w="60" w:type="dxa"/>
              <w:bottom w:w="60" w:type="dxa"/>
              <w:left w:w="100" w:type="dxa"/>
              <w:right w:w="100" w:type="dxa"/>
            </w:tcMar>
          </w:tcPr>
          <w:p>
            <w:pPr>
              <w:spacing w:after="40"/>
            </w:pPr>
            <w:r>
              <w:rPr>
                <w:rFonts w:ascii="Times New Roman" w:hAnsi="Times New Roman"/>
                <w:b/>
                <w:sz w:val="20"/>
              </w:rPr>
              <w:t>IaC</w:t>
            </w:r>
          </w:p>
        </w:tc>
        <w:tc>
          <w:tcPr>
            <w:tcW w:type="dxa" w:w="4680"/>
            <w:tcMar>
              <w:top w:w="60" w:type="dxa"/>
              <w:bottom w:w="60" w:type="dxa"/>
              <w:left w:w="100" w:type="dxa"/>
              <w:right w:w="100" w:type="dxa"/>
            </w:tcMar>
          </w:tcPr>
          <w:p>
            <w:pPr>
              <w:spacing w:after="40"/>
            </w:pPr>
            <w:r>
              <w:rPr>
                <w:rFonts w:ascii="Times New Roman" w:hAnsi="Times New Roman"/>
                <w:sz w:val="20"/>
              </w:rPr>
              <w:t>Infrastructure as Code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IdP</w:t>
            </w:r>
          </w:p>
        </w:tc>
        <w:tc>
          <w:tcPr>
            <w:tcW w:type="dxa" w:w="4680"/>
            <w:shd w:fill="F2F5F9"/>
            <w:tcMar>
              <w:top w:w="60" w:type="dxa"/>
              <w:bottom w:w="60" w:type="dxa"/>
              <w:left w:w="100" w:type="dxa"/>
              <w:right w:w="100" w:type="dxa"/>
            </w:tcMar>
          </w:tcPr>
          <w:p>
            <w:pPr>
              <w:spacing w:after="40"/>
            </w:pPr>
            <w:r>
              <w:rPr>
                <w:rFonts w:ascii="Times New Roman" w:hAnsi="Times New Roman"/>
                <w:sz w:val="20"/>
              </w:rPr>
              <w:t>Identity Provider</w:t>
            </w:r>
          </w:p>
        </w:tc>
      </w:tr>
      <w:tr>
        <w:tc>
          <w:tcPr>
            <w:tcW w:type="dxa" w:w="4680"/>
            <w:tcMar>
              <w:top w:w="60" w:type="dxa"/>
              <w:bottom w:w="60" w:type="dxa"/>
              <w:left w:w="100" w:type="dxa"/>
              <w:right w:w="100" w:type="dxa"/>
            </w:tcMar>
          </w:tcPr>
          <w:p>
            <w:pPr>
              <w:spacing w:after="40"/>
            </w:pPr>
            <w:r>
              <w:rPr>
                <w:rFonts w:ascii="Times New Roman" w:hAnsi="Times New Roman"/>
                <w:b/>
                <w:sz w:val="20"/>
              </w:rPr>
              <w:t>IKE</w:t>
            </w:r>
          </w:p>
        </w:tc>
        <w:tc>
          <w:tcPr>
            <w:tcW w:type="dxa" w:w="4680"/>
            <w:tcMar>
              <w:top w:w="60" w:type="dxa"/>
              <w:bottom w:w="60" w:type="dxa"/>
              <w:left w:w="100" w:type="dxa"/>
              <w:right w:w="100" w:type="dxa"/>
            </w:tcMar>
          </w:tcPr>
          <w:p>
            <w:pPr>
              <w:spacing w:after="40"/>
            </w:pPr>
            <w:r>
              <w:rPr>
                <w:rFonts w:ascii="Times New Roman" w:hAnsi="Times New Roman"/>
                <w:sz w:val="20"/>
              </w:rPr>
              <w:t>Internet Key Exchange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IPsec</w:t>
            </w:r>
          </w:p>
        </w:tc>
        <w:tc>
          <w:tcPr>
            <w:tcW w:type="dxa" w:w="4680"/>
            <w:shd w:fill="F2F5F9"/>
            <w:tcMar>
              <w:top w:w="60" w:type="dxa"/>
              <w:bottom w:w="60" w:type="dxa"/>
              <w:left w:w="100" w:type="dxa"/>
              <w:right w:w="100" w:type="dxa"/>
            </w:tcMar>
          </w:tcPr>
          <w:p>
            <w:pPr>
              <w:spacing w:after="40"/>
            </w:pPr>
            <w:r>
              <w:rPr>
                <w:rFonts w:ascii="Times New Roman" w:hAnsi="Times New Roman"/>
                <w:sz w:val="20"/>
              </w:rPr>
              <w:t>Internet Protocol Security</w:t>
            </w:r>
          </w:p>
        </w:tc>
      </w:tr>
      <w:tr>
        <w:tc>
          <w:tcPr>
            <w:tcW w:type="dxa" w:w="4680"/>
            <w:tcMar>
              <w:top w:w="60" w:type="dxa"/>
              <w:bottom w:w="60" w:type="dxa"/>
              <w:left w:w="100" w:type="dxa"/>
              <w:right w:w="100" w:type="dxa"/>
            </w:tcMar>
          </w:tcPr>
          <w:p>
            <w:pPr>
              <w:spacing w:after="40"/>
            </w:pPr>
            <w:r>
              <w:rPr>
                <w:rFonts w:ascii="Times New Roman" w:hAnsi="Times New Roman"/>
                <w:b/>
                <w:sz w:val="20"/>
              </w:rPr>
              <w:t>KMS</w:t>
            </w:r>
          </w:p>
        </w:tc>
        <w:tc>
          <w:tcPr>
            <w:tcW w:type="dxa" w:w="4680"/>
            <w:tcMar>
              <w:top w:w="60" w:type="dxa"/>
              <w:bottom w:w="60" w:type="dxa"/>
              <w:left w:w="100" w:type="dxa"/>
              <w:right w:w="100" w:type="dxa"/>
            </w:tcMar>
          </w:tcPr>
          <w:p>
            <w:pPr>
              <w:spacing w:after="40"/>
            </w:pPr>
            <w:r>
              <w:rPr>
                <w:rFonts w:ascii="Times New Roman" w:hAnsi="Times New Roman"/>
                <w:sz w:val="20"/>
              </w:rPr>
              <w:t>Key Management Service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MCN</w:t>
            </w:r>
          </w:p>
        </w:tc>
        <w:tc>
          <w:tcPr>
            <w:tcW w:type="dxa" w:w="4680"/>
            <w:shd w:fill="F2F5F9"/>
            <w:tcMar>
              <w:top w:w="60" w:type="dxa"/>
              <w:bottom w:w="60" w:type="dxa"/>
              <w:left w:w="100" w:type="dxa"/>
              <w:right w:w="100" w:type="dxa"/>
            </w:tcMar>
          </w:tcPr>
          <w:p>
            <w:pPr>
              <w:spacing w:after="40"/>
            </w:pPr>
            <w:r>
              <w:rPr>
                <w:rFonts w:ascii="Times New Roman" w:hAnsi="Times New Roman"/>
                <w:sz w:val="20"/>
              </w:rPr>
              <w:t>Multi-Cloud Networking</w:t>
            </w:r>
          </w:p>
        </w:tc>
      </w:tr>
      <w:tr>
        <w:tc>
          <w:tcPr>
            <w:tcW w:type="dxa" w:w="4680"/>
            <w:tcMar>
              <w:top w:w="60" w:type="dxa"/>
              <w:bottom w:w="60" w:type="dxa"/>
              <w:left w:w="100" w:type="dxa"/>
              <w:right w:w="100" w:type="dxa"/>
            </w:tcMar>
          </w:tcPr>
          <w:p>
            <w:pPr>
              <w:spacing w:after="40"/>
            </w:pPr>
            <w:r>
              <w:rPr>
                <w:rFonts w:ascii="Times New Roman" w:hAnsi="Times New Roman"/>
                <w:b/>
                <w:sz w:val="20"/>
              </w:rPr>
              <w:t>MFA</w:t>
            </w:r>
          </w:p>
        </w:tc>
        <w:tc>
          <w:tcPr>
            <w:tcW w:type="dxa" w:w="4680"/>
            <w:tcMar>
              <w:top w:w="60" w:type="dxa"/>
              <w:bottom w:w="60" w:type="dxa"/>
              <w:left w:w="100" w:type="dxa"/>
              <w:right w:w="100" w:type="dxa"/>
            </w:tcMar>
          </w:tcPr>
          <w:p>
            <w:pPr>
              <w:spacing w:after="40"/>
            </w:pPr>
            <w:r>
              <w:rPr>
                <w:rFonts w:ascii="Times New Roman" w:hAnsi="Times New Roman"/>
                <w:sz w:val="20"/>
              </w:rPr>
              <w:t>Multi-Factor Authentication</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MIT</w:t>
            </w:r>
          </w:p>
        </w:tc>
        <w:tc>
          <w:tcPr>
            <w:tcW w:type="dxa" w:w="4680"/>
            <w:shd w:fill="F2F5F9"/>
            <w:tcMar>
              <w:top w:w="60" w:type="dxa"/>
              <w:bottom w:w="60" w:type="dxa"/>
              <w:left w:w="100" w:type="dxa"/>
              <w:right w:w="100" w:type="dxa"/>
            </w:tcMar>
          </w:tcPr>
          <w:p>
            <w:pPr>
              <w:spacing w:after="40"/>
            </w:pPr>
            <w:r>
              <w:rPr>
                <w:rFonts w:ascii="Times New Roman" w:hAnsi="Times New Roman"/>
                <w:sz w:val="20"/>
              </w:rPr>
              <w:t>Master of Information Technology</w:t>
            </w:r>
          </w:p>
        </w:tc>
      </w:tr>
      <w:tr>
        <w:tc>
          <w:tcPr>
            <w:tcW w:type="dxa" w:w="4680"/>
            <w:tcMar>
              <w:top w:w="60" w:type="dxa"/>
              <w:bottom w:w="60" w:type="dxa"/>
              <w:left w:w="100" w:type="dxa"/>
              <w:right w:w="100" w:type="dxa"/>
            </w:tcMar>
          </w:tcPr>
          <w:p>
            <w:pPr>
              <w:spacing w:after="40"/>
            </w:pPr>
            <w:r>
              <w:rPr>
                <w:rFonts w:ascii="Times New Roman" w:hAnsi="Times New Roman"/>
                <w:b/>
                <w:sz w:val="20"/>
              </w:rPr>
              <w:t>NACL</w:t>
            </w:r>
          </w:p>
        </w:tc>
        <w:tc>
          <w:tcPr>
            <w:tcW w:type="dxa" w:w="4680"/>
            <w:tcMar>
              <w:top w:w="60" w:type="dxa"/>
              <w:bottom w:w="60" w:type="dxa"/>
              <w:left w:w="100" w:type="dxa"/>
              <w:right w:w="100" w:type="dxa"/>
            </w:tcMar>
          </w:tcPr>
          <w:p>
            <w:pPr>
              <w:spacing w:after="40"/>
            </w:pPr>
            <w:r>
              <w:rPr>
                <w:rFonts w:ascii="Times New Roman" w:hAnsi="Times New Roman"/>
                <w:sz w:val="20"/>
              </w:rPr>
              <w:t>Network Access Control List</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NDPA</w:t>
            </w:r>
          </w:p>
        </w:tc>
        <w:tc>
          <w:tcPr>
            <w:tcW w:type="dxa" w:w="4680"/>
            <w:shd w:fill="F2F5F9"/>
            <w:tcMar>
              <w:top w:w="60" w:type="dxa"/>
              <w:bottom w:w="60" w:type="dxa"/>
              <w:left w:w="100" w:type="dxa"/>
              <w:right w:w="100" w:type="dxa"/>
            </w:tcMar>
          </w:tcPr>
          <w:p>
            <w:pPr>
              <w:spacing w:after="40"/>
            </w:pPr>
            <w:r>
              <w:rPr>
                <w:rFonts w:ascii="Times New Roman" w:hAnsi="Times New Roman"/>
                <w:sz w:val="20"/>
              </w:rPr>
              <w:t>Nigeria Data Protection Act 2023</w:t>
            </w:r>
          </w:p>
        </w:tc>
      </w:tr>
      <w:tr>
        <w:tc>
          <w:tcPr>
            <w:tcW w:type="dxa" w:w="4680"/>
            <w:tcMar>
              <w:top w:w="60" w:type="dxa"/>
              <w:bottom w:w="60" w:type="dxa"/>
              <w:left w:w="100" w:type="dxa"/>
              <w:right w:w="100" w:type="dxa"/>
            </w:tcMar>
          </w:tcPr>
          <w:p>
            <w:pPr>
              <w:spacing w:after="40"/>
            </w:pPr>
            <w:r>
              <w:rPr>
                <w:rFonts w:ascii="Times New Roman" w:hAnsi="Times New Roman"/>
                <w:b/>
                <w:sz w:val="20"/>
              </w:rPr>
              <w:t>NDPC</w:t>
            </w:r>
          </w:p>
        </w:tc>
        <w:tc>
          <w:tcPr>
            <w:tcW w:type="dxa" w:w="4680"/>
            <w:tcMar>
              <w:top w:w="60" w:type="dxa"/>
              <w:bottom w:w="60" w:type="dxa"/>
              <w:left w:w="100" w:type="dxa"/>
              <w:right w:w="100" w:type="dxa"/>
            </w:tcMar>
          </w:tcPr>
          <w:p>
            <w:pPr>
              <w:spacing w:after="40"/>
            </w:pPr>
            <w:r>
              <w:rPr>
                <w:rFonts w:ascii="Times New Roman" w:hAnsi="Times New Roman"/>
                <w:sz w:val="20"/>
              </w:rPr>
              <w:t>Nigeria Data Protection Commission</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NIST</w:t>
            </w:r>
          </w:p>
        </w:tc>
        <w:tc>
          <w:tcPr>
            <w:tcW w:type="dxa" w:w="4680"/>
            <w:shd w:fill="F2F5F9"/>
            <w:tcMar>
              <w:top w:w="60" w:type="dxa"/>
              <w:bottom w:w="60" w:type="dxa"/>
              <w:left w:w="100" w:type="dxa"/>
              <w:right w:w="100" w:type="dxa"/>
            </w:tcMar>
          </w:tcPr>
          <w:p>
            <w:pPr>
              <w:spacing w:after="40"/>
            </w:pPr>
            <w:r>
              <w:rPr>
                <w:rFonts w:ascii="Times New Roman" w:hAnsi="Times New Roman"/>
                <w:sz w:val="20"/>
              </w:rPr>
              <w:t>National Institute of Standards and Technology</w:t>
            </w:r>
          </w:p>
        </w:tc>
      </w:tr>
      <w:tr>
        <w:tc>
          <w:tcPr>
            <w:tcW w:type="dxa" w:w="4680"/>
            <w:tcMar>
              <w:top w:w="60" w:type="dxa"/>
              <w:bottom w:w="60" w:type="dxa"/>
              <w:left w:w="100" w:type="dxa"/>
              <w:right w:w="100" w:type="dxa"/>
            </w:tcMar>
          </w:tcPr>
          <w:p>
            <w:pPr>
              <w:spacing w:after="40"/>
            </w:pPr>
            <w:r>
              <w:rPr>
                <w:rFonts w:ascii="Times New Roman" w:hAnsi="Times New Roman"/>
                <w:b/>
                <w:sz w:val="20"/>
              </w:rPr>
              <w:t>NITDA</w:t>
            </w:r>
          </w:p>
        </w:tc>
        <w:tc>
          <w:tcPr>
            <w:tcW w:type="dxa" w:w="4680"/>
            <w:tcMar>
              <w:top w:w="60" w:type="dxa"/>
              <w:bottom w:w="60" w:type="dxa"/>
              <w:left w:w="100" w:type="dxa"/>
              <w:right w:w="100" w:type="dxa"/>
            </w:tcMar>
          </w:tcPr>
          <w:p>
            <w:pPr>
              <w:spacing w:after="40"/>
            </w:pPr>
            <w:r>
              <w:rPr>
                <w:rFonts w:ascii="Times New Roman" w:hAnsi="Times New Roman"/>
                <w:sz w:val="20"/>
              </w:rPr>
              <w:t>National Information Technology Development Agency</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NSG</w:t>
            </w:r>
          </w:p>
        </w:tc>
        <w:tc>
          <w:tcPr>
            <w:tcW w:type="dxa" w:w="4680"/>
            <w:shd w:fill="F2F5F9"/>
            <w:tcMar>
              <w:top w:w="60" w:type="dxa"/>
              <w:bottom w:w="60" w:type="dxa"/>
              <w:left w:w="100" w:type="dxa"/>
              <w:right w:w="100" w:type="dxa"/>
            </w:tcMar>
          </w:tcPr>
          <w:p>
            <w:pPr>
              <w:spacing w:after="40"/>
            </w:pPr>
            <w:r>
              <w:rPr>
                <w:rFonts w:ascii="Times New Roman" w:hAnsi="Times New Roman"/>
                <w:sz w:val="20"/>
              </w:rPr>
              <w:t>Network Security Group</w:t>
            </w:r>
          </w:p>
        </w:tc>
      </w:tr>
      <w:tr>
        <w:tc>
          <w:tcPr>
            <w:tcW w:type="dxa" w:w="4680"/>
            <w:tcMar>
              <w:top w:w="60" w:type="dxa"/>
              <w:bottom w:w="60" w:type="dxa"/>
              <w:left w:w="100" w:type="dxa"/>
              <w:right w:w="100" w:type="dxa"/>
            </w:tcMar>
          </w:tcPr>
          <w:p>
            <w:pPr>
              <w:spacing w:after="40"/>
            </w:pPr>
            <w:r>
              <w:rPr>
                <w:rFonts w:ascii="Times New Roman" w:hAnsi="Times New Roman"/>
                <w:b/>
                <w:sz w:val="20"/>
              </w:rPr>
              <w:t>NUC</w:t>
            </w:r>
          </w:p>
        </w:tc>
        <w:tc>
          <w:tcPr>
            <w:tcW w:type="dxa" w:w="4680"/>
            <w:tcMar>
              <w:top w:w="60" w:type="dxa"/>
              <w:bottom w:w="60" w:type="dxa"/>
              <w:left w:w="100" w:type="dxa"/>
              <w:right w:w="100" w:type="dxa"/>
            </w:tcMar>
          </w:tcPr>
          <w:p>
            <w:pPr>
              <w:spacing w:after="40"/>
            </w:pPr>
            <w:r>
              <w:rPr>
                <w:rFonts w:ascii="Times New Roman" w:hAnsi="Times New Roman"/>
                <w:sz w:val="20"/>
              </w:rPr>
              <w:t>National Universities Commission</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PaaS</w:t>
            </w:r>
          </w:p>
        </w:tc>
        <w:tc>
          <w:tcPr>
            <w:tcW w:type="dxa" w:w="4680"/>
            <w:shd w:fill="F2F5F9"/>
            <w:tcMar>
              <w:top w:w="60" w:type="dxa"/>
              <w:bottom w:w="60" w:type="dxa"/>
              <w:left w:w="100" w:type="dxa"/>
              <w:right w:w="100" w:type="dxa"/>
            </w:tcMar>
          </w:tcPr>
          <w:p>
            <w:pPr>
              <w:spacing w:after="40"/>
            </w:pPr>
            <w:r>
              <w:rPr>
                <w:rFonts w:ascii="Times New Roman" w:hAnsi="Times New Roman"/>
                <w:sz w:val="20"/>
              </w:rPr>
              <w:t>Platform as a Service</w:t>
            </w:r>
          </w:p>
        </w:tc>
      </w:tr>
      <w:tr>
        <w:tc>
          <w:tcPr>
            <w:tcW w:type="dxa" w:w="4680"/>
            <w:tcMar>
              <w:top w:w="60" w:type="dxa"/>
              <w:bottom w:w="60" w:type="dxa"/>
              <w:left w:w="100" w:type="dxa"/>
              <w:right w:w="100" w:type="dxa"/>
            </w:tcMar>
          </w:tcPr>
          <w:p>
            <w:pPr>
              <w:spacing w:after="40"/>
            </w:pPr>
            <w:r>
              <w:rPr>
                <w:rFonts w:ascii="Times New Roman" w:hAnsi="Times New Roman"/>
                <w:b/>
                <w:sz w:val="20"/>
              </w:rPr>
              <w:t>PEP</w:t>
            </w:r>
          </w:p>
        </w:tc>
        <w:tc>
          <w:tcPr>
            <w:tcW w:type="dxa" w:w="4680"/>
            <w:tcMar>
              <w:top w:w="60" w:type="dxa"/>
              <w:bottom w:w="60" w:type="dxa"/>
              <w:left w:w="100" w:type="dxa"/>
              <w:right w:w="100" w:type="dxa"/>
            </w:tcMar>
          </w:tcPr>
          <w:p>
            <w:pPr>
              <w:spacing w:after="40"/>
            </w:pPr>
            <w:r>
              <w:rPr>
                <w:rFonts w:ascii="Times New Roman" w:hAnsi="Times New Roman"/>
                <w:sz w:val="20"/>
              </w:rPr>
              <w:t>Policy Enforcement Point</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RBAC</w:t>
            </w:r>
          </w:p>
        </w:tc>
        <w:tc>
          <w:tcPr>
            <w:tcW w:type="dxa" w:w="4680"/>
            <w:shd w:fill="F2F5F9"/>
            <w:tcMar>
              <w:top w:w="60" w:type="dxa"/>
              <w:bottom w:w="60" w:type="dxa"/>
              <w:left w:w="100" w:type="dxa"/>
              <w:right w:w="100" w:type="dxa"/>
            </w:tcMar>
          </w:tcPr>
          <w:p>
            <w:pPr>
              <w:spacing w:after="40"/>
            </w:pPr>
            <w:r>
              <w:rPr>
                <w:rFonts w:ascii="Times New Roman" w:hAnsi="Times New Roman"/>
                <w:sz w:val="20"/>
              </w:rPr>
              <w:t>Role-Based Access Control</w:t>
            </w:r>
          </w:p>
        </w:tc>
      </w:tr>
      <w:tr>
        <w:tc>
          <w:tcPr>
            <w:tcW w:type="dxa" w:w="4680"/>
            <w:tcMar>
              <w:top w:w="60" w:type="dxa"/>
              <w:bottom w:w="60" w:type="dxa"/>
              <w:left w:w="100" w:type="dxa"/>
              <w:right w:w="100" w:type="dxa"/>
            </w:tcMar>
          </w:tcPr>
          <w:p>
            <w:pPr>
              <w:spacing w:after="40"/>
            </w:pPr>
            <w:r>
              <w:rPr>
                <w:rFonts w:ascii="Times New Roman" w:hAnsi="Times New Roman"/>
                <w:b/>
                <w:sz w:val="20"/>
              </w:rPr>
              <w:t>RTO</w:t>
            </w:r>
          </w:p>
        </w:tc>
        <w:tc>
          <w:tcPr>
            <w:tcW w:type="dxa" w:w="4680"/>
            <w:tcMar>
              <w:top w:w="60" w:type="dxa"/>
              <w:bottom w:w="60" w:type="dxa"/>
              <w:left w:w="100" w:type="dxa"/>
              <w:right w:w="100" w:type="dxa"/>
            </w:tcMar>
          </w:tcPr>
          <w:p>
            <w:pPr>
              <w:spacing w:after="40"/>
            </w:pPr>
            <w:r>
              <w:rPr>
                <w:rFonts w:ascii="Times New Roman" w:hAnsi="Times New Roman"/>
                <w:sz w:val="20"/>
              </w:rPr>
              <w:t>Recovery Time Objective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RTT</w:t>
            </w:r>
          </w:p>
        </w:tc>
        <w:tc>
          <w:tcPr>
            <w:tcW w:type="dxa" w:w="4680"/>
            <w:shd w:fill="F2F5F9"/>
            <w:tcMar>
              <w:top w:w="60" w:type="dxa"/>
              <w:bottom w:w="60" w:type="dxa"/>
              <w:left w:w="100" w:type="dxa"/>
              <w:right w:w="100" w:type="dxa"/>
            </w:tcMar>
          </w:tcPr>
          <w:p>
            <w:pPr>
              <w:spacing w:after="40"/>
            </w:pPr>
            <w:r>
              <w:rPr>
                <w:rFonts w:ascii="Times New Roman" w:hAnsi="Times New Roman"/>
                <w:sz w:val="20"/>
              </w:rPr>
              <w:t>Round-Trip Time</w:t>
            </w:r>
          </w:p>
        </w:tc>
      </w:tr>
      <w:tr>
        <w:tc>
          <w:tcPr>
            <w:tcW w:type="dxa" w:w="4680"/>
            <w:tcMar>
              <w:top w:w="60" w:type="dxa"/>
              <w:bottom w:w="60" w:type="dxa"/>
              <w:left w:w="100" w:type="dxa"/>
              <w:right w:w="100" w:type="dxa"/>
            </w:tcMar>
          </w:tcPr>
          <w:p>
            <w:pPr>
              <w:spacing w:after="40"/>
            </w:pPr>
            <w:r>
              <w:rPr>
                <w:rFonts w:ascii="Times New Roman" w:hAnsi="Times New Roman"/>
                <w:b/>
                <w:sz w:val="20"/>
              </w:rPr>
              <w:t>SAML</w:t>
            </w:r>
          </w:p>
        </w:tc>
        <w:tc>
          <w:tcPr>
            <w:tcW w:type="dxa" w:w="4680"/>
            <w:tcMar>
              <w:top w:w="60" w:type="dxa"/>
              <w:bottom w:w="60" w:type="dxa"/>
              <w:left w:w="100" w:type="dxa"/>
              <w:right w:w="100" w:type="dxa"/>
            </w:tcMar>
          </w:tcPr>
          <w:p>
            <w:pPr>
              <w:spacing w:after="40"/>
            </w:pPr>
            <w:r>
              <w:rPr>
                <w:rFonts w:ascii="Times New Roman" w:hAnsi="Times New Roman"/>
                <w:sz w:val="20"/>
              </w:rPr>
              <w:t>Security Assertion Markup Language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SaaS</w:t>
            </w:r>
          </w:p>
        </w:tc>
        <w:tc>
          <w:tcPr>
            <w:tcW w:type="dxa" w:w="4680"/>
            <w:shd w:fill="F2F5F9"/>
            <w:tcMar>
              <w:top w:w="60" w:type="dxa"/>
              <w:bottom w:w="60" w:type="dxa"/>
              <w:left w:w="100" w:type="dxa"/>
              <w:right w:w="100" w:type="dxa"/>
            </w:tcMar>
          </w:tcPr>
          <w:p>
            <w:pPr>
              <w:spacing w:after="40"/>
            </w:pPr>
            <w:r>
              <w:rPr>
                <w:rFonts w:ascii="Times New Roman" w:hAnsi="Times New Roman"/>
                <w:sz w:val="20"/>
              </w:rPr>
              <w:t>Software as a Service</w:t>
            </w:r>
          </w:p>
        </w:tc>
      </w:tr>
      <w:tr>
        <w:tc>
          <w:tcPr>
            <w:tcW w:type="dxa" w:w="4680"/>
            <w:tcMar>
              <w:top w:w="60" w:type="dxa"/>
              <w:bottom w:w="60" w:type="dxa"/>
              <w:left w:w="100" w:type="dxa"/>
              <w:right w:w="100" w:type="dxa"/>
            </w:tcMar>
          </w:tcPr>
          <w:p>
            <w:pPr>
              <w:spacing w:after="40"/>
            </w:pPr>
            <w:r>
              <w:rPr>
                <w:rFonts w:ascii="Times New Roman" w:hAnsi="Times New Roman"/>
                <w:b/>
                <w:sz w:val="20"/>
              </w:rPr>
              <w:t>SCIM</w:t>
            </w:r>
          </w:p>
        </w:tc>
        <w:tc>
          <w:tcPr>
            <w:tcW w:type="dxa" w:w="4680"/>
            <w:tcMar>
              <w:top w:w="60" w:type="dxa"/>
              <w:bottom w:w="60" w:type="dxa"/>
              <w:left w:w="100" w:type="dxa"/>
              <w:right w:w="100" w:type="dxa"/>
            </w:tcMar>
          </w:tcPr>
          <w:p>
            <w:pPr>
              <w:spacing w:after="40"/>
            </w:pPr>
            <w:r>
              <w:rPr>
                <w:rFonts w:ascii="Times New Roman" w:hAnsi="Times New Roman"/>
                <w:sz w:val="20"/>
              </w:rPr>
              <w:t>System for Cross-domain Identity Management</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SIEM</w:t>
            </w:r>
          </w:p>
        </w:tc>
        <w:tc>
          <w:tcPr>
            <w:tcW w:type="dxa" w:w="4680"/>
            <w:shd w:fill="F2F5F9"/>
            <w:tcMar>
              <w:top w:w="60" w:type="dxa"/>
              <w:bottom w:w="60" w:type="dxa"/>
              <w:left w:w="100" w:type="dxa"/>
              <w:right w:w="100" w:type="dxa"/>
            </w:tcMar>
          </w:tcPr>
          <w:p>
            <w:pPr>
              <w:spacing w:after="40"/>
            </w:pPr>
            <w:r>
              <w:rPr>
                <w:rFonts w:ascii="Times New Roman" w:hAnsi="Times New Roman"/>
                <w:sz w:val="20"/>
              </w:rPr>
              <w:t>Security Information and Event Management</w:t>
            </w:r>
          </w:p>
        </w:tc>
      </w:tr>
      <w:tr>
        <w:tc>
          <w:tcPr>
            <w:tcW w:type="dxa" w:w="4680"/>
            <w:tcMar>
              <w:top w:w="60" w:type="dxa"/>
              <w:bottom w:w="60" w:type="dxa"/>
              <w:left w:w="100" w:type="dxa"/>
              <w:right w:w="100" w:type="dxa"/>
            </w:tcMar>
          </w:tcPr>
          <w:p>
            <w:pPr>
              <w:spacing w:after="40"/>
            </w:pPr>
            <w:r>
              <w:rPr>
                <w:rFonts w:ascii="Times New Roman" w:hAnsi="Times New Roman"/>
                <w:b/>
                <w:sz w:val="20"/>
              </w:rPr>
              <w:t>SP</w:t>
            </w:r>
          </w:p>
        </w:tc>
        <w:tc>
          <w:tcPr>
            <w:tcW w:type="dxa" w:w="4680"/>
            <w:tcMar>
              <w:top w:w="60" w:type="dxa"/>
              <w:bottom w:w="60" w:type="dxa"/>
              <w:left w:w="100" w:type="dxa"/>
              <w:right w:w="100" w:type="dxa"/>
            </w:tcMar>
          </w:tcPr>
          <w:p>
            <w:pPr>
              <w:spacing w:after="40"/>
            </w:pPr>
            <w:r>
              <w:rPr>
                <w:rFonts w:ascii="Times New Roman" w:hAnsi="Times New Roman"/>
                <w:sz w:val="20"/>
              </w:rPr>
              <w:t>Service Provider</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SSO</w:t>
            </w:r>
          </w:p>
        </w:tc>
        <w:tc>
          <w:tcPr>
            <w:tcW w:type="dxa" w:w="4680"/>
            <w:shd w:fill="F2F5F9"/>
            <w:tcMar>
              <w:top w:w="60" w:type="dxa"/>
              <w:bottom w:w="60" w:type="dxa"/>
              <w:left w:w="100" w:type="dxa"/>
              <w:right w:w="100" w:type="dxa"/>
            </w:tcMar>
          </w:tcPr>
          <w:p>
            <w:pPr>
              <w:spacing w:after="40"/>
            </w:pPr>
            <w:r>
              <w:rPr>
                <w:rFonts w:ascii="Times New Roman" w:hAnsi="Times New Roman"/>
                <w:sz w:val="20"/>
              </w:rPr>
              <w:t>Single Sign-On</w:t>
            </w:r>
          </w:p>
        </w:tc>
      </w:tr>
      <w:tr>
        <w:tc>
          <w:tcPr>
            <w:tcW w:type="dxa" w:w="4680"/>
            <w:tcMar>
              <w:top w:w="60" w:type="dxa"/>
              <w:bottom w:w="60" w:type="dxa"/>
              <w:left w:w="100" w:type="dxa"/>
              <w:right w:w="100" w:type="dxa"/>
            </w:tcMar>
          </w:tcPr>
          <w:p>
            <w:pPr>
              <w:spacing w:after="40"/>
            </w:pPr>
            <w:r>
              <w:rPr>
                <w:rFonts w:ascii="Times New Roman" w:hAnsi="Times New Roman"/>
                <w:b/>
                <w:sz w:val="20"/>
              </w:rPr>
              <w:t>STS</w:t>
            </w:r>
          </w:p>
        </w:tc>
        <w:tc>
          <w:tcPr>
            <w:tcW w:type="dxa" w:w="4680"/>
            <w:tcMar>
              <w:top w:w="60" w:type="dxa"/>
              <w:bottom w:w="60" w:type="dxa"/>
              <w:left w:w="100" w:type="dxa"/>
              <w:right w:w="100" w:type="dxa"/>
            </w:tcMar>
          </w:tcPr>
          <w:p>
            <w:pPr>
              <w:spacing w:after="40"/>
            </w:pPr>
            <w:r>
              <w:rPr>
                <w:rFonts w:ascii="Times New Roman" w:hAnsi="Times New Roman"/>
                <w:sz w:val="20"/>
              </w:rPr>
              <w:t>Security Token Service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TGW</w:t>
            </w:r>
          </w:p>
        </w:tc>
        <w:tc>
          <w:tcPr>
            <w:tcW w:type="dxa" w:w="4680"/>
            <w:shd w:fill="F2F5F9"/>
            <w:tcMar>
              <w:top w:w="60" w:type="dxa"/>
              <w:bottom w:w="60" w:type="dxa"/>
              <w:left w:w="100" w:type="dxa"/>
              <w:right w:w="100" w:type="dxa"/>
            </w:tcMar>
          </w:tcPr>
          <w:p>
            <w:pPr>
              <w:spacing w:after="40"/>
            </w:pPr>
            <w:r>
              <w:rPr>
                <w:rFonts w:ascii="Times New Roman" w:hAnsi="Times New Roman"/>
                <w:sz w:val="20"/>
              </w:rPr>
              <w:t>AWS Transit Gateway</w:t>
            </w:r>
          </w:p>
        </w:tc>
      </w:tr>
      <w:tr>
        <w:tc>
          <w:tcPr>
            <w:tcW w:type="dxa" w:w="4680"/>
            <w:tcMar>
              <w:top w:w="60" w:type="dxa"/>
              <w:bottom w:w="60" w:type="dxa"/>
              <w:left w:w="100" w:type="dxa"/>
              <w:right w:w="100" w:type="dxa"/>
            </w:tcMar>
          </w:tcPr>
          <w:p>
            <w:pPr>
              <w:spacing w:after="40"/>
            </w:pPr>
            <w:r>
              <w:rPr>
                <w:rFonts w:ascii="Times New Roman" w:hAnsi="Times New Roman"/>
                <w:b/>
                <w:sz w:val="20"/>
              </w:rPr>
              <w:t>UDR</w:t>
            </w:r>
          </w:p>
        </w:tc>
        <w:tc>
          <w:tcPr>
            <w:tcW w:type="dxa" w:w="4680"/>
            <w:tcMar>
              <w:top w:w="60" w:type="dxa"/>
              <w:bottom w:w="60" w:type="dxa"/>
              <w:left w:w="100" w:type="dxa"/>
              <w:right w:w="100" w:type="dxa"/>
            </w:tcMar>
          </w:tcPr>
          <w:p>
            <w:pPr>
              <w:spacing w:after="40"/>
            </w:pPr>
            <w:r>
              <w:rPr>
                <w:rFonts w:ascii="Times New Roman" w:hAnsi="Times New Roman"/>
                <w:sz w:val="20"/>
              </w:rPr>
              <w:t>User-Defined Route</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VMC</w:t>
            </w:r>
          </w:p>
        </w:tc>
        <w:tc>
          <w:tcPr>
            <w:tcW w:type="dxa" w:w="4680"/>
            <w:shd w:fill="F2F5F9"/>
            <w:tcMar>
              <w:top w:w="60" w:type="dxa"/>
              <w:bottom w:w="60" w:type="dxa"/>
              <w:left w:w="100" w:type="dxa"/>
              <w:right w:w="100" w:type="dxa"/>
            </w:tcMar>
          </w:tcPr>
          <w:p>
            <w:pPr>
              <w:spacing w:after="40"/>
            </w:pPr>
            <w:r>
              <w:rPr>
                <w:rFonts w:ascii="Times New Roman" w:hAnsi="Times New Roman"/>
                <w:sz w:val="20"/>
              </w:rPr>
              <w:t>Virtual Machine Scale</w:t>
            </w:r>
          </w:p>
        </w:tc>
      </w:tr>
      <w:tr>
        <w:tc>
          <w:tcPr>
            <w:tcW w:type="dxa" w:w="4680"/>
            <w:tcMar>
              <w:top w:w="60" w:type="dxa"/>
              <w:bottom w:w="60" w:type="dxa"/>
              <w:left w:w="100" w:type="dxa"/>
              <w:right w:w="100" w:type="dxa"/>
            </w:tcMar>
          </w:tcPr>
          <w:p>
            <w:pPr>
              <w:spacing w:after="40"/>
            </w:pPr>
            <w:r>
              <w:rPr>
                <w:rFonts w:ascii="Times New Roman" w:hAnsi="Times New Roman"/>
                <w:b/>
                <w:sz w:val="20"/>
              </w:rPr>
              <w:t>VNG</w:t>
            </w:r>
          </w:p>
        </w:tc>
        <w:tc>
          <w:tcPr>
            <w:tcW w:type="dxa" w:w="4680"/>
            <w:tcMar>
              <w:top w:w="60" w:type="dxa"/>
              <w:bottom w:w="60" w:type="dxa"/>
              <w:left w:w="100" w:type="dxa"/>
              <w:right w:w="100" w:type="dxa"/>
            </w:tcMar>
          </w:tcPr>
          <w:p>
            <w:pPr>
              <w:spacing w:after="40"/>
            </w:pPr>
            <w:r>
              <w:rPr>
                <w:rFonts w:ascii="Times New Roman" w:hAnsi="Times New Roman"/>
                <w:sz w:val="20"/>
              </w:rPr>
              <w:t>Azure Virtual Network Gateway</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VNet</w:t>
            </w:r>
          </w:p>
        </w:tc>
        <w:tc>
          <w:tcPr>
            <w:tcW w:type="dxa" w:w="4680"/>
            <w:shd w:fill="F2F5F9"/>
            <w:tcMar>
              <w:top w:w="60" w:type="dxa"/>
              <w:bottom w:w="60" w:type="dxa"/>
              <w:left w:w="100" w:type="dxa"/>
              <w:right w:w="100" w:type="dxa"/>
            </w:tcMar>
          </w:tcPr>
          <w:p>
            <w:pPr>
              <w:spacing w:after="40"/>
            </w:pPr>
            <w:r>
              <w:rPr>
                <w:rFonts w:ascii="Times New Roman" w:hAnsi="Times New Roman"/>
                <w:sz w:val="20"/>
              </w:rPr>
              <w:t>Azure Virtual Network</w:t>
            </w:r>
          </w:p>
        </w:tc>
      </w:tr>
      <w:tr>
        <w:tc>
          <w:tcPr>
            <w:tcW w:type="dxa" w:w="4680"/>
            <w:tcMar>
              <w:top w:w="60" w:type="dxa"/>
              <w:bottom w:w="60" w:type="dxa"/>
              <w:left w:w="100" w:type="dxa"/>
              <w:right w:w="100" w:type="dxa"/>
            </w:tcMar>
          </w:tcPr>
          <w:p>
            <w:pPr>
              <w:spacing w:after="40"/>
            </w:pPr>
            <w:r>
              <w:rPr>
                <w:rFonts w:ascii="Times New Roman" w:hAnsi="Times New Roman"/>
                <w:b/>
                <w:sz w:val="20"/>
              </w:rPr>
              <w:t>VPC</w:t>
            </w:r>
          </w:p>
        </w:tc>
        <w:tc>
          <w:tcPr>
            <w:tcW w:type="dxa" w:w="4680"/>
            <w:tcMar>
              <w:top w:w="60" w:type="dxa"/>
              <w:bottom w:w="60" w:type="dxa"/>
              <w:left w:w="100" w:type="dxa"/>
              <w:right w:w="100" w:type="dxa"/>
            </w:tcMar>
          </w:tcPr>
          <w:p>
            <w:pPr>
              <w:spacing w:after="40"/>
            </w:pPr>
            <w:r>
              <w:rPr>
                <w:rFonts w:ascii="Times New Roman" w:hAnsi="Times New Roman"/>
                <w:sz w:val="20"/>
              </w:rPr>
              <w:t>Amazon Virtual Private Cloud</w:t>
            </w:r>
          </w:p>
        </w:tc>
      </w:tr>
      <w:tr>
        <w:tc>
          <w:tcPr>
            <w:tcW w:type="dxa" w:w="4680"/>
            <w:shd w:fill="F2F5F9"/>
            <w:tcMar>
              <w:top w:w="60" w:type="dxa"/>
              <w:bottom w:w="60" w:type="dxa"/>
              <w:left w:w="100" w:type="dxa"/>
              <w:right w:w="100" w:type="dxa"/>
            </w:tcMar>
          </w:tcPr>
          <w:p>
            <w:pPr>
              <w:spacing w:after="40"/>
            </w:pPr>
            <w:r>
              <w:rPr>
                <w:rFonts w:ascii="Times New Roman" w:hAnsi="Times New Roman"/>
                <w:b/>
                <w:sz w:val="20"/>
              </w:rPr>
              <w:t>VPN</w:t>
            </w:r>
          </w:p>
        </w:tc>
        <w:tc>
          <w:tcPr>
            <w:tcW w:type="dxa" w:w="4680"/>
            <w:shd w:fill="F2F5F9"/>
            <w:tcMar>
              <w:top w:w="60" w:type="dxa"/>
              <w:bottom w:w="60" w:type="dxa"/>
              <w:left w:w="100" w:type="dxa"/>
              <w:right w:w="100" w:type="dxa"/>
            </w:tcMar>
          </w:tcPr>
          <w:p>
            <w:pPr>
              <w:spacing w:after="40"/>
            </w:pPr>
            <w:r>
              <w:rPr>
                <w:rFonts w:ascii="Times New Roman" w:hAnsi="Times New Roman"/>
                <w:sz w:val="20"/>
              </w:rPr>
              <w:t>Virtual Private Network</w:t>
            </w:r>
          </w:p>
        </w:tc>
      </w:tr>
      <w:tr>
        <w:tc>
          <w:tcPr>
            <w:tcW w:type="dxa" w:w="4680"/>
            <w:tcMar>
              <w:top w:w="60" w:type="dxa"/>
              <w:bottom w:w="60" w:type="dxa"/>
              <w:left w:w="100" w:type="dxa"/>
              <w:right w:w="100" w:type="dxa"/>
            </w:tcMar>
          </w:tcPr>
          <w:p>
            <w:pPr>
              <w:spacing w:after="40"/>
            </w:pPr>
            <w:r>
              <w:rPr>
                <w:rFonts w:ascii="Times New Roman" w:hAnsi="Times New Roman"/>
                <w:b/>
                <w:sz w:val="20"/>
              </w:rPr>
              <w:t>ZTA</w:t>
            </w:r>
          </w:p>
        </w:tc>
        <w:tc>
          <w:tcPr>
            <w:tcW w:type="dxa" w:w="4680"/>
            <w:tcMar>
              <w:top w:w="60" w:type="dxa"/>
              <w:bottom w:w="60" w:type="dxa"/>
              <w:left w:w="100" w:type="dxa"/>
              <w:right w:w="100" w:type="dxa"/>
            </w:tcMar>
          </w:tcPr>
          <w:p>
            <w:pPr>
              <w:spacing w:after="40"/>
            </w:pPr>
            <w:r>
              <w:rPr>
                <w:rFonts w:ascii="Times New Roman" w:hAnsi="Times New Roman"/>
                <w:sz w:val="20"/>
              </w:rPr>
              <w:t>Zero Trust Architecture</w:t>
            </w:r>
          </w:p>
        </w:tc>
      </w:tr>
    </w:tbl>
    <w:p>
      <w:r>
        <w:br w:type="page"/>
      </w:r>
    </w:p>
    <w:p>
      <w:pPr>
        <w:keepNext/>
        <w:spacing w:before="400" w:after="240"/>
      </w:pPr>
      <w:r>
        <w:rPr>
          <w:rFonts w:ascii="Times New Roman" w:hAnsi="Times New Roman"/>
          <w:b/>
          <w:color w:val="1F497D"/>
          <w:sz w:val="36"/>
        </w:rPr>
        <w:t>CHAPTER ONE: INTRODUCTION</w:t>
      </w:r>
    </w:p>
    <w:p>
      <w:pPr>
        <w:keepNext/>
        <w:spacing w:before="280" w:after="160"/>
      </w:pPr>
      <w:r>
        <w:rPr>
          <w:rFonts w:ascii="Times New Roman" w:hAnsi="Times New Roman"/>
          <w:b/>
          <w:color w:val="1F497D"/>
          <w:sz w:val="30"/>
        </w:rPr>
        <w:t>1.0 Introduction</w:t>
      </w:r>
    </w:p>
    <w:p>
      <w:pPr>
        <w:spacing w:after="120" w:line="300" w:lineRule="auto"/>
      </w:pPr>
      <w:r>
        <w:rPr>
          <w:rFonts w:ascii="Times New Roman" w:hAnsi="Times New Roman"/>
          <w:sz w:val="24"/>
        </w:rPr>
        <w:t>Cloud computing has become a central component of contemporary enterprise information technology. Organisations increasingly depend on public cloud platforms to host applications, store information, analyse data, support remote access, and provide digital services to customers. In sectors such as financial services, telecommunications, healthcare, government, and electronic commerce, cloud infrastructure is no longer used only for secondary systems. It now supports customer-facing applications, identity services, business intelligence, backup environments, disaster recovery facilities, and other workloads that are critical to organisational continuity.</w:t>
      </w:r>
    </w:p>
    <w:p>
      <w:pPr>
        <w:spacing w:after="120" w:line="300" w:lineRule="auto"/>
      </w:pPr>
      <w:r>
        <w:rPr>
          <w:rFonts w:ascii="Times New Roman" w:hAnsi="Times New Roman"/>
          <w:sz w:val="24"/>
        </w:rPr>
        <w:t>The growing importance of cloud services has changed how enterprises design their technology environments. Rather than placing all workloads with a single cloud service provider, organisations frequently distribute applications and supporting services across two or more cloud platforms—a arrangement commonly described as a multi-cloud architecture. A multi-cloud strategy enables an organisation to leverage specialised capabilities of different providers, reduce excessive vendor lock-in, improve service continuity, and satisfy operational or regulatory requirements. However, it also introduces complex security and architectural challenges regarding inter-cloud network connectivity, identity management, security-policy consistency, monitoring, incident detection, and regulatory governance.</w:t>
      </w:r>
    </w:p>
    <w:p>
      <w:pPr>
        <w:spacing w:after="120" w:line="300" w:lineRule="auto"/>
      </w:pPr>
      <w:r>
        <w:rPr>
          <w:rFonts w:ascii="Times New Roman" w:hAnsi="Times New Roman"/>
          <w:sz w:val="24"/>
        </w:rPr>
        <w:t>This Professional Master’s Project addresses these challenges through the design, implementation, and empirical evaluation of a secure reference architecture connecting Amazon Web Services (AWS) and Microsoft Azure. The project is deliberately practice-oriented and solution-driven. It moves beyond theoretical discussions of multi-cloud security by developing a deployable, reproducible technical artefact comprising segmented cloud networks, encrypted inter-cloud connectivity, federated identity controls, centralised observability, Infrastructure as Code (IaC), and a representative three-tier enterprise workload. The resulting system is evaluated against quantitative security posture, network performance, and operational resilience criteria.</w:t>
      </w:r>
    </w:p>
    <w:p>
      <w:pPr>
        <w:spacing w:after="120" w:line="300" w:lineRule="auto"/>
      </w:pPr>
      <w:r>
        <w:rPr>
          <w:rFonts w:ascii="Times New Roman" w:hAnsi="Times New Roman"/>
          <w:sz w:val="24"/>
        </w:rPr>
        <w:t>This orientation aligns directly with the MIVA Open University Professional Master’s Project framework, which requires an applied, solution-driven project demonstrating the ability to identify a real-world IT problem, design and implement a practical solution, and evaluate the system under empirical conditions.</w:t>
      </w:r>
    </w:p>
    <w:p>
      <w:pPr>
        <w:spacing w:before="120" w:after="120"/>
      </w:pPr>
      <w:r>
        <w:rPr>
          <w:color w:val="CCCCCC"/>
        </w:rPr>
        <w:t>――――――――――――――――――――――――――――――――――――――――――――――――――</w:t>
      </w:r>
    </w:p>
    <w:p>
      <w:pPr>
        <w:keepNext/>
        <w:spacing w:before="280" w:after="160"/>
      </w:pPr>
      <w:r>
        <w:rPr>
          <w:rFonts w:ascii="Times New Roman" w:hAnsi="Times New Roman"/>
          <w:b/>
          <w:color w:val="1F497D"/>
          <w:sz w:val="30"/>
        </w:rPr>
        <w:t>1.1 Background to the Project</w:t>
      </w:r>
    </w:p>
    <w:p>
      <w:pPr>
        <w:keepNext/>
        <w:spacing w:before="240" w:after="120"/>
      </w:pPr>
      <w:r>
        <w:rPr>
          <w:rFonts w:ascii="Times New Roman" w:hAnsi="Times New Roman"/>
          <w:b/>
          <w:color w:val="366092"/>
          <w:sz w:val="26"/>
        </w:rPr>
        <w:t>1.1.1 Evolution of Enterprise Cloud Computing</w:t>
      </w:r>
    </w:p>
    <w:p>
      <w:pPr>
        <w:spacing w:after="120" w:line="300" w:lineRule="auto"/>
      </w:pPr>
      <w:r>
        <w:rPr>
          <w:rFonts w:ascii="Times New Roman" w:hAnsi="Times New Roman"/>
          <w:sz w:val="24"/>
        </w:rPr>
        <w:t>Cloud computing is defined by the National Institute of Standards and Technology (NIST) as a model for enabling convenient, on-demand network access to a shared pool of configurable computing resources (Mell &amp; Grance, 2011). Key characteristics include on-demand self-service, broad network access, resource pooling, rapid elasticity, and measured service. Service models span Infrastructure as a Service (IaaS), Platform as a Service (PaaS), and Software as a Service (SaaS), deployed across public, private, community, or hybrid environments.</w:t>
      </w:r>
    </w:p>
    <w:p>
      <w:pPr>
        <w:spacing w:after="120" w:line="300" w:lineRule="auto"/>
      </w:pPr>
      <w:r>
        <w:rPr>
          <w:rFonts w:ascii="Times New Roman" w:hAnsi="Times New Roman"/>
          <w:sz w:val="24"/>
        </w:rPr>
        <w:t>The strategic attraction of cloud computing lies in decoupling computing capacity from physical infrastructure ownership. Compute, storage, network, and security services can be provisioned through automated APIs rather than lengthy physical procurement processes. This shortens time-to-market, supports geographically distributed operations, and enforces configuration consistency across development, testing, and production environments.</w:t>
      </w:r>
    </w:p>
    <w:p>
      <w:pPr>
        <w:spacing w:after="120" w:line="300" w:lineRule="auto"/>
      </w:pPr>
      <w:r>
        <w:rPr>
          <w:rFonts w:ascii="Times New Roman" w:hAnsi="Times New Roman"/>
          <w:sz w:val="24"/>
        </w:rPr>
        <w:t>However, cloud migration alters the distribution of security responsibilities. Under the shared-responsibility model, cloud providers secure the underlying physical facilities and managed infrastructure, while customers retain responsibility for user access, workload configuration, data classification, network filtering, and application security. Misunderstanding this boundary often leads to critical control failures, even on underlying infrastructure that is technically secure.</w:t>
      </w:r>
    </w:p>
    <w:p>
      <w:pPr>
        <w:keepNext/>
        <w:spacing w:before="240" w:after="120"/>
      </w:pPr>
      <w:r>
        <w:rPr>
          <w:rFonts w:ascii="Times New Roman" w:hAnsi="Times New Roman"/>
          <w:b/>
          <w:color w:val="366092"/>
          <w:sz w:val="26"/>
        </w:rPr>
        <w:t>1.1.2 Emergence of Multi-Cloud Enterprise Environments</w:t>
      </w:r>
    </w:p>
    <w:p>
      <w:pPr>
        <w:spacing w:after="120" w:line="300" w:lineRule="auto"/>
      </w:pPr>
      <w:r>
        <w:rPr>
          <w:rFonts w:ascii="Times New Roman" w:hAnsi="Times New Roman"/>
          <w:sz w:val="24"/>
        </w:rPr>
        <w:t>A multi-cloud environment exists when an organisation deliberately consumes public cloud services from more than one provider. This ranges from loosely coupled deployments (e.g., primary applications in AWS with backup in Azure) to tightly integrated architectures where identity, application processing, data storage, and disaster recovery services communicate continuously across platforms.</w:t>
      </w:r>
    </w:p>
    <w:p>
      <w:pPr>
        <w:spacing w:after="120" w:line="300" w:lineRule="auto"/>
      </w:pPr>
      <w:r>
        <w:rPr>
          <w:rFonts w:ascii="Times New Roman" w:hAnsi="Times New Roman"/>
          <w:sz w:val="24"/>
        </w:rPr>
        <w:t>Motivations for multi-cloud adoption include:</w:t>
      </w:r>
    </w:p>
    <w:p>
      <w:pPr>
        <w:pStyle w:val="ListNumber"/>
        <w:spacing w:after="80"/>
        <w:ind w:left="360"/>
      </w:pPr>
      <w:r>
        <w:rPr>
          <w:rFonts w:ascii="Times New Roman" w:hAnsi="Times New Roman"/>
          <w:b/>
          <w:sz w:val="24"/>
        </w:rPr>
        <w:t>Avoiding Vendor Lock-in</w:t>
      </w:r>
      <w:r>
        <w:rPr>
          <w:rFonts w:ascii="Times New Roman" w:hAnsi="Times New Roman"/>
          <w:sz w:val="24"/>
        </w:rPr>
        <w:t>: Mitigating commercial dependency and operational risk associated with single-provider disruptions.</w:t>
      </w:r>
    </w:p>
    <w:p>
      <w:pPr>
        <w:pStyle w:val="ListNumber"/>
        <w:spacing w:after="80"/>
        <w:ind w:left="360"/>
      </w:pPr>
      <w:r>
        <w:rPr>
          <w:rFonts w:ascii="Times New Roman" w:hAnsi="Times New Roman"/>
          <w:b/>
          <w:sz w:val="24"/>
        </w:rPr>
        <w:t>Accessing Specialised Services</w:t>
      </w:r>
      <w:r>
        <w:rPr>
          <w:rFonts w:ascii="Times New Roman" w:hAnsi="Times New Roman"/>
          <w:sz w:val="24"/>
        </w:rPr>
        <w:t>: Exploiting differentiated capabilities, such as AWS for scalable compute or Azure for Microsoft Entra ID governance.</w:t>
      </w:r>
    </w:p>
    <w:p>
      <w:pPr>
        <w:pStyle w:val="ListNumber"/>
        <w:spacing w:after="80"/>
        <w:ind w:left="360"/>
      </w:pPr>
      <w:r>
        <w:rPr>
          <w:rFonts w:ascii="Times New Roman" w:hAnsi="Times New Roman"/>
          <w:b/>
          <w:sz w:val="24"/>
        </w:rPr>
        <w:t>Enhancing Resilience</w:t>
      </w:r>
      <w:r>
        <w:rPr>
          <w:rFonts w:ascii="Times New Roman" w:hAnsi="Times New Roman"/>
          <w:sz w:val="24"/>
        </w:rPr>
        <w:t>: Creating multi-provider disaster recovery pathways. However, resilience is not automatic; single points of failure (e.g., a single DNS provider, unredundant VPN tunnel, or single identity broker) can compromise the entire topology.</w:t>
      </w:r>
    </w:p>
    <w:p>
      <w:pPr>
        <w:pStyle w:val="ListNumber"/>
        <w:spacing w:after="80"/>
        <w:ind w:left="360"/>
      </w:pPr>
      <w:r>
        <w:rPr>
          <w:rFonts w:ascii="Times New Roman" w:hAnsi="Times New Roman"/>
          <w:b/>
          <w:sz w:val="24"/>
        </w:rPr>
        <w:t>Regulatory and Data Sovereignty Compliance</w:t>
      </w:r>
      <w:r>
        <w:rPr>
          <w:rFonts w:ascii="Times New Roman" w:hAnsi="Times New Roman"/>
          <w:sz w:val="24"/>
        </w:rPr>
        <w:t>: Meeting jurisdiction-specific data residency requirements.</w:t>
      </w:r>
    </w:p>
    <w:p>
      <w:pPr>
        <w:spacing w:after="120" w:line="300" w:lineRule="auto"/>
      </w:pPr>
      <w:r>
        <w:rPr>
          <w:rFonts w:ascii="Times New Roman" w:hAnsi="Times New Roman"/>
          <w:sz w:val="24"/>
        </w:rPr>
        <w:t xml:space="preserve">In Nigeria, this context is shaped by the </w:t>
      </w:r>
      <w:r>
        <w:rPr>
          <w:rFonts w:ascii="Times New Roman" w:hAnsi="Times New Roman"/>
          <w:b/>
          <w:sz w:val="24"/>
        </w:rPr>
        <w:t>National Cloud Policy 2025</w:t>
      </w:r>
      <w:r>
        <w:rPr>
          <w:rFonts w:ascii="Times New Roman" w:hAnsi="Times New Roman"/>
          <w:sz w:val="24"/>
        </w:rPr>
        <w:t xml:space="preserve"> (National Information Technology Development Agency [NITDA], 2025), which mandates a "Cloud First" direction while emphasising data classification, sovereignty, and secure local data residency. Concurrently, the </w:t>
      </w:r>
      <w:r>
        <w:rPr>
          <w:rFonts w:ascii="Times New Roman" w:hAnsi="Times New Roman"/>
          <w:b/>
          <w:sz w:val="24"/>
        </w:rPr>
        <w:t>Nigeria Data Protection Act (NDPA) 2023</w:t>
      </w:r>
      <w:r>
        <w:rPr>
          <w:rFonts w:ascii="Times New Roman" w:hAnsi="Times New Roman"/>
          <w:sz w:val="24"/>
        </w:rPr>
        <w:t xml:space="preserve"> (Federal Republic of Nigeria, 2023) and the </w:t>
      </w:r>
      <w:r>
        <w:rPr>
          <w:rFonts w:ascii="Times New Roman" w:hAnsi="Times New Roman"/>
          <w:b/>
          <w:sz w:val="24"/>
        </w:rPr>
        <w:t>NDPC General Application and Implementation Directive (GAID) 2025</w:t>
      </w:r>
      <w:r>
        <w:rPr>
          <w:rFonts w:ascii="Times New Roman" w:hAnsi="Times New Roman"/>
          <w:sz w:val="24"/>
        </w:rPr>
        <w:t xml:space="preserve"> establish strict legal accountability for personal data processing, cross-border data transfers, and security controls. Cross-cloud data movement must therefore be governed by clear legal, policy, and technical safeguards.</w:t>
      </w:r>
    </w:p>
    <w:p>
      <w:pPr>
        <w:keepNext/>
        <w:spacing w:before="240" w:after="120"/>
      </w:pPr>
      <w:r>
        <w:rPr>
          <w:rFonts w:ascii="Times New Roman" w:hAnsi="Times New Roman"/>
          <w:b/>
          <w:color w:val="366092"/>
          <w:sz w:val="26"/>
        </w:rPr>
        <w:t>1.1.3 AWS and Microsoft Azure as Enterprise Cloud Platforms</w:t>
      </w:r>
    </w:p>
    <w:p>
      <w:pPr>
        <w:spacing w:after="120" w:line="300" w:lineRule="auto"/>
      </w:pPr>
      <w:r>
        <w:rPr>
          <w:rFonts w:ascii="Times New Roman" w:hAnsi="Times New Roman"/>
          <w:sz w:val="24"/>
        </w:rPr>
        <w:t>AWS and Microsoft Azure dominate the public cloud market, offering mature IaaS and PaaS capabilities, but their resource models and administrative abstractions differ significantly:</w:t>
      </w:r>
    </w:p>
    <w:p>
      <w:pPr>
        <w:pStyle w:val="ListBullet"/>
        <w:spacing w:after="80"/>
        <w:ind w:left="360"/>
      </w:pPr>
      <w:r>
        <w:rPr>
          <w:rFonts w:ascii="Times New Roman" w:hAnsi="Times New Roman"/>
          <w:b/>
          <w:sz w:val="24"/>
        </w:rPr>
        <w:t>AWS Environment</w:t>
      </w:r>
      <w:r>
        <w:rPr>
          <w:rFonts w:ascii="Times New Roman" w:hAnsi="Times New Roman"/>
          <w:sz w:val="24"/>
        </w:rPr>
        <w:t xml:space="preserve">: Workloads operate within Amazon Virtual Private Clouds (VPCs). Traffic filtering uses stateful Security Groups and stateless Network Access Control Lists (NACLs). Identity is managed via AWS IAM and IAM Identity Center. Centralised routing across VPCs and external networks is provided by </w:t>
      </w:r>
      <w:r>
        <w:rPr>
          <w:rFonts w:ascii="Times New Roman" w:hAnsi="Times New Roman"/>
          <w:b/>
          <w:sz w:val="24"/>
        </w:rPr>
        <w:t>AWS Transit Gateway</w:t>
      </w:r>
      <w:r>
        <w:rPr>
          <w:rFonts w:ascii="Times New Roman" w:hAnsi="Times New Roman"/>
          <w:sz w:val="24"/>
        </w:rPr>
        <w:t xml:space="preserve">, while encrypted inter-cloud connectivity terminates on </w:t>
      </w:r>
      <w:r>
        <w:rPr>
          <w:rFonts w:ascii="Times New Roman" w:hAnsi="Times New Roman"/>
          <w:b/>
          <w:sz w:val="24"/>
        </w:rPr>
        <w:t>AWS Site-to-Site VPN</w:t>
      </w:r>
      <w:r>
        <w:rPr>
          <w:rFonts w:ascii="Times New Roman" w:hAnsi="Times New Roman"/>
          <w:sz w:val="24"/>
        </w:rPr>
        <w:t>.</w:t>
      </w:r>
    </w:p>
    <w:p>
      <w:pPr>
        <w:pStyle w:val="ListBullet"/>
        <w:spacing w:after="80"/>
        <w:ind w:left="360"/>
      </w:pPr>
      <w:r>
        <w:rPr>
          <w:rFonts w:ascii="Times New Roman" w:hAnsi="Times New Roman"/>
          <w:b/>
          <w:sz w:val="24"/>
        </w:rPr>
        <w:t>Microsoft Azure Environment</w:t>
      </w:r>
      <w:r>
        <w:rPr>
          <w:rFonts w:ascii="Times New Roman" w:hAnsi="Times New Roman"/>
          <w:sz w:val="24"/>
        </w:rPr>
        <w:t xml:space="preserve">: Workloads operate within Azure Virtual Networks (VNets). Traffic filtering relies on Network Security Groups (NSGs) and Azure Firewall. Identity is centered around </w:t>
      </w:r>
      <w:r>
        <w:rPr>
          <w:rFonts w:ascii="Times New Roman" w:hAnsi="Times New Roman"/>
          <w:b/>
          <w:sz w:val="24"/>
        </w:rPr>
        <w:t>Microsoft Entra ID</w:t>
      </w:r>
      <w:r>
        <w:rPr>
          <w:rFonts w:ascii="Times New Roman" w:hAnsi="Times New Roman"/>
          <w:sz w:val="24"/>
        </w:rPr>
        <w:t xml:space="preserve">. Centralised networking uses Hub-and-Spoke VNets or Azure Virtual WAN, with encrypted connectivity managed by </w:t>
      </w:r>
      <w:r>
        <w:rPr>
          <w:rFonts w:ascii="Times New Roman" w:hAnsi="Times New Roman"/>
          <w:b/>
          <w:sz w:val="24"/>
        </w:rPr>
        <w:t>Azure VPN Gateway</w:t>
      </w:r>
      <w:r>
        <w:rPr>
          <w:rFonts w:ascii="Times New Roman" w:hAnsi="Times New Roman"/>
          <w:sz w:val="24"/>
        </w:rPr>
        <w:t>.</w:t>
      </w:r>
    </w:p>
    <w:p>
      <w:pPr>
        <w:spacing w:after="120" w:line="300" w:lineRule="auto"/>
      </w:pPr>
      <w:r>
        <w:rPr>
          <w:rFonts w:ascii="Times New Roman" w:hAnsi="Times New Roman"/>
          <w:sz w:val="24"/>
        </w:rPr>
        <w:t>Because these platforms use different naming conventions, rule processing engines, and logging schemas, establishing a secure multi-cloud architecture requires functional synthesis rather than literal rule mirroring.</w:t>
      </w:r>
    </w:p>
    <w:p>
      <w:pPr>
        <w:keepNext/>
        <w:spacing w:before="240" w:after="120"/>
      </w:pPr>
      <w:r>
        <w:rPr>
          <w:rFonts w:ascii="Times New Roman" w:hAnsi="Times New Roman"/>
          <w:b/>
          <w:color w:val="366092"/>
          <w:sz w:val="26"/>
        </w:rPr>
        <w:t>1.1.4 Enterprise Workload Context</w:t>
      </w:r>
    </w:p>
    <w:p>
      <w:pPr>
        <w:spacing w:after="120" w:line="300" w:lineRule="auto"/>
      </w:pPr>
      <w:r>
        <w:rPr>
          <w:rFonts w:ascii="Times New Roman" w:hAnsi="Times New Roman"/>
          <w:sz w:val="24"/>
        </w:rPr>
        <w:t>To demonstrate and evaluate the architecture, this project employs a representative three-tier enterprise workload:</w:t>
      </w:r>
    </w:p>
    <w:p>
      <w:pPr>
        <w:pStyle w:val="ListNumber"/>
        <w:spacing w:after="80"/>
        <w:ind w:left="360"/>
      </w:pPr>
      <w:r>
        <w:rPr>
          <w:rFonts w:ascii="Times New Roman" w:hAnsi="Times New Roman"/>
          <w:b/>
          <w:sz w:val="24"/>
        </w:rPr>
        <w:t>Presentation (Web) Tier</w:t>
      </w:r>
      <w:r>
        <w:rPr>
          <w:rFonts w:ascii="Times New Roman" w:hAnsi="Times New Roman"/>
          <w:sz w:val="24"/>
        </w:rPr>
        <w:t>: Receives user requests via an approved public entry point (Application Load Balancer / Nginx reverse proxy).</w:t>
      </w:r>
    </w:p>
    <w:p>
      <w:pPr>
        <w:pStyle w:val="ListNumber"/>
        <w:spacing w:after="80"/>
        <w:ind w:left="360"/>
      </w:pPr>
      <w:r>
        <w:rPr>
          <w:rFonts w:ascii="Times New Roman" w:hAnsi="Times New Roman"/>
          <w:b/>
          <w:sz w:val="24"/>
        </w:rPr>
        <w:t>Application Tier</w:t>
      </w:r>
      <w:r>
        <w:rPr>
          <w:rFonts w:ascii="Times New Roman" w:hAnsi="Times New Roman"/>
          <w:sz w:val="24"/>
        </w:rPr>
        <w:t>: Processes business logic and manages inter-cloud API communications.</w:t>
      </w:r>
    </w:p>
    <w:p>
      <w:pPr>
        <w:pStyle w:val="ListNumber"/>
        <w:spacing w:after="80"/>
        <w:ind w:left="360"/>
      </w:pPr>
      <w:r>
        <w:rPr>
          <w:rFonts w:ascii="Times New Roman" w:hAnsi="Times New Roman"/>
          <w:b/>
          <w:sz w:val="24"/>
        </w:rPr>
        <w:t>Data Tier</w:t>
      </w:r>
      <w:r>
        <w:rPr>
          <w:rFonts w:ascii="Times New Roman" w:hAnsi="Times New Roman"/>
          <w:sz w:val="24"/>
        </w:rPr>
        <w:t>: Stores persistent enterprise data (PostgreSQL database).</w:t>
      </w:r>
    </w:p>
    <w:p>
      <w:pPr>
        <w:spacing w:after="120" w:line="300" w:lineRule="auto"/>
      </w:pPr>
      <w:r>
        <w:rPr>
          <w:rFonts w:ascii="Times New Roman" w:hAnsi="Times New Roman"/>
          <w:sz w:val="24"/>
        </w:rPr>
        <w:t>Security segmentation dictates that external users communicate only with the web tier, the web tier communicates exclusively with the application tier on specific ports, and the database is accessible solely from the application tier. The database is strictly isolated from direct public Internet access and unapproved cross-cloud segments.</w:t>
      </w:r>
    </w:p>
    <w:p>
      <w:pPr>
        <w:keepNext/>
        <w:spacing w:before="240" w:after="120"/>
      </w:pPr>
      <w:r>
        <w:rPr>
          <w:rFonts w:ascii="Times New Roman" w:hAnsi="Times New Roman"/>
          <w:b/>
          <w:color w:val="366092"/>
          <w:sz w:val="26"/>
        </w:rPr>
        <w:t>1.1.5 Security Implications of Multi-Cloud Connectivity</w:t>
      </w:r>
    </w:p>
    <w:p>
      <w:pPr>
        <w:spacing w:after="120" w:line="300" w:lineRule="auto"/>
      </w:pPr>
      <w:r>
        <w:rPr>
          <w:rFonts w:ascii="Times New Roman" w:hAnsi="Times New Roman"/>
          <w:sz w:val="24"/>
        </w:rPr>
        <w:t>The primary security challenge in multi-cloud networking is that inter-cloud tunnels (such as IPsec VPNs) establish IP reachability without enforcing application-level authorisation. Overly permissive routing or security rules allow compromised workloads in one cloud to scan or move laterally into another. Furthermore, fragmented identity platforms create credential duplication and privilege sprawl, while disparate logging formats impede cross-cloud threat visibility and incident reconstruction.</w:t>
      </w:r>
    </w:p>
    <w:p>
      <w:pPr>
        <w:spacing w:after="120" w:line="300" w:lineRule="auto"/>
      </w:pPr>
      <w:r>
        <w:rPr>
          <w:rFonts w:ascii="Times New Roman" w:hAnsi="Times New Roman"/>
          <w:sz w:val="24"/>
        </w:rPr>
        <w:t xml:space="preserve">These vulnerabilities support adopting </w:t>
      </w:r>
      <w:r>
        <w:rPr>
          <w:rFonts w:ascii="Times New Roman" w:hAnsi="Times New Roman"/>
          <w:b/>
          <w:sz w:val="24"/>
        </w:rPr>
        <w:t>Zero Trust Architecture</w:t>
      </w:r>
      <w:r>
        <w:rPr>
          <w:rFonts w:ascii="Times New Roman" w:hAnsi="Times New Roman"/>
          <w:sz w:val="24"/>
        </w:rPr>
        <w:t xml:space="preserve"> principles (NIST SP 800-207; Rose et al., 2020; NIST SP 800-207A; Chandramouli &amp; Butcher, 2023). Zero Trust removes implicit trust based on network location, requiring explicit authentication, continuous policy evaluation, and micro-segmentation for every access request.</w:t>
      </w:r>
    </w:p>
    <w:p>
      <w:pPr>
        <w:keepNext/>
        <w:spacing w:before="240" w:after="120"/>
      </w:pPr>
      <w:r>
        <w:rPr>
          <w:rFonts w:ascii="Times New Roman" w:hAnsi="Times New Roman"/>
          <w:b/>
          <w:color w:val="366092"/>
          <w:sz w:val="26"/>
        </w:rPr>
        <w:t>1.1.6 Infrastructure as Code and Reproducibility</w:t>
      </w:r>
    </w:p>
    <w:p>
      <w:pPr>
        <w:spacing w:after="120" w:line="300" w:lineRule="auto"/>
      </w:pPr>
      <w:r>
        <w:rPr>
          <w:rFonts w:ascii="Times New Roman" w:hAnsi="Times New Roman"/>
          <w:sz w:val="24"/>
        </w:rPr>
        <w:t xml:space="preserve">Manual portal configuration in multi-cloud environments causes configuration drift, undocumented firewall exceptions, and non-reproducible deployments. Infrastructure as Code (IaC) resolves these issues by defining cloud infrastructure in declarative, version-controlled scripts. </w:t>
      </w:r>
      <w:r>
        <w:rPr>
          <w:rFonts w:ascii="Times New Roman" w:hAnsi="Times New Roman"/>
          <w:b/>
          <w:sz w:val="24"/>
        </w:rPr>
        <w:t>Terraform by HashiCorp</w:t>
      </w:r>
      <w:r>
        <w:rPr>
          <w:rFonts w:ascii="Times New Roman" w:hAnsi="Times New Roman"/>
          <w:sz w:val="24"/>
        </w:rPr>
        <w:t xml:space="preserve"> is selected for this project because its provider ecosystem allows AWS and Azure resources to be orchestrated within a unified codebase.</w:t>
      </w:r>
    </w:p>
    <w:p>
      <w:pPr>
        <w:keepNext/>
        <w:spacing w:before="240" w:after="120"/>
      </w:pPr>
      <w:r>
        <w:rPr>
          <w:rFonts w:ascii="Times New Roman" w:hAnsi="Times New Roman"/>
          <w:b/>
          <w:color w:val="366092"/>
          <w:sz w:val="26"/>
        </w:rPr>
        <w:t>1.1.7 Need for an Implemented and Evaluated Reference Architecture</w:t>
      </w:r>
    </w:p>
    <w:p>
      <w:pPr>
        <w:spacing w:after="120" w:line="300" w:lineRule="auto"/>
      </w:pPr>
      <w:r>
        <w:rPr>
          <w:rFonts w:ascii="Times New Roman" w:hAnsi="Times New Roman"/>
          <w:sz w:val="24"/>
        </w:rPr>
        <w:t>While vendor documentation provides guidance for individual AWS or Azure products, vendor materials rarely offer an independent academic evaluation of an integrated, multi-provider architecture. Similarly, Zero Trust literature describes abstract principles but lacks concrete, reproducible implementation guides for combined AWS–Azure deployments. This project bridges that gap by providing a lab-scale, fully codified, and empirically evaluated AWS–Azure reference architecture.</w:t>
      </w:r>
    </w:p>
    <w:p>
      <w:pPr>
        <w:spacing w:before="120" w:after="120"/>
      </w:pPr>
      <w:r>
        <w:rPr>
          <w:color w:val="CCCCCC"/>
        </w:rPr>
        <w:t>――――――――――――――――――――――――――――――――――――――――――――――――――</w:t>
      </w:r>
    </w:p>
    <w:p>
      <w:pPr>
        <w:keepNext/>
        <w:spacing w:before="280" w:after="160"/>
      </w:pPr>
      <w:r>
        <w:rPr>
          <w:rFonts w:ascii="Times New Roman" w:hAnsi="Times New Roman"/>
          <w:b/>
          <w:color w:val="1F497D"/>
          <w:sz w:val="30"/>
        </w:rPr>
        <w:t>1.2 Conceptual Foundation of the Project</w:t>
      </w:r>
    </w:p>
    <w:p>
      <w:pPr>
        <w:spacing w:after="120" w:line="300" w:lineRule="auto"/>
      </w:pPr>
      <w:r>
        <w:rPr>
          <w:rFonts w:ascii="Times New Roman" w:hAnsi="Times New Roman"/>
          <w:sz w:val="24"/>
        </w:rPr>
        <w:t>The conceptual framework connects five core elements: Enterprise Requirements, Security &amp; Regulatory Drivers, System Architecture, Automated Implementation, and Empirical Evaluation.</w:t>
      </w:r>
    </w:p>
    <w:p>
      <w:pPr>
        <w:keepNext/>
        <w:spacing w:before="240" w:after="80"/>
        <w:jc w:val="center"/>
      </w:pPr>
      <w:r>
        <w:drawing>
          <wp:inline xmlns:a="http://schemas.openxmlformats.org/drawingml/2006/main" xmlns:pic="http://schemas.openxmlformats.org/drawingml/2006/picture">
            <wp:extent cx="5486400" cy="3269673"/>
            <wp:docPr id="1" name="Picture 1"/>
            <wp:cNvGraphicFramePr>
              <a:graphicFrameLocks noChangeAspect="1"/>
            </wp:cNvGraphicFramePr>
            <a:graphic>
              <a:graphicData uri="http://schemas.openxmlformats.org/drawingml/2006/picture">
                <pic:pic>
                  <pic:nvPicPr>
                    <pic:cNvPr id="0" name="fig1_1_conceptual_framework.png"/>
                    <pic:cNvPicPr/>
                  </pic:nvPicPr>
                  <pic:blipFill>
                    <a:blip r:embed="rId9"/>
                    <a:stretch>
                      <a:fillRect/>
                    </a:stretch>
                  </pic:blipFill>
                  <pic:spPr>
                    <a:xfrm>
                      <a:off x="0" y="0"/>
                      <a:ext cx="5486400" cy="3269673"/>
                    </a:xfrm>
                    <a:prstGeom prst="rect"/>
                  </pic:spPr>
                </pic:pic>
              </a:graphicData>
            </a:graphic>
          </wp:inline>
        </w:drawing>
      </w:r>
    </w:p>
    <w:p>
      <w:pPr>
        <w:spacing w:after="120" w:line="300" w:lineRule="auto"/>
        <w:jc w:val="center"/>
      </w:pPr>
      <w:r>
        <w:rPr>
          <w:rFonts w:ascii="Times New Roman" w:hAnsi="Times New Roman"/>
          <w:b/>
          <w:sz w:val="24"/>
        </w:rPr>
        <w:t>Figure 1.1: Conceptual Framework for the Secure AWS–Azure Multi-Cloud Project</w:t>
      </w:r>
    </w:p>
    <w:p>
      <w:pPr>
        <w:spacing w:after="120" w:line="300" w:lineRule="auto"/>
      </w:pPr>
      <w:r>
        <w:rPr>
          <w:rFonts w:ascii="Times New Roman" w:hAnsi="Times New Roman"/>
          <w:sz w:val="24"/>
        </w:rPr>
        <w:t>The iterative feedback loop ensures that initial design flaws (such as permissive routes or failover bottlenecks identified during testing) lead to code refinement and redeployment, reflecting Design Science Research Methodology (DSRM).</w:t>
      </w:r>
    </w:p>
    <w:p>
      <w:pPr>
        <w:spacing w:before="120" w:after="120"/>
      </w:pPr>
      <w:r>
        <w:rPr>
          <w:color w:val="CCCCCC"/>
        </w:rPr>
        <w:t>――――――――――――――――――――――――――――――――――――――――――――――――――</w:t>
      </w:r>
    </w:p>
    <w:p>
      <w:pPr>
        <w:keepNext/>
        <w:spacing w:before="280" w:after="160"/>
      </w:pPr>
      <w:r>
        <w:rPr>
          <w:rFonts w:ascii="Times New Roman" w:hAnsi="Times New Roman"/>
          <w:b/>
          <w:color w:val="1F497D"/>
          <w:sz w:val="30"/>
        </w:rPr>
        <w:t>1.3 Statement of the Problem</w:t>
      </w:r>
    </w:p>
    <w:p>
      <w:pPr>
        <w:spacing w:after="120" w:line="300" w:lineRule="auto"/>
      </w:pPr>
      <w:r>
        <w:rPr>
          <w:rFonts w:ascii="Times New Roman" w:hAnsi="Times New Roman"/>
          <w:sz w:val="24"/>
        </w:rPr>
        <w:t>Enterprises deploying AWS and Azure concurrently often establish inter-cloud connectivity incrementally to satisfy immediate operational demands. Over time, this ad-hoc expansion results in:</w:t>
      </w:r>
    </w:p>
    <w:p>
      <w:pPr>
        <w:pStyle w:val="ListNumber"/>
        <w:spacing w:after="80"/>
        <w:ind w:left="360"/>
      </w:pPr>
      <w:r>
        <w:rPr>
          <w:rFonts w:ascii="Times New Roman" w:hAnsi="Times New Roman"/>
          <w:b/>
          <w:sz w:val="24"/>
        </w:rPr>
        <w:t>Inconsistent Security-Policy Enforcement</w:t>
      </w:r>
      <w:r>
        <w:rPr>
          <w:rFonts w:ascii="Times New Roman" w:hAnsi="Times New Roman"/>
          <w:sz w:val="24"/>
        </w:rPr>
        <w:t>: Equivalent security intent (e.g., blocking web-to-database access) is configured inconsistently across AWS Security Groups and Azure NSGs.</w:t>
      </w:r>
    </w:p>
    <w:p>
      <w:pPr>
        <w:pStyle w:val="ListNumber"/>
        <w:spacing w:after="80"/>
        <w:ind w:left="360"/>
      </w:pPr>
      <w:r>
        <w:rPr>
          <w:rFonts w:ascii="Times New Roman" w:hAnsi="Times New Roman"/>
          <w:b/>
          <w:sz w:val="24"/>
        </w:rPr>
        <w:t>Fragmented Identity Management</w:t>
      </w:r>
      <w:r>
        <w:rPr>
          <w:rFonts w:ascii="Times New Roman" w:hAnsi="Times New Roman"/>
          <w:sz w:val="24"/>
        </w:rPr>
        <w:t>: Duplicate user accounts, static credentials, and uncoordinated role permissions lead to excessive administrative privileges and audit gaps.</w:t>
      </w:r>
    </w:p>
    <w:p>
      <w:pPr>
        <w:pStyle w:val="ListNumber"/>
        <w:spacing w:after="80"/>
        <w:ind w:left="360"/>
      </w:pPr>
      <w:r>
        <w:rPr>
          <w:rFonts w:ascii="Times New Roman" w:hAnsi="Times New Roman"/>
          <w:b/>
          <w:sz w:val="24"/>
        </w:rPr>
        <w:t>Unrestricted Network Reachability and Expanded Attack Surface</w:t>
      </w:r>
      <w:r>
        <w:rPr>
          <w:rFonts w:ascii="Times New Roman" w:hAnsi="Times New Roman"/>
          <w:sz w:val="24"/>
        </w:rPr>
        <w:t>: IPsec VPNs establish broad IP routing between cloud environments without enforcing explicit application-level or tier-level micro-segmentation, creating paths for lateral movement.</w:t>
      </w:r>
    </w:p>
    <w:p>
      <w:pPr>
        <w:pStyle w:val="ListNumber"/>
        <w:spacing w:after="80"/>
        <w:ind w:left="360"/>
      </w:pPr>
      <w:r>
        <w:rPr>
          <w:rFonts w:ascii="Times New Roman" w:hAnsi="Times New Roman"/>
          <w:b/>
          <w:sz w:val="24"/>
        </w:rPr>
        <w:t>Dispersed Monitoring and Low Visibility</w:t>
      </w:r>
      <w:r>
        <w:rPr>
          <w:rFonts w:ascii="Times New Roman" w:hAnsi="Times New Roman"/>
          <w:sz w:val="24"/>
        </w:rPr>
        <w:t>: Telemetry remains trapped in separate native portals (CloudWatch/CloudTrail vs. Azure Monitor/Log Analytics), delaying cross-cloud detection and response.</w:t>
      </w:r>
    </w:p>
    <w:p>
      <w:pPr>
        <w:pStyle w:val="ListNumber"/>
        <w:spacing w:after="80"/>
        <w:ind w:left="360"/>
      </w:pPr>
      <w:r>
        <w:rPr>
          <w:rFonts w:ascii="Times New Roman" w:hAnsi="Times New Roman"/>
          <w:b/>
          <w:sz w:val="24"/>
        </w:rPr>
        <w:t>Unverified Resilience</w:t>
      </w:r>
      <w:r>
        <w:rPr>
          <w:rFonts w:ascii="Times New Roman" w:hAnsi="Times New Roman"/>
          <w:sz w:val="24"/>
        </w:rPr>
        <w:t>: High availability is assumed based on the presence of two cloud providers, but path failover and Recovery Time Objectives (RTO) are rarely tested empirically under failure conditions.</w:t>
      </w:r>
    </w:p>
    <w:p>
      <w:pPr>
        <w:pStyle w:val="ListNumber"/>
        <w:spacing w:after="80"/>
        <w:ind w:left="360"/>
      </w:pPr>
      <w:r>
        <w:rPr>
          <w:rFonts w:ascii="Times New Roman" w:hAnsi="Times New Roman"/>
          <w:b/>
          <w:sz w:val="24"/>
        </w:rPr>
        <w:t>Regulatory Compliance Uncertainty</w:t>
      </w:r>
      <w:r>
        <w:rPr>
          <w:rFonts w:ascii="Times New Roman" w:hAnsi="Times New Roman"/>
          <w:sz w:val="24"/>
        </w:rPr>
        <w:t>: In the Nigerian context, ungoverned inter-cloud data flows make it difficult to demonstrate compliance with the National Cloud Policy 2025 and NDPA 2023 cross-border data protection mandates.</w:t>
      </w:r>
    </w:p>
    <w:p>
      <w:pPr>
        <w:spacing w:after="120" w:line="300" w:lineRule="auto"/>
      </w:pPr>
      <w:r>
        <w:rPr>
          <w:rFonts w:ascii="Times New Roman" w:hAnsi="Times New Roman"/>
          <w:b/>
          <w:sz w:val="24"/>
        </w:rPr>
        <w:t>The specific problem addressed by this project</w:t>
      </w:r>
      <w:r>
        <w:rPr>
          <w:rFonts w:ascii="Times New Roman" w:hAnsi="Times New Roman"/>
          <w:sz w:val="24"/>
        </w:rPr>
        <w:t xml:space="preserve"> is the lack of a practical, reproducible, and empirically evaluated AWS–Azure reference architecture that integrates encrypted inter-cloud networking, workload segmentation, federated identity, centralised observability, and Infrastructure as Code for a representative enterprise workload.</w:t>
      </w:r>
    </w:p>
    <w:p>
      <w:pPr>
        <w:spacing w:before="120" w:after="120"/>
      </w:pPr>
      <w:r>
        <w:rPr>
          <w:color w:val="CCCCCC"/>
        </w:rPr>
        <w:t>――――――――――――――――――――――――――――――――――――――――――――――――――</w:t>
      </w:r>
    </w:p>
    <w:p>
      <w:pPr>
        <w:keepNext/>
        <w:spacing w:before="280" w:after="160"/>
      </w:pPr>
      <w:r>
        <w:rPr>
          <w:rFonts w:ascii="Times New Roman" w:hAnsi="Times New Roman"/>
          <w:b/>
          <w:color w:val="1F497D"/>
          <w:sz w:val="30"/>
        </w:rPr>
        <w:t>1.4 Aim and Objectives of the Project</w:t>
      </w:r>
    </w:p>
    <w:p>
      <w:pPr>
        <w:keepNext/>
        <w:spacing w:before="240" w:after="120"/>
      </w:pPr>
      <w:r>
        <w:rPr>
          <w:rFonts w:ascii="Times New Roman" w:hAnsi="Times New Roman"/>
          <w:b/>
          <w:color w:val="366092"/>
          <w:sz w:val="26"/>
        </w:rPr>
        <w:t>1.4.1 Aim</w:t>
      </w:r>
    </w:p>
    <w:p>
      <w:pPr>
        <w:spacing w:after="120" w:line="300" w:lineRule="auto"/>
      </w:pPr>
      <w:r>
        <w:rPr>
          <w:rFonts w:ascii="Times New Roman" w:hAnsi="Times New Roman"/>
          <w:sz w:val="24"/>
        </w:rPr>
        <w:t xml:space="preserve">The aim of this project is to </w:t>
      </w:r>
      <w:r>
        <w:rPr>
          <w:rFonts w:ascii="Times New Roman" w:hAnsi="Times New Roman"/>
          <w:b/>
          <w:sz w:val="24"/>
        </w:rPr>
        <w:t>design, implement, and evaluate a secure, resilient, and compliant AWS–Azure multi-cloud architecture for a representative enterprise workload using Zero Trust principles, defence-in-depth security, and Infrastructure as Code</w:t>
      </w:r>
      <w:r>
        <w:rPr>
          <w:rFonts w:ascii="Times New Roman" w:hAnsi="Times New Roman"/>
          <w:sz w:val="24"/>
        </w:rPr>
        <w:t>.</w:t>
      </w:r>
    </w:p>
    <w:p>
      <w:pPr>
        <w:keepNext/>
        <w:spacing w:before="240" w:after="120"/>
      </w:pPr>
      <w:r>
        <w:rPr>
          <w:rFonts w:ascii="Times New Roman" w:hAnsi="Times New Roman"/>
          <w:b/>
          <w:color w:val="366092"/>
          <w:sz w:val="26"/>
        </w:rPr>
        <w:t>1.4.2 Objectives</w:t>
      </w:r>
    </w:p>
    <w:p>
      <w:pPr>
        <w:pStyle w:val="ListNumber"/>
        <w:spacing w:after="80"/>
        <w:ind w:left="360"/>
      </w:pPr>
      <w:r>
        <w:rPr>
          <w:rFonts w:ascii="Times New Roman" w:hAnsi="Times New Roman"/>
          <w:b/>
          <w:sz w:val="24"/>
        </w:rPr>
        <w:t>To critically review</w:t>
      </w:r>
      <w:r>
        <w:rPr>
          <w:rFonts w:ascii="Times New Roman" w:hAnsi="Times New Roman"/>
          <w:sz w:val="24"/>
        </w:rPr>
        <w:t xml:space="preserve"> relevant multi-cloud architectures, interconnection strategies, Zero Trust frameworks (NIST SP 800-207/207A, CSA CCM v4.1), and Nigerian regulatory standards (NDPA 2023, National Cloud Policy 2025) to establish the technical gap.</w:t>
      </w:r>
    </w:p>
    <w:p>
      <w:pPr>
        <w:pStyle w:val="ListNumber"/>
        <w:spacing w:after="80"/>
        <w:ind w:left="360"/>
      </w:pPr>
      <w:r>
        <w:rPr>
          <w:rFonts w:ascii="Times New Roman" w:hAnsi="Times New Roman"/>
          <w:b/>
          <w:sz w:val="24"/>
        </w:rPr>
        <w:t>To design</w:t>
      </w:r>
      <w:r>
        <w:rPr>
          <w:rFonts w:ascii="Times New Roman" w:hAnsi="Times New Roman"/>
          <w:sz w:val="24"/>
        </w:rPr>
        <w:t xml:space="preserve"> a secure hub-and-spoke AWS–Azure architecture incorporating network segmentation, encrypted inter-cloud connectivity, federated identity controls, and centralised observability for a representative three-tier workload.</w:t>
      </w:r>
    </w:p>
    <w:p>
      <w:pPr>
        <w:pStyle w:val="ListNumber"/>
        <w:spacing w:after="80"/>
        <w:ind w:left="360"/>
      </w:pPr>
      <w:r>
        <w:rPr>
          <w:rFonts w:ascii="Times New Roman" w:hAnsi="Times New Roman"/>
          <w:b/>
          <w:sz w:val="24"/>
        </w:rPr>
        <w:t>To implement</w:t>
      </w:r>
      <w:r>
        <w:rPr>
          <w:rFonts w:ascii="Times New Roman" w:hAnsi="Times New Roman"/>
          <w:sz w:val="24"/>
        </w:rPr>
        <w:t xml:space="preserve"> the proposed architecture using modular, parameterised Terraform Infrastructure as Code across AWS and Azure.</w:t>
      </w:r>
    </w:p>
    <w:p>
      <w:pPr>
        <w:pStyle w:val="ListNumber"/>
        <w:spacing w:after="80"/>
        <w:ind w:left="360"/>
      </w:pPr>
      <w:r>
        <w:rPr>
          <w:rFonts w:ascii="Times New Roman" w:hAnsi="Times New Roman"/>
          <w:b/>
          <w:sz w:val="24"/>
        </w:rPr>
        <w:t>To configure and validate</w:t>
      </w:r>
      <w:r>
        <w:rPr>
          <w:rFonts w:ascii="Times New Roman" w:hAnsi="Times New Roman"/>
          <w:sz w:val="24"/>
        </w:rPr>
        <w:t xml:space="preserve"> Zero Trust and defence-in-depth security controls, including deny-by-default traffic rules, least-privilege identity roles, storage/transit encryption, and central audit logging.</w:t>
      </w:r>
    </w:p>
    <w:p>
      <w:pPr>
        <w:pStyle w:val="ListNumber"/>
        <w:spacing w:after="80"/>
        <w:ind w:left="360"/>
      </w:pPr>
      <w:r>
        <w:rPr>
          <w:rFonts w:ascii="Times New Roman" w:hAnsi="Times New Roman"/>
          <w:b/>
          <w:sz w:val="24"/>
        </w:rPr>
        <w:t>To empirically test and evaluate</w:t>
      </w:r>
      <w:r>
        <w:rPr>
          <w:rFonts w:ascii="Times New Roman" w:hAnsi="Times New Roman"/>
          <w:sz w:val="24"/>
        </w:rPr>
        <w:t xml:space="preserve"> the implemented architecture using automated configuration scanning (Prowler, ScoutSuite), network performance testing (ping, iperf3), and controlled connectivity failover simulation.</w:t>
      </w:r>
    </w:p>
    <w:p>
      <w:pPr>
        <w:spacing w:before="120" w:after="120"/>
      </w:pPr>
      <w:r>
        <w:rPr>
          <w:color w:val="CCCCCC"/>
        </w:rPr>
        <w:t>――――――――――――――――――――――――――――――――――――――――――――――――――</w:t>
      </w:r>
    </w:p>
    <w:p>
      <w:pPr>
        <w:keepNext/>
        <w:spacing w:before="280" w:after="160"/>
      </w:pPr>
      <w:r>
        <w:rPr>
          <w:rFonts w:ascii="Times New Roman" w:hAnsi="Times New Roman"/>
          <w:b/>
          <w:color w:val="1F497D"/>
          <w:sz w:val="30"/>
        </w:rPr>
        <w:t>1.5 Scope of the Project</w:t>
      </w:r>
    </w:p>
    <w:p>
      <w:pPr>
        <w:pStyle w:val="ListBullet"/>
        <w:spacing w:after="80"/>
        <w:ind w:left="360"/>
      </w:pPr>
      <w:r>
        <w:rPr>
          <w:rFonts w:ascii="Times New Roman" w:hAnsi="Times New Roman"/>
          <w:b/>
          <w:sz w:val="24"/>
        </w:rPr>
        <w:t>Technical Scope</w:t>
      </w:r>
      <w:r>
        <w:rPr>
          <w:rFonts w:ascii="Times New Roman" w:hAnsi="Times New Roman"/>
          <w:sz w:val="24"/>
        </w:rPr>
        <w:t>: Focuses on AWS and Microsoft Azure IaaS/PaaS networking, AWS Transit Gateway, AWS Site-to-Site VPN, Azure VPN Gateway, route-based IPsec with BGP, Microsoft Entra ID to AWS IAM Identity Center federation, AWS KMS/Azure Key Vault, and logging services.</w:t>
      </w:r>
    </w:p>
    <w:p>
      <w:pPr>
        <w:pStyle w:val="ListBullet"/>
        <w:spacing w:after="80"/>
        <w:ind w:left="360"/>
      </w:pPr>
      <w:r>
        <w:rPr>
          <w:rFonts w:ascii="Times New Roman" w:hAnsi="Times New Roman"/>
          <w:b/>
          <w:sz w:val="24"/>
        </w:rPr>
        <w:t>Workload Scope</w:t>
      </w:r>
      <w:r>
        <w:rPr>
          <w:rFonts w:ascii="Times New Roman" w:hAnsi="Times New Roman"/>
          <w:sz w:val="24"/>
        </w:rPr>
        <w:t>: A proof-of-concept three-tier application (Nginx web reverse proxy, Python Flask application tier, PostgreSQL database tier) using synthetic data.</w:t>
      </w:r>
    </w:p>
    <w:p>
      <w:pPr>
        <w:pStyle w:val="ListBullet"/>
        <w:spacing w:after="80"/>
        <w:ind w:left="360"/>
      </w:pPr>
      <w:r>
        <w:rPr>
          <w:rFonts w:ascii="Times New Roman" w:hAnsi="Times New Roman"/>
          <w:b/>
          <w:sz w:val="24"/>
        </w:rPr>
        <w:t>Security-Testing Scope</w:t>
      </w:r>
      <w:r>
        <w:rPr>
          <w:rFonts w:ascii="Times New Roman" w:hAnsi="Times New Roman"/>
          <w:sz w:val="24"/>
        </w:rPr>
        <w:t>: Configuration scanning using Prowler and ScoutSuite, manual port/path validation, and identity permission verification. Excludes destructive exploitation or third-party penetration testing.</w:t>
      </w:r>
    </w:p>
    <w:p>
      <w:pPr>
        <w:pStyle w:val="ListBullet"/>
        <w:spacing w:after="80"/>
        <w:ind w:left="360"/>
      </w:pPr>
      <w:r>
        <w:rPr>
          <w:rFonts w:ascii="Times New Roman" w:hAnsi="Times New Roman"/>
          <w:b/>
          <w:sz w:val="24"/>
        </w:rPr>
        <w:t>Performance and Resilience Scope</w:t>
      </w:r>
      <w:r>
        <w:rPr>
          <w:rFonts w:ascii="Times New Roman" w:hAnsi="Times New Roman"/>
          <w:sz w:val="24"/>
        </w:rPr>
        <w:t>: Inter-cloud round-trip latency (ping), TCP throughput (iperf3), and measured failover recovery time (RTO) during simulated tunnel failure.</w:t>
      </w:r>
    </w:p>
    <w:p>
      <w:pPr>
        <w:pStyle w:val="ListBullet"/>
        <w:spacing w:after="80"/>
        <w:ind w:left="360"/>
      </w:pPr>
      <w:r>
        <w:rPr>
          <w:rFonts w:ascii="Times New Roman" w:hAnsi="Times New Roman"/>
          <w:b/>
          <w:sz w:val="24"/>
        </w:rPr>
        <w:t>Regulatory Scope</w:t>
      </w:r>
      <w:r>
        <w:rPr>
          <w:rFonts w:ascii="Times New Roman" w:hAnsi="Times New Roman"/>
          <w:sz w:val="24"/>
        </w:rPr>
        <w:t>: Architectural alignment with the Nigeria Data Protection Act 2023 and National Cloud Policy 2025.</w:t>
      </w:r>
    </w:p>
    <w:p>
      <w:pPr>
        <w:pStyle w:val="ListBullet"/>
        <w:spacing w:after="80"/>
        <w:ind w:left="360"/>
      </w:pPr>
      <w:r>
        <w:rPr>
          <w:rFonts w:ascii="Times New Roman" w:hAnsi="Times New Roman"/>
          <w:b/>
          <w:sz w:val="24"/>
        </w:rPr>
        <w:t>Exclusions</w:t>
      </w:r>
      <w:r>
        <w:rPr>
          <w:rFonts w:ascii="Times New Roman" w:hAnsi="Times New Roman"/>
          <w:sz w:val="24"/>
        </w:rPr>
        <w:t>: Integration with GCP or Oracle Cloud, dedicated physical circuits (Direct Connect/ExpressRoute), enterprise SIEM/SOAR platforms, and full production application penetration testing.</w:t>
      </w:r>
    </w:p>
    <w:p>
      <w:pPr>
        <w:spacing w:before="120" w:after="120"/>
      </w:pPr>
      <w:r>
        <w:rPr>
          <w:color w:val="CCCCCC"/>
        </w:rPr>
        <w:t>――――――――――――――――――――――――――――――――――――――――――――――――――</w:t>
      </w:r>
    </w:p>
    <w:p>
      <w:pPr>
        <w:keepNext/>
        <w:spacing w:before="280" w:after="160"/>
      </w:pPr>
      <w:r>
        <w:rPr>
          <w:rFonts w:ascii="Times New Roman" w:hAnsi="Times New Roman"/>
          <w:b/>
          <w:color w:val="1F497D"/>
          <w:sz w:val="30"/>
        </w:rPr>
        <w:t>1.6 Significance of the Project</w:t>
      </w:r>
    </w:p>
    <w:p>
      <w:pPr>
        <w:pStyle w:val="ListBullet"/>
        <w:spacing w:after="80"/>
        <w:ind w:left="360"/>
      </w:pPr>
      <w:r>
        <w:rPr>
          <w:rFonts w:ascii="Times New Roman" w:hAnsi="Times New Roman"/>
          <w:b/>
          <w:sz w:val="24"/>
        </w:rPr>
        <w:t>To Enterprise Organisations</w:t>
      </w:r>
      <w:r>
        <w:rPr>
          <w:rFonts w:ascii="Times New Roman" w:hAnsi="Times New Roman"/>
          <w:sz w:val="24"/>
        </w:rPr>
        <w:t>: Provides an actionable, blueprinted reference architecture for securely connecting AWS and Azure workloads.</w:t>
      </w:r>
    </w:p>
    <w:p>
      <w:pPr>
        <w:pStyle w:val="ListBullet"/>
        <w:spacing w:after="80"/>
        <w:ind w:left="360"/>
      </w:pPr>
      <w:r>
        <w:rPr>
          <w:rFonts w:ascii="Times New Roman" w:hAnsi="Times New Roman"/>
          <w:b/>
          <w:sz w:val="24"/>
        </w:rPr>
        <w:t>To the Nigerian Context</w:t>
      </w:r>
      <w:r>
        <w:rPr>
          <w:rFonts w:ascii="Times New Roman" w:hAnsi="Times New Roman"/>
          <w:sz w:val="24"/>
        </w:rPr>
        <w:t>: Demonstrates how local regulatory requirements (NDPA 2023, National Cloud Policy 2025) can be translated into technical configurations (route tables, encryption keys, RBAC roles).</w:t>
      </w:r>
    </w:p>
    <w:p>
      <w:pPr>
        <w:pStyle w:val="ListBullet"/>
        <w:spacing w:after="80"/>
        <w:ind w:left="360"/>
      </w:pPr>
      <w:r>
        <w:rPr>
          <w:rFonts w:ascii="Times New Roman" w:hAnsi="Times New Roman"/>
          <w:b/>
          <w:sz w:val="24"/>
        </w:rPr>
        <w:t>To Cybersecurity &amp; Cloud Architecture Practice</w:t>
      </w:r>
      <w:r>
        <w:rPr>
          <w:rFonts w:ascii="Times New Roman" w:hAnsi="Times New Roman"/>
          <w:sz w:val="24"/>
        </w:rPr>
        <w:t>: Operationalises Zero Trust principles across multi-cloud boundaries and documents provider-to-provider control mappings.</w:t>
      </w:r>
    </w:p>
    <w:p>
      <w:pPr>
        <w:pStyle w:val="ListBullet"/>
        <w:spacing w:after="80"/>
        <w:ind w:left="360"/>
      </w:pPr>
      <w:r>
        <w:rPr>
          <w:rFonts w:ascii="Times New Roman" w:hAnsi="Times New Roman"/>
          <w:b/>
          <w:sz w:val="24"/>
        </w:rPr>
        <w:t>To IaC Practice</w:t>
      </w:r>
      <w:r>
        <w:rPr>
          <w:rFonts w:ascii="Times New Roman" w:hAnsi="Times New Roman"/>
          <w:sz w:val="24"/>
        </w:rPr>
        <w:t>: Delivers modular, reusable Terraform code demonstrating cross-provider dependency handling and state security.</w:t>
      </w:r>
    </w:p>
    <w:p>
      <w:pPr>
        <w:spacing w:before="120" w:after="120"/>
      </w:pPr>
      <w:r>
        <w:rPr>
          <w:color w:val="CCCCCC"/>
        </w:rPr>
        <w:t>――――――――――――――――――――――――――――――――――――――――――――――――――</w:t>
      </w:r>
    </w:p>
    <w:p>
      <w:pPr>
        <w:keepNext/>
        <w:spacing w:before="280" w:after="160"/>
      </w:pPr>
      <w:r>
        <w:rPr>
          <w:rFonts w:ascii="Times New Roman" w:hAnsi="Times New Roman"/>
          <w:b/>
          <w:color w:val="1F497D"/>
          <w:sz w:val="30"/>
        </w:rPr>
        <w:t>1.7 Organisation of the Report</w:t>
      </w:r>
    </w:p>
    <w:p>
      <w:pPr>
        <w:pStyle w:val="ListBullet"/>
        <w:spacing w:after="80"/>
        <w:ind w:left="360"/>
      </w:pPr>
      <w:r>
        <w:rPr>
          <w:rFonts w:ascii="Times New Roman" w:hAnsi="Times New Roman"/>
          <w:b/>
          <w:sz w:val="24"/>
        </w:rPr>
        <w:t>Chapter One</w:t>
      </w:r>
      <w:r>
        <w:rPr>
          <w:rFonts w:ascii="Times New Roman" w:hAnsi="Times New Roman"/>
          <w:sz w:val="24"/>
        </w:rPr>
        <w:t>: Introduction, Background, Problem Statement, Aim/Objectives, Scope, and Significance.</w:t>
      </w:r>
    </w:p>
    <w:p>
      <w:pPr>
        <w:pStyle w:val="ListBullet"/>
        <w:spacing w:after="80"/>
        <w:ind w:left="360"/>
      </w:pPr>
      <w:r>
        <w:rPr>
          <w:rFonts w:ascii="Times New Roman" w:hAnsi="Times New Roman"/>
          <w:b/>
          <w:sz w:val="24"/>
        </w:rPr>
        <w:t>Chapter Two</w:t>
      </w:r>
      <w:r>
        <w:rPr>
          <w:rFonts w:ascii="Times New Roman" w:hAnsi="Times New Roman"/>
          <w:sz w:val="24"/>
        </w:rPr>
        <w:t>: Literature Review, Technology Context, Critical Analysis, and Gap Analysis.</w:t>
      </w:r>
    </w:p>
    <w:p>
      <w:pPr>
        <w:pStyle w:val="ListBullet"/>
        <w:spacing w:after="80"/>
        <w:ind w:left="360"/>
      </w:pPr>
      <w:r>
        <w:rPr>
          <w:rFonts w:ascii="Times New Roman" w:hAnsi="Times New Roman"/>
          <w:b/>
          <w:sz w:val="24"/>
        </w:rPr>
        <w:t>Chapter Three</w:t>
      </w:r>
      <w:r>
        <w:rPr>
          <w:rFonts w:ascii="Times New Roman" w:hAnsi="Times New Roman"/>
          <w:sz w:val="24"/>
        </w:rPr>
        <w:t>: Methodology (Design Science Research), System Design, Architecture, Network/Identity/Security Models, and Test Design.</w:t>
      </w:r>
    </w:p>
    <w:p>
      <w:pPr>
        <w:pStyle w:val="ListBullet"/>
        <w:spacing w:after="80"/>
        <w:ind w:left="360"/>
      </w:pPr>
      <w:r>
        <w:rPr>
          <w:rFonts w:ascii="Times New Roman" w:hAnsi="Times New Roman"/>
          <w:b/>
          <w:sz w:val="24"/>
        </w:rPr>
        <w:t>Chapter Four</w:t>
      </w:r>
      <w:r>
        <w:rPr>
          <w:rFonts w:ascii="Times New Roman" w:hAnsi="Times New Roman"/>
          <w:sz w:val="24"/>
        </w:rPr>
        <w:t>: System Implementation, Environment Setup, Terraform Code Listings, and Operational Workflows.</w:t>
      </w:r>
    </w:p>
    <w:p>
      <w:pPr>
        <w:pStyle w:val="ListBullet"/>
        <w:spacing w:after="80"/>
        <w:ind w:left="360"/>
      </w:pPr>
      <w:r>
        <w:rPr>
          <w:rFonts w:ascii="Times New Roman" w:hAnsi="Times New Roman"/>
          <w:b/>
          <w:sz w:val="24"/>
        </w:rPr>
        <w:t>Chapter Five</w:t>
      </w:r>
      <w:r>
        <w:rPr>
          <w:rFonts w:ascii="Times New Roman" w:hAnsi="Times New Roman"/>
          <w:sz w:val="24"/>
        </w:rPr>
        <w:t>: Testing, Results, and Empirical Evaluation (Security, Performance, Resilience, and Objective Assessment).</w:t>
      </w:r>
    </w:p>
    <w:p>
      <w:pPr>
        <w:pStyle w:val="ListBullet"/>
        <w:spacing w:after="80"/>
        <w:ind w:left="360"/>
      </w:pPr>
      <w:r>
        <w:rPr>
          <w:rFonts w:ascii="Times New Roman" w:hAnsi="Times New Roman"/>
          <w:b/>
          <w:sz w:val="24"/>
        </w:rPr>
        <w:t>Chapter Six</w:t>
      </w:r>
      <w:r>
        <w:rPr>
          <w:rFonts w:ascii="Times New Roman" w:hAnsi="Times New Roman"/>
          <w:sz w:val="24"/>
        </w:rPr>
        <w:t>: Summary, Conclusions, Professional Contributions, and Practical Recommendations.</w:t>
      </w:r>
    </w:p>
    <w:p>
      <w:pPr>
        <w:spacing w:before="120" w:after="120"/>
      </w:pPr>
      <w:r>
        <w:rPr>
          <w:color w:val="CCCCCC"/>
        </w:rPr>
        <w:t>――――――――――――――――――――――――――――――――――――――――――――――――――</w:t>
      </w:r>
    </w:p>
    <w:p>
      <w:pPr>
        <w:keepNext/>
        <w:spacing w:before="400" w:after="240"/>
      </w:pPr>
      <w:r>
        <w:rPr>
          <w:rFonts w:ascii="Times New Roman" w:hAnsi="Times New Roman"/>
          <w:b/>
          <w:color w:val="1F497D"/>
          <w:sz w:val="36"/>
        </w:rPr>
        <w:t>CHAPTER TWO: LITERATURE REVIEW AND TECHNOLOGY CONTEXT</w:t>
      </w:r>
    </w:p>
    <w:p>
      <w:pPr>
        <w:keepNext/>
        <w:spacing w:before="280" w:after="160"/>
      </w:pPr>
      <w:r>
        <w:rPr>
          <w:rFonts w:ascii="Times New Roman" w:hAnsi="Times New Roman"/>
          <w:b/>
          <w:color w:val="1F497D"/>
          <w:sz w:val="30"/>
        </w:rPr>
        <w:t>2.0 Introduction</w:t>
      </w:r>
    </w:p>
    <w:p>
      <w:pPr>
        <w:spacing w:after="120" w:line="300" w:lineRule="auto"/>
      </w:pPr>
      <w:r>
        <w:rPr>
          <w:rFonts w:ascii="Times New Roman" w:hAnsi="Times New Roman"/>
          <w:sz w:val="24"/>
        </w:rPr>
        <w:t>This chapter critically reviews the theoretical foundations, architectural concepts, platform technologies, security frameworks, and empirical literature relevant to multi-cloud integration between Amazon Web Services (AWS) and Microsoft Azure. In accordance with the MIVA Open University Professional Master’s Project guidelines, this review goes beyond describing cloud technologies; it critically evaluates existing solution patterns, analyzes technological trade-offs, weaves regulatory requirements into technical domains, and defines the research gap addressed by the implemented artefact.</w:t>
      </w:r>
    </w:p>
    <w:p>
      <w:pPr>
        <w:spacing w:after="120" w:line="300" w:lineRule="auto"/>
      </w:pPr>
      <w:r>
        <w:rPr>
          <w:rFonts w:ascii="Times New Roman" w:hAnsi="Times New Roman"/>
          <w:sz w:val="24"/>
        </w:rPr>
        <w:t>The chapter is organized into thirteen structured sections covering conceptual foundations, theoretical frameworks, provider networking models, VPN technologies, Zero Trust architecture, control frameworks (CSA CCM v4.1), Infrastructure as Code (IaC), identity federation, observability, recent empirical literature (2022–2026), comparative solution approaches, critical analysis, and the formal gap analysis. Each major section concludes with a synthesis demonstrating how its findings directly inform the proposed technical artefact.</w:t>
      </w:r>
    </w:p>
    <w:p>
      <w:pPr>
        <w:spacing w:before="120" w:after="120"/>
      </w:pPr>
      <w:r>
        <w:rPr>
          <w:color w:val="CCCCCC"/>
        </w:rPr>
        <w:t>――――――――――――――――――――――――――――――――――――――――――――――――――</w:t>
      </w:r>
    </w:p>
    <w:p>
      <w:pPr>
        <w:keepNext/>
        <w:spacing w:before="280" w:after="160"/>
      </w:pPr>
      <w:r>
        <w:rPr>
          <w:rFonts w:ascii="Times New Roman" w:hAnsi="Times New Roman"/>
          <w:b/>
          <w:color w:val="1F497D"/>
          <w:sz w:val="30"/>
        </w:rPr>
        <w:t>2.1 Conceptual Review</w:t>
      </w:r>
    </w:p>
    <w:p>
      <w:pPr>
        <w:keepNext/>
        <w:spacing w:before="240" w:after="120"/>
      </w:pPr>
      <w:r>
        <w:rPr>
          <w:rFonts w:ascii="Times New Roman" w:hAnsi="Times New Roman"/>
          <w:b/>
          <w:color w:val="366092"/>
          <w:sz w:val="26"/>
        </w:rPr>
        <w:t>2.1.1 Cloud Computing Paradigms and Architectural Abstraction</w:t>
      </w:r>
    </w:p>
    <w:p>
      <w:pPr>
        <w:spacing w:after="120" w:line="300" w:lineRule="auto"/>
      </w:pPr>
      <w:r>
        <w:rPr>
          <w:rFonts w:ascii="Times New Roman" w:hAnsi="Times New Roman"/>
          <w:sz w:val="24"/>
        </w:rPr>
        <w:t>Cloud computing is established as a utility model for delivering compute, storage, network, and software resources over the Internet (Mell &amp; Grance, 2011). Early cloud literature concentrated on elastic resource pooling, operational agility, and capital expenditure reduction (Armbrust et al., 2010; Buyya et al., 2009). However, modern enterprise cloud computing has evolved from simple virtual machine hosting to complex software-defined environments characterized by API-driven provisioning, programmable control planes, and rapid architectural abstraction.</w:t>
      </w:r>
    </w:p>
    <w:p>
      <w:pPr>
        <w:spacing w:after="120" w:line="300" w:lineRule="auto"/>
      </w:pPr>
      <w:r>
        <w:rPr>
          <w:rFonts w:ascii="Times New Roman" w:hAnsi="Times New Roman"/>
          <w:sz w:val="24"/>
        </w:rPr>
        <w:t>From an architectural perspective, this programmability introduces systemic risk. Automated provisioning allows configurations to scale rapidly, but it equally enables security misconfigurations—such as overly permissive route propagation or publicly exposed storage buckets—to replicate across environments instantaneously (Al-Aqrabi et al., 2024). Consequently, cloud architectural maturity requires balancing operational flexibility with automated security governance.</w:t>
      </w:r>
    </w:p>
    <w:p>
      <w:pPr>
        <w:keepNext/>
        <w:spacing w:before="240" w:after="120"/>
      </w:pPr>
      <w:r>
        <w:rPr>
          <w:rFonts w:ascii="Times New Roman" w:hAnsi="Times New Roman"/>
          <w:b/>
          <w:color w:val="366092"/>
          <w:sz w:val="26"/>
        </w:rPr>
        <w:t>2.1.2 Public Cloud Platforms and Enterprise Workloads</w:t>
      </w:r>
    </w:p>
    <w:p>
      <w:pPr>
        <w:spacing w:after="120" w:line="300" w:lineRule="auto"/>
      </w:pPr>
      <w:r>
        <w:rPr>
          <w:rFonts w:ascii="Times New Roman" w:hAnsi="Times New Roman"/>
          <w:sz w:val="24"/>
        </w:rPr>
        <w:t>Public cloud platforms such as AWS and Azure deliver logically isolated, multi-tenant environments supporting diverse enterprise workloads—ranging from customer-facing web portals to sensitive financial processing systems. Unlike experimental applications, enterprise workloads demand strict non-functional controls: high availability, data confidentiality, transactional integrity, operational observability, and regulatory auditability.</w:t>
      </w:r>
    </w:p>
    <w:p>
      <w:pPr>
        <w:spacing w:after="120" w:line="300" w:lineRule="auto"/>
      </w:pPr>
      <w:r>
        <w:rPr>
          <w:rFonts w:ascii="Times New Roman" w:hAnsi="Times New Roman"/>
          <w:sz w:val="24"/>
        </w:rPr>
        <w:t>Traditional three-tier application architecture (presentation, application processing, and data persistence) remains the standard benchmark for enterprise workload segmentation. Separating tiers into distinct network subnets and enforcing explicit traffic filtering limits the blast radius of a security breach. While cloud-native microservices and serverless paradigms are increasingly common, the three-tier workload model provides an optimal, controlled baseline for evaluating inter-cloud network segmentation, routing, and data-plane access controls (Alonso et al., 2023).</w:t>
      </w:r>
    </w:p>
    <w:p>
      <w:pPr>
        <w:keepNext/>
        <w:spacing w:before="240" w:after="120"/>
      </w:pPr>
      <w:r>
        <w:rPr>
          <w:rFonts w:ascii="Times New Roman" w:hAnsi="Times New Roman"/>
          <w:b/>
          <w:color w:val="366092"/>
          <w:sz w:val="26"/>
        </w:rPr>
        <w:t>2.1.3 Multi-Cloud Computing vs. Hybrid Cloud</w:t>
      </w:r>
    </w:p>
    <w:p>
      <w:pPr>
        <w:spacing w:after="120" w:line="300" w:lineRule="auto"/>
      </w:pPr>
      <w:r>
        <w:rPr>
          <w:rFonts w:ascii="Times New Roman" w:hAnsi="Times New Roman"/>
          <w:sz w:val="24"/>
        </w:rPr>
        <w:t>A critical distinction must be maintained between hybrid cloud and multi-cloud architectures. Hybrid cloud integrates public cloud resources with private cloud or on-premises infrastructure. Multi-cloud refers to the concurrent consumption of services from two or more distinct public cloud providers (Petcu, 2013; Grozev &amp; Buyya, 2014; Toosi et al., 2014).</w:t>
      </w:r>
    </w:p>
    <w:p>
      <w:pPr>
        <w:spacing w:after="120" w:line="300" w:lineRule="auto"/>
      </w:pPr>
      <w:r>
        <w:rPr>
          <w:rFonts w:ascii="Times New Roman" w:hAnsi="Times New Roman"/>
          <w:sz w:val="24"/>
        </w:rPr>
        <w:t>Multi-cloud adoption is driven by organizational desires to prevent single-vendor dependency, exploit provider-specific features, optimize costs, and fulfill regional data residency mandates (Alonso et al., 2023). However, multi-cloud environments multiply administrative complexity. Each provider introduces its own API structures, identity models, network constructs, and security services. Operating across these heterogeneous environments without a unified architectural framework creates operational friction, policy inconsistencies, and unmonitored attack vectors.</w:t>
      </w:r>
    </w:p>
    <w:p>
      <w:pPr>
        <w:keepNext/>
        <w:spacing w:before="240" w:after="120"/>
      </w:pPr>
      <w:r>
        <w:rPr>
          <w:rFonts w:ascii="Times New Roman" w:hAnsi="Times New Roman"/>
          <w:b/>
          <w:color w:val="366092"/>
          <w:sz w:val="26"/>
        </w:rPr>
        <w:t>2.1.4 Multi-Cloud Architecture and Sovereign Data Governance</w:t>
      </w:r>
    </w:p>
    <w:p>
      <w:pPr>
        <w:spacing w:after="120" w:line="300" w:lineRule="auto"/>
      </w:pPr>
      <w:r>
        <w:rPr>
          <w:rFonts w:ascii="Times New Roman" w:hAnsi="Times New Roman"/>
          <w:sz w:val="24"/>
        </w:rPr>
        <w:t>A robust multi-cloud architecture is the structured alignment of networks, compute resources, identities, data flows, and security controls across provider boundaries. It must define how components interact, how trust is established, how data is encrypted, and how incidents are detected across disparate platforms.</w:t>
      </w:r>
    </w:p>
    <w:p>
      <w:pPr>
        <w:spacing w:after="120" w:line="300" w:lineRule="auto"/>
      </w:pPr>
      <w:r>
        <w:rPr>
          <w:rFonts w:ascii="Times New Roman" w:hAnsi="Times New Roman"/>
          <w:sz w:val="24"/>
        </w:rPr>
        <w:t xml:space="preserve">In the Nigerian enterprise context, multi-cloud architecture is directly bound to sovereign data governance. The </w:t>
      </w:r>
      <w:r>
        <w:rPr>
          <w:rFonts w:ascii="Times New Roman" w:hAnsi="Times New Roman"/>
          <w:b/>
          <w:sz w:val="24"/>
        </w:rPr>
        <w:t>National Cloud Policy 2025</w:t>
      </w:r>
      <w:r>
        <w:rPr>
          <w:rFonts w:ascii="Times New Roman" w:hAnsi="Times New Roman"/>
          <w:sz w:val="24"/>
        </w:rPr>
        <w:t xml:space="preserve"> (NITDA, 2025) outlines technical expectations for cloud adoption in government and regulated sectors, emphasizing data classification, local sovereignty, and infrastructure resilience. Concurrently, the </w:t>
      </w:r>
      <w:r>
        <w:rPr>
          <w:rFonts w:ascii="Times New Roman" w:hAnsi="Times New Roman"/>
          <w:b/>
          <w:sz w:val="24"/>
        </w:rPr>
        <w:t>Nigeria Data Protection Act (NDPA) 2023</w:t>
      </w:r>
      <w:r>
        <w:rPr>
          <w:rFonts w:ascii="Times New Roman" w:hAnsi="Times New Roman"/>
          <w:sz w:val="24"/>
        </w:rPr>
        <w:t xml:space="preserve"> and the </w:t>
      </w:r>
      <w:r>
        <w:rPr>
          <w:rFonts w:ascii="Times New Roman" w:hAnsi="Times New Roman"/>
          <w:b/>
          <w:sz w:val="24"/>
        </w:rPr>
        <w:t>NDPC General Application and Implementation Directive (GAID) 2025</w:t>
      </w:r>
      <w:r>
        <w:rPr>
          <w:rFonts w:ascii="Times New Roman" w:hAnsi="Times New Roman"/>
          <w:sz w:val="24"/>
        </w:rPr>
        <w:t xml:space="preserve"> mandate statutory accountability for personal data processing, strict cross-border data transfer controls, and demonstrable technical safeguards. Multi-cloud architectures operating in Nigeria cannot treat network routing as purely technical; traffic pathways must be mapped against legal jurisdictions and regulatory compliance baselines.</w:t>
      </w:r>
    </w:p>
    <w:p>
      <w:pPr>
        <w:keepNext/>
        <w:spacing w:before="240" w:after="80"/>
        <w:jc w:val="center"/>
      </w:pPr>
      <w:r>
        <w:drawing>
          <wp:inline xmlns:a="http://schemas.openxmlformats.org/drawingml/2006/main" xmlns:pic="http://schemas.openxmlformats.org/drawingml/2006/picture">
            <wp:extent cx="5486400" cy="3093619"/>
            <wp:docPr id="2" name="Picture 2"/>
            <wp:cNvGraphicFramePr>
              <a:graphicFrameLocks noChangeAspect="1"/>
            </wp:cNvGraphicFramePr>
            <a:graphic>
              <a:graphicData uri="http://schemas.openxmlformats.org/drawingml/2006/picture">
                <pic:pic>
                  <pic:nvPicPr>
                    <pic:cNvPr id="0" name="fig2_1_regulatory_framework.png"/>
                    <pic:cNvPicPr/>
                  </pic:nvPicPr>
                  <pic:blipFill>
                    <a:blip r:embed="rId10"/>
                    <a:stretch>
                      <a:fillRect/>
                    </a:stretch>
                  </pic:blipFill>
                  <pic:spPr>
                    <a:xfrm>
                      <a:off x="0" y="0"/>
                      <a:ext cx="5486400" cy="3093619"/>
                    </a:xfrm>
                    <a:prstGeom prst="rect"/>
                  </pic:spPr>
                </pic:pic>
              </a:graphicData>
            </a:graphic>
          </wp:inline>
        </w:drawing>
      </w:r>
    </w:p>
    <w:p>
      <w:pPr>
        <w:spacing w:after="120" w:line="300" w:lineRule="auto"/>
        <w:jc w:val="center"/>
      </w:pPr>
      <w:r>
        <w:rPr>
          <w:rFonts w:ascii="Times New Roman" w:hAnsi="Times New Roman"/>
          <w:b/>
          <w:sz w:val="24"/>
        </w:rPr>
        <w:t>Figure 2.1: Interconnection of Nigerian Regulatory Frameworks with Multi-Cloud Controls</w:t>
      </w:r>
    </w:p>
    <w:p>
      <w:pPr>
        <w:keepNext/>
        <w:spacing w:before="240" w:after="120"/>
      </w:pPr>
      <w:r>
        <w:rPr>
          <w:rFonts w:ascii="Times New Roman" w:hAnsi="Times New Roman"/>
          <w:b/>
          <w:color w:val="366092"/>
          <w:sz w:val="26"/>
        </w:rPr>
        <w:t>2.1.5 Section Synthesis and Alignment with Proposed Artefact</w:t>
      </w:r>
    </w:p>
    <w:p>
      <w:pPr>
        <w:spacing w:after="120" w:line="300" w:lineRule="auto"/>
      </w:pPr>
      <w:r>
        <w:rPr>
          <w:rFonts w:ascii="Times New Roman" w:hAnsi="Times New Roman"/>
          <w:sz w:val="24"/>
        </w:rPr>
        <w:t>The literature establishes that while multi-cloud computing offers strategic flexibility and vendor independence, its benefits are contingent upon rigorous architectural integration. Uncoordinated multi-cloud adoption generates severe security and operational vulnerabilities.</w:t>
      </w:r>
    </w:p>
    <w:p>
      <w:pPr>
        <w:spacing w:after="120" w:line="300" w:lineRule="auto"/>
      </w:pPr>
      <w:r>
        <w:rPr>
          <w:rFonts w:ascii="Times New Roman" w:hAnsi="Times New Roman"/>
          <w:b/>
          <w:sz w:val="24"/>
        </w:rPr>
        <w:t>Link to Proposed Artefact</w:t>
      </w:r>
      <w:r>
        <w:rPr>
          <w:rFonts w:ascii="Times New Roman" w:hAnsi="Times New Roman"/>
          <w:sz w:val="24"/>
        </w:rPr>
        <w:t>: This insight directly informs the project's decision to deploy a structured, provider-native AWS–Azure hub-and-spoke architecture. Rather than treating AWS and Azure as isolated silos, the artefact unifies them using defined address spaces, explicit inter-cloud routing, and standardized workload segmentation, aligned with Nigerian data protection and cloud policy mandates.</w:t>
      </w:r>
    </w:p>
    <w:p>
      <w:pPr>
        <w:spacing w:before="120" w:after="120"/>
      </w:pPr>
      <w:r>
        <w:rPr>
          <w:color w:val="CCCCCC"/>
        </w:rPr>
        <w:t>――――――――――――――――――――――――――――――――――――――――――――――――――</w:t>
      </w:r>
    </w:p>
    <w:p>
      <w:pPr>
        <w:keepNext/>
        <w:spacing w:before="280" w:after="160"/>
      </w:pPr>
      <w:r>
        <w:rPr>
          <w:rFonts w:ascii="Times New Roman" w:hAnsi="Times New Roman"/>
          <w:b/>
          <w:color w:val="1F497D"/>
          <w:sz w:val="30"/>
        </w:rPr>
        <w:t>2.2 Theoretical Review</w:t>
      </w:r>
    </w:p>
    <w:p>
      <w:pPr>
        <w:keepNext/>
        <w:spacing w:before="240" w:after="120"/>
      </w:pPr>
      <w:r>
        <w:rPr>
          <w:rFonts w:ascii="Times New Roman" w:hAnsi="Times New Roman"/>
          <w:b/>
          <w:color w:val="366092"/>
          <w:sz w:val="26"/>
        </w:rPr>
        <w:t>2.2.1 Design Science Research Methodology (DSRM)</w:t>
      </w:r>
    </w:p>
    <w:p>
      <w:pPr>
        <w:spacing w:after="120" w:line="300" w:lineRule="auto"/>
      </w:pPr>
      <w:r>
        <w:rPr>
          <w:rFonts w:ascii="Times New Roman" w:hAnsi="Times New Roman"/>
          <w:sz w:val="24"/>
        </w:rPr>
        <w:t xml:space="preserve">This project is grounded in </w:t>
      </w:r>
      <w:r>
        <w:rPr>
          <w:rFonts w:ascii="Times New Roman" w:hAnsi="Times New Roman"/>
          <w:b/>
          <w:sz w:val="24"/>
        </w:rPr>
        <w:t>Design Science Research Methodology</w:t>
      </w:r>
      <w:r>
        <w:rPr>
          <w:rFonts w:ascii="Times New Roman" w:hAnsi="Times New Roman"/>
          <w:sz w:val="24"/>
        </w:rPr>
        <w:t xml:space="preserve"> (Hevner et al., 2004; Peffers et al., 2007). DSRM is appropriate for information systems research focused on creating and evaluating innovative technical artefacts—such as models, methods, software code, and implemented architectures—designed to solve explicit organizational problems.</w:t>
      </w:r>
    </w:p>
    <w:p>
      <w:pPr>
        <w:spacing w:after="120" w:line="300" w:lineRule="auto"/>
      </w:pPr>
      <w:r>
        <w:rPr>
          <w:rFonts w:ascii="Times New Roman" w:hAnsi="Times New Roman"/>
          <w:sz w:val="24"/>
        </w:rPr>
        <w:t>DSRM structures the project into six sequential phases: (1) Problem identification and motivation, (2) Definition of solution objectives, (3) Design and development, (4) Demonstration, (5) Evaluation, and (6) Communication. The technical artefact in this project comprises the deployed AWS–Azure infrastructure, modular Terraform code, security rule matrices, identity federation setup, observability pipeline, and empirical test harness.</w:t>
      </w:r>
    </w:p>
    <w:p>
      <w:pPr>
        <w:keepNext/>
        <w:spacing w:before="240" w:after="120"/>
      </w:pPr>
      <w:r>
        <w:rPr>
          <w:rFonts w:ascii="Times New Roman" w:hAnsi="Times New Roman"/>
          <w:b/>
          <w:color w:val="366092"/>
          <w:sz w:val="26"/>
        </w:rPr>
        <w:t>2.2.2 Socio-Technical Systems Theory</w:t>
      </w:r>
    </w:p>
    <w:p>
      <w:pPr>
        <w:spacing w:after="120" w:line="300" w:lineRule="auto"/>
      </w:pPr>
      <w:r>
        <w:rPr>
          <w:rFonts w:ascii="Times New Roman" w:hAnsi="Times New Roman"/>
          <w:sz w:val="24"/>
        </w:rPr>
        <w:t>Enterprise cloud security is inherently socio-technical (Hevner et al., 2004). Technical controls (such as IPsec tunnels, security groups, and IAM policies) operate within human and organizational systems (change management, administrative workflows, compliance audits, and operational oversight). A technically robust architecture can be compromised if human operators use weak credentials, bypass Infrastructure as Code, or ignore security alerts. Conversely, strict governance policies fail if the underlying technical architecture permits unrestricted network traversal. This perspective dictates that the project artefact must include technical automation, clear operational documentation, and formal policy-to-code traceability.</w:t>
      </w:r>
    </w:p>
    <w:p>
      <w:pPr>
        <w:keepNext/>
        <w:spacing w:before="240" w:after="120"/>
      </w:pPr>
      <w:r>
        <w:rPr>
          <w:rFonts w:ascii="Times New Roman" w:hAnsi="Times New Roman"/>
          <w:b/>
          <w:color w:val="366092"/>
          <w:sz w:val="26"/>
        </w:rPr>
        <w:t>2.2.3 Shared Responsibility Theory in Multi-Cloud Contexts</w:t>
      </w:r>
    </w:p>
    <w:p>
      <w:pPr>
        <w:spacing w:after="120" w:line="300" w:lineRule="auto"/>
      </w:pPr>
      <w:r>
        <w:rPr>
          <w:rFonts w:ascii="Times New Roman" w:hAnsi="Times New Roman"/>
          <w:sz w:val="24"/>
        </w:rPr>
        <w:t>The shared-responsibility model defines the division of security obligations between cloud service providers and cloud consumers. In IaaS deployments, providers secure the physical data centers, hypervisors, and core service APIs, while customers are responsible for guest operating systems, network traffic filtering, application code, identity access management, and data protection (Subashini &amp; Kavitha, 2011; Fernandes et al., 2014).</w:t>
      </w:r>
    </w:p>
    <w:p>
      <w:pPr>
        <w:spacing w:after="120" w:line="300" w:lineRule="auto"/>
      </w:pPr>
      <w:r>
        <w:rPr>
          <w:rFonts w:ascii="Times New Roman" w:hAnsi="Times New Roman"/>
          <w:sz w:val="24"/>
        </w:rPr>
        <w:t>In a multi-cloud environment, shared responsibility becomes multi-dimensional. The enterprise must manage two distinct sets of provider SLAs, administrative interfaces, and security configurations. Crucially, customers cannot assume that security configurations in AWS (e.g., Security Groups) auto-translate into Azure (e.g., Network Security Groups). Policies must be engineered specifically for each platform while upholding unified organizational security objectives.</w:t>
      </w:r>
    </w:p>
    <w:p>
      <w:pPr>
        <w:keepNext/>
        <w:spacing w:before="240" w:after="120"/>
      </w:pPr>
      <w:r>
        <w:rPr>
          <w:rFonts w:ascii="Times New Roman" w:hAnsi="Times New Roman"/>
          <w:b/>
          <w:color w:val="366092"/>
          <w:sz w:val="26"/>
        </w:rPr>
        <w:t>2.2.4 Section Synthesis and Alignment with Proposed Artefact</w:t>
      </w:r>
    </w:p>
    <w:p>
      <w:pPr>
        <w:spacing w:after="120" w:line="300" w:lineRule="auto"/>
      </w:pPr>
      <w:r>
        <w:rPr>
          <w:rFonts w:ascii="Times New Roman" w:hAnsi="Times New Roman"/>
          <w:sz w:val="24"/>
        </w:rPr>
        <w:t>Theoretical literature highlights that constructing a multi-cloud solution requires a rigorous research methodology (DSRM), an appreciation of socio-technical governance, and explicit accounting for multi-provider shared responsibility.</w:t>
      </w:r>
    </w:p>
    <w:p>
      <w:pPr>
        <w:spacing w:after="120" w:line="300" w:lineRule="auto"/>
      </w:pPr>
      <w:r>
        <w:rPr>
          <w:rFonts w:ascii="Times New Roman" w:hAnsi="Times New Roman"/>
          <w:b/>
          <w:sz w:val="24"/>
        </w:rPr>
        <w:t>Link to Proposed Artefact</w:t>
      </w:r>
      <w:r>
        <w:rPr>
          <w:rFonts w:ascii="Times New Roman" w:hAnsi="Times New Roman"/>
          <w:sz w:val="24"/>
        </w:rPr>
        <w:t>: The project adopts DSRM as its core lifecycle model, ensuring that every architectural component directly answers a problem identified in Chapter One. The artefact embodies shared responsibility by implementing explicit, audited customer-side security controls across both AWS and Azure using version-controlled Terraform scripts.</w:t>
      </w:r>
    </w:p>
    <w:p>
      <w:pPr>
        <w:spacing w:before="120" w:after="120"/>
      </w:pPr>
      <w:r>
        <w:rPr>
          <w:color w:val="CCCCCC"/>
        </w:rPr>
        <w:t>――――――――――――――――――――――――――――――――――――――――――――――――――</w:t>
      </w:r>
    </w:p>
    <w:p>
      <w:pPr>
        <w:keepNext/>
        <w:spacing w:before="280" w:after="160"/>
      </w:pPr>
      <w:r>
        <w:rPr>
          <w:rFonts w:ascii="Times New Roman" w:hAnsi="Times New Roman"/>
          <w:b/>
          <w:color w:val="1F497D"/>
          <w:sz w:val="30"/>
        </w:rPr>
        <w:t>2.3 Technology Context: AWS and Microsoft Azure</w:t>
      </w:r>
    </w:p>
    <w:p>
      <w:pPr>
        <w:keepNext/>
        <w:spacing w:before="240" w:after="120"/>
      </w:pPr>
      <w:r>
        <w:rPr>
          <w:rFonts w:ascii="Times New Roman" w:hAnsi="Times New Roman"/>
          <w:b/>
          <w:color w:val="366092"/>
          <w:sz w:val="26"/>
        </w:rPr>
        <w:t>2.3.1 AWS Networking and Security Architecture</w:t>
      </w:r>
    </w:p>
    <w:p>
      <w:pPr>
        <w:spacing w:after="120" w:line="300" w:lineRule="auto"/>
      </w:pPr>
      <w:r>
        <w:rPr>
          <w:rFonts w:ascii="Times New Roman" w:hAnsi="Times New Roman"/>
          <w:sz w:val="24"/>
        </w:rPr>
        <w:t>Amazon Web Services provides a robust set of networking and security constructs:</w:t>
      </w:r>
    </w:p>
    <w:p>
      <w:pPr>
        <w:pStyle w:val="ListBullet"/>
        <w:spacing w:after="80"/>
        <w:ind w:left="360"/>
      </w:pPr>
      <w:r>
        <w:rPr>
          <w:rFonts w:ascii="Times New Roman" w:hAnsi="Times New Roman"/>
          <w:b/>
          <w:sz w:val="24"/>
        </w:rPr>
        <w:t>Amazon VPC</w:t>
      </w:r>
      <w:r>
        <w:rPr>
          <w:rFonts w:ascii="Times New Roman" w:hAnsi="Times New Roman"/>
          <w:sz w:val="24"/>
        </w:rPr>
        <w:t>: Logically isolated virtual networks within an AWS Region, defined by IP address blocks (CIDR). Subnets are bound to specific Availability Zones (AZs) for high-availability design.</w:t>
      </w:r>
    </w:p>
    <w:p>
      <w:pPr>
        <w:pStyle w:val="ListBullet"/>
        <w:spacing w:after="80"/>
        <w:ind w:left="360"/>
      </w:pPr>
      <w:r>
        <w:rPr>
          <w:rFonts w:ascii="Times New Roman" w:hAnsi="Times New Roman"/>
          <w:b/>
          <w:sz w:val="24"/>
        </w:rPr>
        <w:t>Stateful Security Groups &amp; Stateless NACLs</w:t>
      </w:r>
      <w:r>
        <w:rPr>
          <w:rFonts w:ascii="Times New Roman" w:hAnsi="Times New Roman"/>
          <w:sz w:val="24"/>
        </w:rPr>
        <w:t>: Security Groups operate at the network interface (ENI) level, enforcing stateful rule evaluation. NACLs operate at the subnet boundary, evaluating stateless inbound/outbound rules sequentially.</w:t>
      </w:r>
    </w:p>
    <w:p>
      <w:pPr>
        <w:pStyle w:val="ListBullet"/>
        <w:spacing w:after="80"/>
        <w:ind w:left="360"/>
      </w:pPr>
      <w:r>
        <w:rPr>
          <w:rFonts w:ascii="Times New Roman" w:hAnsi="Times New Roman"/>
          <w:b/>
          <w:sz w:val="24"/>
        </w:rPr>
        <w:t>AWS Transit Gateway (TGW)</w:t>
      </w:r>
      <w:r>
        <w:rPr>
          <w:rFonts w:ascii="Times New Roman" w:hAnsi="Times New Roman"/>
          <w:sz w:val="24"/>
        </w:rPr>
        <w:t>: A managed regional routing hub connecting multiple VPCs, VPNs, and external networks. Transit Gateway supports custom transit route tables, route propagation control, and dynamic BGP routing, making it the premier AWS construct for hub-and-spoke topologies.</w:t>
      </w:r>
    </w:p>
    <w:p>
      <w:pPr>
        <w:pStyle w:val="ListBullet"/>
        <w:spacing w:after="80"/>
        <w:ind w:left="360"/>
      </w:pPr>
      <w:r>
        <w:rPr>
          <w:rFonts w:ascii="Times New Roman" w:hAnsi="Times New Roman"/>
          <w:b/>
          <w:sz w:val="24"/>
        </w:rPr>
        <w:t>AWS Site-to-Site VPN</w:t>
      </w:r>
      <w:r>
        <w:rPr>
          <w:rFonts w:ascii="Times New Roman" w:hAnsi="Times New Roman"/>
          <w:sz w:val="24"/>
        </w:rPr>
        <w:t>: Provides IPsec-encrypted connectivity between AWS gateways and external endpoints. Standard connections provision two redundant IPsec tunnels for high availability.</w:t>
      </w:r>
    </w:p>
    <w:p>
      <w:pPr>
        <w:keepNext/>
        <w:spacing w:before="240" w:after="120"/>
      </w:pPr>
      <w:r>
        <w:rPr>
          <w:rFonts w:ascii="Times New Roman" w:hAnsi="Times New Roman"/>
          <w:b/>
          <w:color w:val="366092"/>
          <w:sz w:val="26"/>
        </w:rPr>
        <w:t>2.3.2 Microsoft Azure Networking and Security Architecture</w:t>
      </w:r>
    </w:p>
    <w:p>
      <w:pPr>
        <w:spacing w:after="120" w:line="300" w:lineRule="auto"/>
      </w:pPr>
      <w:r>
        <w:rPr>
          <w:rFonts w:ascii="Times New Roman" w:hAnsi="Times New Roman"/>
          <w:sz w:val="24"/>
        </w:rPr>
        <w:t>Microsoft Azure offers equivalent, yet structurally distinct, networking components:</w:t>
      </w:r>
    </w:p>
    <w:p>
      <w:pPr>
        <w:pStyle w:val="ListBullet"/>
        <w:spacing w:after="80"/>
        <w:ind w:left="360"/>
      </w:pPr>
      <w:r>
        <w:rPr>
          <w:rFonts w:ascii="Times New Roman" w:hAnsi="Times New Roman"/>
          <w:b/>
          <w:sz w:val="24"/>
        </w:rPr>
        <w:t>Azure Virtual Network (VNet)</w:t>
      </w:r>
      <w:r>
        <w:rPr>
          <w:rFonts w:ascii="Times New Roman" w:hAnsi="Times New Roman"/>
          <w:sz w:val="24"/>
        </w:rPr>
        <w:t>: The core private network construct in Azure. Unlike AWS subnets, Azure subnets span the entire VNet across all regional Availability Zones.</w:t>
      </w:r>
    </w:p>
    <w:p>
      <w:pPr>
        <w:pStyle w:val="ListBullet"/>
        <w:spacing w:after="80"/>
        <w:ind w:left="360"/>
      </w:pPr>
      <w:r>
        <w:rPr>
          <w:rFonts w:ascii="Times New Roman" w:hAnsi="Times New Roman"/>
          <w:b/>
          <w:sz w:val="24"/>
        </w:rPr>
        <w:t>Network Security Groups (NSGs)</w:t>
      </w:r>
      <w:r>
        <w:rPr>
          <w:rFonts w:ascii="Times New Roman" w:hAnsi="Times New Roman"/>
          <w:sz w:val="24"/>
        </w:rPr>
        <w:t>: Stateful traffic filtering controls attached to subnets or network interfaces. NSGs use prioritized numeric rules.</w:t>
      </w:r>
    </w:p>
    <w:p>
      <w:pPr>
        <w:pStyle w:val="ListBullet"/>
        <w:spacing w:after="80"/>
        <w:ind w:left="360"/>
      </w:pPr>
      <w:r>
        <w:rPr>
          <w:rFonts w:ascii="Times New Roman" w:hAnsi="Times New Roman"/>
          <w:b/>
          <w:sz w:val="24"/>
        </w:rPr>
        <w:t>Azure VPN Gateway</w:t>
      </w:r>
      <w:r>
        <w:rPr>
          <w:rFonts w:ascii="Times New Roman" w:hAnsi="Times New Roman"/>
          <w:sz w:val="24"/>
        </w:rPr>
        <w:t>: A managed virtual network gateway providing encrypted site-to-site, point-to-site, and VNet-to-VNet IPsec connectivity. Route-based gateways support multi-prefix routing and dynamic BGP peerings. Active-active gateway configurations expose two distinct public IPs, enabling dual-tunnel redundancy.</w:t>
      </w:r>
    </w:p>
    <w:p>
      <w:pPr>
        <w:pStyle w:val="ListBullet"/>
        <w:spacing w:after="80"/>
        <w:ind w:left="360"/>
      </w:pPr>
      <w:r>
        <w:rPr>
          <w:rFonts w:ascii="Times New Roman" w:hAnsi="Times New Roman"/>
          <w:b/>
          <w:sz w:val="24"/>
        </w:rPr>
        <w:t>Azure Virtual WAN</w:t>
      </w:r>
      <w:r>
        <w:rPr>
          <w:rFonts w:ascii="Times New Roman" w:hAnsi="Times New Roman"/>
          <w:sz w:val="24"/>
        </w:rPr>
        <w:t>: An enterprise networking service consolidating VPN, ExpressRoute, and virtual hub routing across global regions. While highly scalable, Virtual WAN introduces significant cost and abstraction overhead for standard deployments.</w:t>
      </w:r>
    </w:p>
    <w:p>
      <w:pPr>
        <w:keepNext/>
        <w:spacing w:before="240" w:after="120"/>
      </w:pPr>
      <w:r>
        <w:rPr>
          <w:rFonts w:ascii="Times New Roman" w:hAnsi="Times New Roman"/>
          <w:b/>
          <w:color w:val="366092"/>
          <w:sz w:val="26"/>
        </w:rPr>
        <w:t>2.3.3 Comparative Analysis of AWS and Azure Constructs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Architectural Objective</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AWS Mechanism</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Azure Mechanism</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Technical Comparison &amp; Trade-off</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Isolated Cloud Network</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Amazon VPC</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VNet</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Similar isolation; AWS subnets are AZ-bound, whereas Azure subnets span all regional AZs.</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Stateful Traffic Filtering</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Security Group</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Network Security Group (NSG)</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Both are stateful. AWS SGs permit explicit allow rules only; Azure NSGs allow explicit allow/deny rules with numeric priority ordering.</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Subnet-Level Stateless Filter</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Network ACL</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i/>
                <w:sz w:val="20"/>
              </w:rPr>
              <w:t>No direct equivalent</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NACLs offer stateless subnet filtering; Azure relies on NSGs or Azure Firewall at the subnet boundary.</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Centralized Routing Hub</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Transit Gateway (TGW)</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Virtual WAN / Hub VNet</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TGW provides highly granular route table attachments; Azure Hub VNet uses User-Defined Routes (UDRs) or Virtual WAN managed hubs.</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Managed Encrypted VPN</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Site-to-Site VPN</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VPN Gateway</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Both support route-based IPsec &amp; BGP. AWS defaults to 2 tunnels per connection; Azure active-active provisions 2 gateway instances with dual IPs.</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Identity Governance</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IAM / Identity Center</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Microsoft Entra ID / Azure RBAC</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Entra ID acts as an enterprise IdP; AWS IAM controls resource-level policies via JSON documents. Federation bridges the two.</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Native Audit Telemetry</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CloudTrail, VPC Flow Logs</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Activity Logs, NSG/VNet Flow Logs</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Disparate log formats and schemas; cross-platform aggregation requires centralized Log Analytics or SIEM ingestion.</w:t>
            </w:r>
          </w:p>
        </w:tc>
      </w:tr>
    </w:tbl>
    <w:p>
      <w:pPr>
        <w:keepNext/>
        <w:spacing w:before="240" w:after="120"/>
      </w:pPr>
      <w:r>
        <w:rPr>
          <w:rFonts w:ascii="Times New Roman" w:hAnsi="Times New Roman"/>
          <w:b/>
          <w:color w:val="366092"/>
          <w:sz w:val="26"/>
        </w:rPr>
        <w:t>2.3.4 Section Synthesis and Alignment with Proposed Artefact</w:t>
      </w:r>
    </w:p>
    <w:p>
      <w:pPr>
        <w:spacing w:after="120" w:line="300" w:lineRule="auto"/>
      </w:pPr>
      <w:r>
        <w:rPr>
          <w:rFonts w:ascii="Times New Roman" w:hAnsi="Times New Roman"/>
          <w:sz w:val="24"/>
        </w:rPr>
        <w:t>Direct terminology substitution between AWS and Azure is impossible due to structural differences in routing, subnet binding, and firewall evaluation.</w:t>
      </w:r>
    </w:p>
    <w:p>
      <w:pPr>
        <w:spacing w:after="120" w:line="300" w:lineRule="auto"/>
      </w:pPr>
      <w:r>
        <w:rPr>
          <w:rFonts w:ascii="Times New Roman" w:hAnsi="Times New Roman"/>
          <w:b/>
          <w:sz w:val="24"/>
        </w:rPr>
        <w:t>Link to Proposed Artefact</w:t>
      </w:r>
      <w:r>
        <w:rPr>
          <w:rFonts w:ascii="Times New Roman" w:hAnsi="Times New Roman"/>
          <w:sz w:val="24"/>
        </w:rPr>
        <w:t>: The comparative synthesis dictates that the proposed artefact must use provider-native hub constructs (</w:t>
      </w:r>
      <w:r>
        <w:rPr>
          <w:rFonts w:ascii="Times New Roman" w:hAnsi="Times New Roman"/>
          <w:b/>
          <w:sz w:val="24"/>
        </w:rPr>
        <w:t>AWS Transit Gateway</w:t>
      </w:r>
      <w:r>
        <w:rPr>
          <w:rFonts w:ascii="Times New Roman" w:hAnsi="Times New Roman"/>
          <w:sz w:val="24"/>
        </w:rPr>
        <w:t xml:space="preserve"> and </w:t>
      </w:r>
      <w:r>
        <w:rPr>
          <w:rFonts w:ascii="Times New Roman" w:hAnsi="Times New Roman"/>
          <w:b/>
          <w:sz w:val="24"/>
        </w:rPr>
        <w:t>Azure Hub VNet with Active-Active VPN Gateway</w:t>
      </w:r>
      <w:r>
        <w:rPr>
          <w:rFonts w:ascii="Times New Roman" w:hAnsi="Times New Roman"/>
          <w:sz w:val="24"/>
        </w:rPr>
        <w:t>). The design explicitly reconciles rule-processing differences (stateful SGs vs prioritized NSGs) to ensure consistent security policy enforcement across both platforms.</w:t>
      </w:r>
    </w:p>
    <w:p>
      <w:pPr>
        <w:spacing w:before="120" w:after="120"/>
      </w:pPr>
      <w:r>
        <w:rPr>
          <w:color w:val="CCCCCC"/>
        </w:rPr>
        <w:t>――――――――――――――――――――――――――――――――――――――――――――――――――</w:t>
      </w:r>
    </w:p>
    <w:p>
      <w:pPr>
        <w:keepNext/>
        <w:spacing w:before="280" w:after="160"/>
      </w:pPr>
      <w:r>
        <w:rPr>
          <w:rFonts w:ascii="Times New Roman" w:hAnsi="Times New Roman"/>
          <w:b/>
          <w:color w:val="1F497D"/>
          <w:sz w:val="30"/>
        </w:rPr>
        <w:t>2.4 Virtual Private Network (VPN) Technologies and Interconnection</w:t>
      </w:r>
    </w:p>
    <w:p>
      <w:pPr>
        <w:keepNext/>
        <w:spacing w:before="240" w:after="120"/>
      </w:pPr>
      <w:r>
        <w:rPr>
          <w:rFonts w:ascii="Times New Roman" w:hAnsi="Times New Roman"/>
          <w:b/>
          <w:color w:val="366092"/>
          <w:sz w:val="26"/>
        </w:rPr>
        <w:t>2.4.1 IPsec Protocol Architecture</w:t>
      </w:r>
    </w:p>
    <w:p>
      <w:pPr>
        <w:spacing w:after="120" w:line="300" w:lineRule="auto"/>
      </w:pPr>
      <w:r>
        <w:rPr>
          <w:rFonts w:ascii="Times New Roman" w:hAnsi="Times New Roman"/>
          <w:sz w:val="24"/>
        </w:rPr>
        <w:t>Internet Protocol Security (IPsec) is a suite of protocols operating at the Network Layer (OSI Layer 3) providing data confidentiality, data integrity, origin authentication, and anti-replay protection (Kent &amp; Seo, 2005). In site-to-site cloud connections:</w:t>
      </w:r>
    </w:p>
    <w:p>
      <w:pPr>
        <w:pStyle w:val="ListBullet"/>
        <w:spacing w:after="80"/>
        <w:ind w:left="360"/>
      </w:pPr>
      <w:r>
        <w:rPr>
          <w:rFonts w:ascii="Times New Roman" w:hAnsi="Times New Roman"/>
          <w:b/>
          <w:sz w:val="24"/>
        </w:rPr>
        <w:t>Encapsulating Security Payload (ESP)</w:t>
      </w:r>
      <w:r>
        <w:rPr>
          <w:rFonts w:ascii="Times New Roman" w:hAnsi="Times New Roman"/>
          <w:sz w:val="24"/>
        </w:rPr>
        <w:t xml:space="preserve"> encrypts the IP packet payload and authenticates packet headers.</w:t>
      </w:r>
    </w:p>
    <w:p>
      <w:pPr>
        <w:pStyle w:val="ListBullet"/>
        <w:spacing w:after="80"/>
        <w:ind w:left="360"/>
      </w:pPr>
      <w:r>
        <w:rPr>
          <w:rFonts w:ascii="Times New Roman" w:hAnsi="Times New Roman"/>
          <w:b/>
          <w:sz w:val="24"/>
        </w:rPr>
        <w:t>Internet Key Exchange (IKEv2)</w:t>
      </w:r>
      <w:r>
        <w:rPr>
          <w:rFonts w:ascii="Times New Roman" w:hAnsi="Times New Roman"/>
          <w:sz w:val="24"/>
        </w:rPr>
        <w:t xml:space="preserve"> negotiates Security Associations (SAs), exchanges Diffie-Hellman cryptographic keys, and authenticates endpoints using Pre-Shared Keys (PSKs) or X.509 digital certificates.</w:t>
      </w:r>
    </w:p>
    <w:p>
      <w:pPr>
        <w:spacing w:after="120" w:line="300" w:lineRule="auto"/>
      </w:pPr>
      <w:r>
        <w:rPr>
          <w:rFonts w:ascii="Times New Roman" w:hAnsi="Times New Roman"/>
          <w:sz w:val="24"/>
        </w:rPr>
        <w:t>In inter-cloud designs, cryptographic parameters—including IKE version (IKEv2), Encryption (AES-256), Integrity (SHA-256), and Diffie-Hellman Groups (Group 14 or higher)—must be strictly aligned between AWS and Azure endpoints. Parameter mismatches result in Phase 1 or Phase 2 negotiation failure.</w:t>
      </w:r>
    </w:p>
    <w:p>
      <w:pPr>
        <w:keepNext/>
        <w:spacing w:before="240" w:after="120"/>
      </w:pPr>
      <w:r>
        <w:rPr>
          <w:rFonts w:ascii="Times New Roman" w:hAnsi="Times New Roman"/>
          <w:b/>
          <w:color w:val="366092"/>
          <w:sz w:val="26"/>
        </w:rPr>
        <w:t>2.4.2 Route-Based VPN vs. Policy-Based VPN</w:t>
      </w:r>
    </w:p>
    <w:p>
      <w:pPr>
        <w:spacing w:after="120" w:line="300" w:lineRule="auto"/>
      </w:pPr>
      <w:r>
        <w:rPr>
          <w:rFonts w:ascii="Times New Roman" w:hAnsi="Times New Roman"/>
          <w:sz w:val="24"/>
        </w:rPr>
        <w:t>Policy-based VPNs select traffic for encryption using hardcoded source and destination IP combinations (access control lists). Route-based VPNs create virtual routed tunnel interfaces (VTI), directing traffic into the tunnel based on network routing table entries. Route-based VPNs are vastly superior for multi-cloud hub-and-spoke topologies because they decouple encryption policies from network topology, support multiple address prefixes seamlessly, and enable dynamic routing via Border Gateway Protocol (BGP).</w:t>
      </w:r>
    </w:p>
    <w:p>
      <w:pPr>
        <w:keepNext/>
        <w:spacing w:before="240" w:after="120"/>
      </w:pPr>
      <w:r>
        <w:rPr>
          <w:rFonts w:ascii="Times New Roman" w:hAnsi="Times New Roman"/>
          <w:b/>
          <w:color w:val="366092"/>
          <w:sz w:val="26"/>
        </w:rPr>
        <w:t>2.4.3 Border Gateway Protocol (BGP) and Multi-Tunnel Resilience</w:t>
      </w:r>
    </w:p>
    <w:p>
      <w:pPr>
        <w:spacing w:after="120" w:line="300" w:lineRule="auto"/>
      </w:pPr>
      <w:r>
        <w:rPr>
          <w:rFonts w:ascii="Times New Roman" w:hAnsi="Times New Roman"/>
          <w:sz w:val="24"/>
        </w:rPr>
        <w:t>Border Gateway Protocol (BGP-4; Rekhter et al., 2006) enables dynamic route propagation between autonomous networks. In AWS–Azure connections, each cloud gateway is assigned a private Autonomous System Number (ASN)—for example, AWS TGW (ASN 64512) and Azure VPN Gateway (ASN 65515). BGP peers exchange reachability information dynamically.</w:t>
      </w:r>
    </w:p>
    <w:p>
      <w:pPr>
        <w:spacing w:after="120" w:line="300" w:lineRule="auto"/>
      </w:pPr>
      <w:r>
        <w:rPr>
          <w:rFonts w:ascii="Times New Roman" w:hAnsi="Times New Roman"/>
          <w:sz w:val="24"/>
        </w:rPr>
        <w:t>If an active IPsec tunnel fails, BGP liveness detection (Keepalive timers or Bidirectional Forwarding Detection [BFD]) withdraws the failed route, enabling traffic to failover automatically to an alternative active tunnel. However, BGP route advertisements must be strictly filtered to prevent unintended prefix leakage across clouds.</w:t>
      </w:r>
    </w:p>
    <w:p>
      <w:pPr>
        <w:keepNext/>
        <w:spacing w:before="240" w:after="80"/>
        <w:jc w:val="center"/>
      </w:pPr>
      <w:r>
        <w:drawing>
          <wp:inline xmlns:a="http://schemas.openxmlformats.org/drawingml/2006/main" xmlns:pic="http://schemas.openxmlformats.org/drawingml/2006/picture">
            <wp:extent cx="5486400" cy="2992582"/>
            <wp:docPr id="3" name="Picture 3"/>
            <wp:cNvGraphicFramePr>
              <a:graphicFrameLocks noChangeAspect="1"/>
            </wp:cNvGraphicFramePr>
            <a:graphic>
              <a:graphicData uri="http://schemas.openxmlformats.org/drawingml/2006/picture">
                <pic:pic>
                  <pic:nvPicPr>
                    <pic:cNvPr id="0" name="fig2_2_intercloud_topology.png"/>
                    <pic:cNvPicPr/>
                  </pic:nvPicPr>
                  <pic:blipFill>
                    <a:blip r:embed="rId11"/>
                    <a:stretch>
                      <a:fillRect/>
                    </a:stretch>
                  </pic:blipFill>
                  <pic:spPr>
                    <a:xfrm>
                      <a:off x="0" y="0"/>
                      <a:ext cx="5486400" cy="2992582"/>
                    </a:xfrm>
                    <a:prstGeom prst="rect"/>
                  </pic:spPr>
                </pic:pic>
              </a:graphicData>
            </a:graphic>
          </wp:inline>
        </w:drawing>
      </w:r>
    </w:p>
    <w:p>
      <w:pPr>
        <w:spacing w:after="120" w:line="300" w:lineRule="auto"/>
        <w:jc w:val="center"/>
      </w:pPr>
      <w:r>
        <w:rPr>
          <w:rFonts w:ascii="Times New Roman" w:hAnsi="Times New Roman"/>
          <w:b/>
          <w:sz w:val="24"/>
        </w:rPr>
        <w:t>Figure 2.2: Active-Active BGP-Enabled Route-Based IPsec Interconnection Between AWS and Azure</w:t>
      </w:r>
    </w:p>
    <w:p>
      <w:pPr>
        <w:keepNext/>
        <w:spacing w:before="240" w:after="120"/>
      </w:pPr>
      <w:r>
        <w:rPr>
          <w:rFonts w:ascii="Times New Roman" w:hAnsi="Times New Roman"/>
          <w:b/>
          <w:color w:val="366092"/>
          <w:sz w:val="26"/>
        </w:rPr>
        <w:t>2.4.4 Section Synthesis and Alignment with Proposed Artefact</w:t>
      </w:r>
    </w:p>
    <w:p>
      <w:pPr>
        <w:spacing w:after="120" w:line="300" w:lineRule="auto"/>
      </w:pPr>
      <w:r>
        <w:rPr>
          <w:rFonts w:ascii="Times New Roman" w:hAnsi="Times New Roman"/>
          <w:sz w:val="24"/>
        </w:rPr>
        <w:t>An IPsec VPN guarantees encrypted transport across the untrusted Internet, but it does not evaluate whether the payload traffic is authorized. Furthermore, path failover depends on dynamic BGP routing rather than static configurations.</w:t>
      </w:r>
    </w:p>
    <w:p>
      <w:pPr>
        <w:spacing w:after="120" w:line="300" w:lineRule="auto"/>
      </w:pPr>
      <w:r>
        <w:rPr>
          <w:rFonts w:ascii="Times New Roman" w:hAnsi="Times New Roman"/>
          <w:b/>
          <w:sz w:val="24"/>
        </w:rPr>
        <w:t>Link to Proposed Artefact</w:t>
      </w:r>
      <w:r>
        <w:rPr>
          <w:rFonts w:ascii="Times New Roman" w:hAnsi="Times New Roman"/>
          <w:sz w:val="24"/>
        </w:rPr>
        <w:t xml:space="preserve">: The proposed artefact implements a </w:t>
      </w:r>
      <w:r>
        <w:rPr>
          <w:rFonts w:ascii="Times New Roman" w:hAnsi="Times New Roman"/>
          <w:b/>
          <w:sz w:val="24"/>
        </w:rPr>
        <w:t>Route-Based IKEv2 IPsec VPN with BGP dynamic routing</w:t>
      </w:r>
      <w:r>
        <w:rPr>
          <w:rFonts w:ascii="Times New Roman" w:hAnsi="Times New Roman"/>
          <w:sz w:val="24"/>
        </w:rPr>
        <w:t xml:space="preserve"> connecting AWS Transit Gateway and Azure VPN Gateway. Cryptographic parameters are standardized on AES-256/SHA-256/DH-14, and BGP route advertisements are restricted strictly to approved workload CIDRs (10.10.0.0/16 and 10.20.0.0/16).</w:t>
      </w:r>
    </w:p>
    <w:p>
      <w:pPr>
        <w:spacing w:before="120" w:after="120"/>
      </w:pPr>
      <w:r>
        <w:rPr>
          <w:color w:val="CCCCCC"/>
        </w:rPr>
        <w:t>――――――――――――――――――――――――――――――――――――――――――――――――――</w:t>
      </w:r>
    </w:p>
    <w:p>
      <w:pPr>
        <w:keepNext/>
        <w:spacing w:before="280" w:after="160"/>
      </w:pPr>
      <w:r>
        <w:rPr>
          <w:rFonts w:ascii="Times New Roman" w:hAnsi="Times New Roman"/>
          <w:b/>
          <w:color w:val="1F497D"/>
          <w:sz w:val="30"/>
        </w:rPr>
        <w:t>2.5 Zero Trust Architecture (ZTA) and Defence-in-Depth</w:t>
      </w:r>
    </w:p>
    <w:p>
      <w:pPr>
        <w:keepNext/>
        <w:spacing w:before="240" w:after="120"/>
      </w:pPr>
      <w:r>
        <w:rPr>
          <w:rFonts w:ascii="Times New Roman" w:hAnsi="Times New Roman"/>
          <w:b/>
          <w:color w:val="366092"/>
          <w:sz w:val="26"/>
        </w:rPr>
        <w:t>2.5.1 Evolution of Zero Trust Security Theory</w:t>
      </w:r>
    </w:p>
    <w:p>
      <w:pPr>
        <w:spacing w:after="120" w:line="300" w:lineRule="auto"/>
      </w:pPr>
      <w:r>
        <w:rPr>
          <w:rFonts w:ascii="Times New Roman" w:hAnsi="Times New Roman"/>
          <w:sz w:val="24"/>
        </w:rPr>
        <w:t xml:space="preserve">Traditional perimeter defense ("castle-and-moat") assumes that entities inside a private network are trustworthy. Cloud computing, remote workforce access, and multi-cloud distribution render this model obsolete (Rose et al., 2020). Zero Trust Architecture (ZTA) rejects implicit trust based on network location. Its core axiom is </w:t>
      </w:r>
      <w:r>
        <w:rPr>
          <w:rFonts w:ascii="Times New Roman" w:hAnsi="Times New Roman"/>
          <w:b/>
          <w:sz w:val="24"/>
        </w:rPr>
        <w:t>"never trust, always verify"</w:t>
      </w:r>
      <w:r>
        <w:rPr>
          <w:rFonts w:ascii="Times New Roman" w:hAnsi="Times New Roman"/>
          <w:sz w:val="24"/>
        </w:rPr>
        <w:t>—every request must be authenticated, authorized, and continuously validated against context-aware policies before access is granted (Syed et al., 2022; Sarkar et al., 2022).</w:t>
      </w:r>
    </w:p>
    <w:p>
      <w:pPr>
        <w:spacing w:after="120" w:line="300" w:lineRule="auto"/>
      </w:pPr>
      <w:r>
        <w:rPr>
          <w:rFonts w:ascii="Times New Roman" w:hAnsi="Times New Roman"/>
          <w:sz w:val="24"/>
        </w:rPr>
        <w:t>NIST SP 800-207 defines seven core tenets of Zero Trust:</w:t>
      </w:r>
    </w:p>
    <w:p>
      <w:pPr>
        <w:pStyle w:val="ListNumber"/>
        <w:spacing w:after="80"/>
        <w:ind w:left="360"/>
      </w:pPr>
      <w:r>
        <w:rPr>
          <w:rFonts w:ascii="Times New Roman" w:hAnsi="Times New Roman"/>
          <w:sz w:val="24"/>
        </w:rPr>
        <w:t>All data sources and computing services are considered resources.</w:t>
      </w:r>
    </w:p>
    <w:p>
      <w:pPr>
        <w:pStyle w:val="ListNumber"/>
        <w:spacing w:after="80"/>
        <w:ind w:left="360"/>
      </w:pPr>
      <w:r>
        <w:rPr>
          <w:rFonts w:ascii="Times New Roman" w:hAnsi="Times New Roman"/>
          <w:sz w:val="24"/>
        </w:rPr>
        <w:t>All communication is secured regardless of network location.</w:t>
      </w:r>
    </w:p>
    <w:p>
      <w:pPr>
        <w:pStyle w:val="ListNumber"/>
        <w:spacing w:after="80"/>
        <w:ind w:left="360"/>
      </w:pPr>
      <w:r>
        <w:rPr>
          <w:rFonts w:ascii="Times New Roman" w:hAnsi="Times New Roman"/>
          <w:sz w:val="24"/>
        </w:rPr>
        <w:t>Access to individual enterprise resources is granted on a per-session basis.</w:t>
      </w:r>
    </w:p>
    <w:p>
      <w:pPr>
        <w:pStyle w:val="ListNumber"/>
        <w:spacing w:after="80"/>
        <w:ind w:left="360"/>
      </w:pPr>
      <w:r>
        <w:rPr>
          <w:rFonts w:ascii="Times New Roman" w:hAnsi="Times New Roman"/>
          <w:sz w:val="24"/>
        </w:rPr>
        <w:t>Access is determined by dynamic policy (identity, asset posture, context).</w:t>
      </w:r>
    </w:p>
    <w:p>
      <w:pPr>
        <w:pStyle w:val="ListNumber"/>
        <w:spacing w:after="80"/>
        <w:ind w:left="360"/>
      </w:pPr>
      <w:r>
        <w:rPr>
          <w:rFonts w:ascii="Times New Roman" w:hAnsi="Times New Roman"/>
          <w:sz w:val="24"/>
        </w:rPr>
        <w:t>The enterprise monitors and measures the integrity and security posture of all assets.</w:t>
      </w:r>
    </w:p>
    <w:p>
      <w:pPr>
        <w:pStyle w:val="ListNumber"/>
        <w:spacing w:after="80"/>
        <w:ind w:left="360"/>
      </w:pPr>
      <w:r>
        <w:rPr>
          <w:rFonts w:ascii="Times New Roman" w:hAnsi="Times New Roman"/>
          <w:sz w:val="24"/>
        </w:rPr>
        <w:t>All resource authentication and authorization are dynamic and strictly enforced.</w:t>
      </w:r>
    </w:p>
    <w:p>
      <w:pPr>
        <w:pStyle w:val="ListNumber"/>
        <w:spacing w:after="80"/>
        <w:ind w:left="360"/>
      </w:pPr>
      <w:r>
        <w:rPr>
          <w:rFonts w:ascii="Times New Roman" w:hAnsi="Times New Roman"/>
          <w:sz w:val="24"/>
        </w:rPr>
        <w:t>The enterprise collects detailed telemetry to improve security posture.</w:t>
      </w:r>
    </w:p>
    <w:p>
      <w:pPr>
        <w:keepNext/>
        <w:spacing w:before="240" w:after="120"/>
      </w:pPr>
      <w:r>
        <w:rPr>
          <w:rFonts w:ascii="Times New Roman" w:hAnsi="Times New Roman"/>
          <w:b/>
          <w:color w:val="366092"/>
          <w:sz w:val="26"/>
        </w:rPr>
        <w:t>2.5.2 Operationalizing Zero Trust in Multi-Cloud (NIST SP 800-207A)</w:t>
      </w:r>
    </w:p>
    <w:p>
      <w:pPr>
        <w:spacing w:after="120" w:line="300" w:lineRule="auto"/>
      </w:pPr>
      <w:r>
        <w:rPr>
          <w:rFonts w:ascii="Times New Roman" w:hAnsi="Times New Roman"/>
          <w:sz w:val="24"/>
        </w:rPr>
        <w:t>NIST SP 800-207A (Chandramouli &amp; Butcher, 2023) extends Zero Trust principles to cloud-native applications across multi-location environments. It separates ZTA into logical control planes:</w:t>
      </w:r>
    </w:p>
    <w:p>
      <w:pPr>
        <w:pStyle w:val="ListBullet"/>
        <w:spacing w:after="80"/>
        <w:ind w:left="360"/>
      </w:pPr>
      <w:r>
        <w:rPr>
          <w:rFonts w:ascii="Times New Roman" w:hAnsi="Times New Roman"/>
          <w:b/>
          <w:sz w:val="24"/>
        </w:rPr>
        <w:t>Policy Engine (PE)</w:t>
      </w:r>
      <w:r>
        <w:rPr>
          <w:rFonts w:ascii="Times New Roman" w:hAnsi="Times New Roman"/>
          <w:sz w:val="24"/>
        </w:rPr>
        <w:t>: Evaluates access requests against policy baselines to make access decisions.</w:t>
      </w:r>
    </w:p>
    <w:p>
      <w:pPr>
        <w:pStyle w:val="ListBullet"/>
        <w:spacing w:after="80"/>
        <w:ind w:left="360"/>
      </w:pPr>
      <w:r>
        <w:rPr>
          <w:rFonts w:ascii="Times New Roman" w:hAnsi="Times New Roman"/>
          <w:b/>
          <w:sz w:val="24"/>
        </w:rPr>
        <w:t>Policy Administrator (PA)</w:t>
      </w:r>
      <w:r>
        <w:rPr>
          <w:rFonts w:ascii="Times New Roman" w:hAnsi="Times New Roman"/>
          <w:sz w:val="24"/>
        </w:rPr>
        <w:t>: Issues credentials or commands enforcement points to establish/terminate sessions.</w:t>
      </w:r>
    </w:p>
    <w:p>
      <w:pPr>
        <w:pStyle w:val="ListBullet"/>
        <w:spacing w:after="80"/>
        <w:ind w:left="360"/>
      </w:pPr>
      <w:r>
        <w:rPr>
          <w:rFonts w:ascii="Times New Roman" w:hAnsi="Times New Roman"/>
          <w:b/>
          <w:sz w:val="24"/>
        </w:rPr>
        <w:t>Policy Enforcement Points (PEPs)</w:t>
      </w:r>
      <w:r>
        <w:rPr>
          <w:rFonts w:ascii="Times New Roman" w:hAnsi="Times New Roman"/>
          <w:sz w:val="24"/>
        </w:rPr>
        <w:t>: Intercepts and controls communications between resources (e.g., Security Groups, NSGs, API Gateways).</w:t>
      </w:r>
    </w:p>
    <w:p>
      <w:pPr>
        <w:keepNext/>
        <w:spacing w:before="240" w:after="80"/>
        <w:jc w:val="center"/>
      </w:pPr>
      <w:r>
        <w:drawing>
          <wp:inline xmlns:a="http://schemas.openxmlformats.org/drawingml/2006/main" xmlns:pic="http://schemas.openxmlformats.org/drawingml/2006/picture">
            <wp:extent cx="5486400" cy="2992582"/>
            <wp:docPr id="4" name="Picture 4"/>
            <wp:cNvGraphicFramePr>
              <a:graphicFrameLocks noChangeAspect="1"/>
            </wp:cNvGraphicFramePr>
            <a:graphic>
              <a:graphicData uri="http://schemas.openxmlformats.org/drawingml/2006/picture">
                <pic:pic>
                  <pic:nvPicPr>
                    <pic:cNvPr id="0" name="fig2_3_zerotrust_planes.png"/>
                    <pic:cNvPicPr/>
                  </pic:nvPicPr>
                  <pic:blipFill>
                    <a:blip r:embed="rId12"/>
                    <a:stretch>
                      <a:fillRect/>
                    </a:stretch>
                  </pic:blipFill>
                  <pic:spPr>
                    <a:xfrm>
                      <a:off x="0" y="0"/>
                      <a:ext cx="5486400" cy="2992582"/>
                    </a:xfrm>
                    <a:prstGeom prst="rect"/>
                  </pic:spPr>
                </pic:pic>
              </a:graphicData>
            </a:graphic>
          </wp:inline>
        </w:drawing>
      </w:r>
    </w:p>
    <w:p>
      <w:pPr>
        <w:spacing w:after="120" w:line="300" w:lineRule="auto"/>
        <w:jc w:val="center"/>
      </w:pPr>
      <w:r>
        <w:rPr>
          <w:rFonts w:ascii="Times New Roman" w:hAnsi="Times New Roman"/>
          <w:b/>
          <w:sz w:val="24"/>
        </w:rPr>
        <w:t>Figure 2.3: Zero Trust Control, Enforcement, and Telemetry Planes in AWS–Azure Environment</w:t>
      </w:r>
    </w:p>
    <w:p>
      <w:pPr>
        <w:keepNext/>
        <w:spacing w:before="240" w:after="120"/>
      </w:pPr>
      <w:r>
        <w:rPr>
          <w:rFonts w:ascii="Times New Roman" w:hAnsi="Times New Roman"/>
          <w:b/>
          <w:color w:val="366092"/>
          <w:sz w:val="26"/>
        </w:rPr>
        <w:t>2.5.3 Micro-Segmentation and Defence-in-Depth</w:t>
      </w:r>
    </w:p>
    <w:p>
      <w:pPr>
        <w:spacing w:after="120" w:line="300" w:lineRule="auto"/>
      </w:pPr>
      <w:r>
        <w:rPr>
          <w:rFonts w:ascii="Times New Roman" w:hAnsi="Times New Roman"/>
          <w:sz w:val="24"/>
        </w:rPr>
        <w:t xml:space="preserve">Micro-segmentation isolates workloads into granular security zones, restricting lateral movement if a component is compromised (Mushtaq et al., 2025). Coupled with </w:t>
      </w:r>
      <w:r>
        <w:rPr>
          <w:rFonts w:ascii="Times New Roman" w:hAnsi="Times New Roman"/>
          <w:b/>
          <w:sz w:val="24"/>
        </w:rPr>
        <w:t>Defence-in-Depth</w:t>
      </w:r>
      <w:r>
        <w:rPr>
          <w:rFonts w:ascii="Times New Roman" w:hAnsi="Times New Roman"/>
          <w:sz w:val="24"/>
        </w:rPr>
        <w:t>—applying layered, overlapping controls—a failure in one security layer (e.g., a misconfigured route) is mitigated by secondary controls (e.g., host firewalls, database authentication, and Security Group rules).</w:t>
      </w:r>
    </w:p>
    <w:p>
      <w:pPr>
        <w:keepNext/>
        <w:spacing w:before="240" w:after="120"/>
      </w:pPr>
      <w:r>
        <w:rPr>
          <w:rFonts w:ascii="Times New Roman" w:hAnsi="Times New Roman"/>
          <w:b/>
          <w:color w:val="366092"/>
          <w:sz w:val="26"/>
        </w:rPr>
        <w:t>2.5.4 Section Synthesis and Alignment with Proposed Artefact</w:t>
      </w:r>
    </w:p>
    <w:p>
      <w:pPr>
        <w:spacing w:after="120" w:line="300" w:lineRule="auto"/>
      </w:pPr>
      <w:r>
        <w:rPr>
          <w:rFonts w:ascii="Times New Roman" w:hAnsi="Times New Roman"/>
          <w:sz w:val="24"/>
        </w:rPr>
        <w:t>Zero Trust is an architectural strategy, not a software product. Encrypted VPN tunnels provide secure transport, but Zero Trust controls must decide which application flows are permitted inside those tunnels.</w:t>
      </w:r>
    </w:p>
    <w:p>
      <w:pPr>
        <w:spacing w:after="120" w:line="300" w:lineRule="auto"/>
      </w:pPr>
      <w:r>
        <w:rPr>
          <w:rFonts w:ascii="Times New Roman" w:hAnsi="Times New Roman"/>
          <w:b/>
          <w:sz w:val="24"/>
        </w:rPr>
        <w:t>Link to Proposed Artefact</w:t>
      </w:r>
      <w:r>
        <w:rPr>
          <w:rFonts w:ascii="Times New Roman" w:hAnsi="Times New Roman"/>
          <w:sz w:val="24"/>
        </w:rPr>
        <w:t xml:space="preserve">: The project operationalizes Zero Trust by mapping NIST policy functions directly to native cloud services: Microsoft Entra ID and AWS IAM serve as the Policy Engine/Administrator, while Security Groups, NSGs, and IPsec VTIs function as Policy Enforcement Points. Micro-segmentation is enforced via a strict </w:t>
      </w:r>
      <w:r>
        <w:rPr>
          <w:rFonts w:ascii="Times New Roman" w:hAnsi="Times New Roman"/>
          <w:b/>
          <w:sz w:val="24"/>
        </w:rPr>
        <w:t>Traffic-Flow Matrix</w:t>
      </w:r>
      <w:r>
        <w:rPr>
          <w:rFonts w:ascii="Times New Roman" w:hAnsi="Times New Roman"/>
          <w:sz w:val="24"/>
        </w:rPr>
        <w:t>, prohibiting direct web-to-database and cross-cloud database access.</w:t>
      </w:r>
    </w:p>
    <w:p>
      <w:pPr>
        <w:spacing w:before="120" w:after="120"/>
      </w:pPr>
      <w:r>
        <w:rPr>
          <w:color w:val="CCCCCC"/>
        </w:rPr>
        <w:t>――――――――――――――――――――――――――――――――――――――――――――――――――</w:t>
      </w:r>
    </w:p>
    <w:p>
      <w:pPr>
        <w:keepNext/>
        <w:spacing w:before="280" w:after="160"/>
      </w:pPr>
      <w:r>
        <w:rPr>
          <w:rFonts w:ascii="Times New Roman" w:hAnsi="Times New Roman"/>
          <w:b/>
          <w:color w:val="1F497D"/>
          <w:sz w:val="30"/>
        </w:rPr>
        <w:t>2.6 Cloud Security Alliance (CSA) Cloud Controls Matrix (CCM)</w:t>
      </w:r>
    </w:p>
    <w:p>
      <w:pPr>
        <w:keepNext/>
        <w:spacing w:before="240" w:after="120"/>
      </w:pPr>
      <w:r>
        <w:rPr>
          <w:rFonts w:ascii="Times New Roman" w:hAnsi="Times New Roman"/>
          <w:b/>
          <w:color w:val="366092"/>
          <w:sz w:val="26"/>
        </w:rPr>
        <w:t>2.6.1 Governance and Assurance Frameworks</w:t>
      </w:r>
    </w:p>
    <w:p>
      <w:pPr>
        <w:spacing w:after="120" w:line="300" w:lineRule="auto"/>
      </w:pPr>
      <w:r>
        <w:rPr>
          <w:rFonts w:ascii="Times New Roman" w:hAnsi="Times New Roman"/>
          <w:sz w:val="24"/>
        </w:rPr>
        <w:t>The Cloud Security Alliance (CSA) Cloud Controls Matrix (CCM v4.1) is a vendor-neutral cybersecurity control framework designed specifically for cloud environments (Cloud Security Alliance, 2026). It structures cloud security into 17 domains comprising 207 control objectives.</w:t>
      </w:r>
    </w:p>
    <w:p>
      <w:pPr>
        <w:keepNext/>
        <w:spacing w:before="240" w:after="120"/>
      </w:pPr>
      <w:r>
        <w:rPr>
          <w:rFonts w:ascii="Times New Roman" w:hAnsi="Times New Roman"/>
          <w:b/>
          <w:color w:val="366092"/>
          <w:sz w:val="26"/>
        </w:rPr>
        <w:t>2.6.2 Mapping Relevant CCM v4.1 Domains to the Multi-Cloud Artefact</w:t>
      </w:r>
    </w:p>
    <w:tbl>
      <w:tblPr>
        <w:tblW w:type="auto" w:w="0"/>
        <w:jc w:val="center"/>
        <w:tblLayout w:type="fixed"/>
        <w:tblLook w:firstColumn="1" w:firstRow="1" w:lastColumn="0" w:lastRow="0" w:noHBand="0" w:noVBand="1" w:val="04A0"/>
      </w:tblPr>
      <w:tblGrid>
        <w:gridCol w:w="3120"/>
        <w:gridCol w:w="3120"/>
        <w:gridCol w:w="3120"/>
      </w:tblGrid>
      <w:tr>
        <w:tc>
          <w:tcPr>
            <w:tcW w:type="dxa" w:w="312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CCM Domain</w:t>
            </w:r>
          </w:p>
        </w:tc>
        <w:tc>
          <w:tcPr>
            <w:tcW w:type="dxa" w:w="312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Domain Focus</w:t>
            </w:r>
          </w:p>
        </w:tc>
        <w:tc>
          <w:tcPr>
            <w:tcW w:type="dxa" w:w="312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Artefact Implementation Mapping</w:t>
            </w:r>
          </w:p>
        </w:tc>
      </w:tr>
      <w:tr>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IAM (Identity &amp; Access Management)</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Federation, RBAC, least privilege, credential governance</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Entra ID SAML 2.0 federation to AWS IAM Identity Center; SCIM provisioning; short-lived STS tokens.</w:t>
            </w:r>
          </w:p>
        </w:tc>
      </w:tr>
      <w:tr>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IVS (Infrastructure &amp; Virtualisation)</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Network segmentation, interface protection, isolated subnets</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Segmented VPC/VNet subnets; AWS TGW; Azure Hub VNet; Security Groups &amp; NSGs.</w:t>
            </w:r>
          </w:p>
        </w:tc>
      </w:tr>
      <w:tr>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CEK (Cryptography, Encryption &amp; Key Mgt)</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Data in transit &amp; rest encryption, key lifecycle management</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IPsec AES-256 inter-cloud encryption; AWS KMS customer-managed keys; Azure Key Vault.</w:t>
            </w:r>
          </w:p>
        </w:tc>
      </w:tr>
      <w:tr>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LOG (Logging &amp; Monitoring)</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Audit logging, event retention, telemetry protection</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CloudTrail, VPC Flow Logs, CloudWatch; Azure Activity Logs, Log Analytics workspace.</w:t>
            </w:r>
          </w:p>
        </w:tc>
      </w:tr>
      <w:tr>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DSP (Data Security &amp; Privacy)</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Classification, cross-border data movement, residency</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Synthetic data isolation; alignment with NDPA 2023 &amp; National Cloud Policy 2025 data governance rules.</w:t>
            </w:r>
          </w:p>
        </w:tc>
      </w:tr>
      <w:tr>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BCR (Business Continuity &amp; Resilience)</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Redundancy, failover recovery, RTO measurement</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Active-active Azure VPN Gateway; dual-tunnel AWS Site-to-Site VPN; BGP failover testing.</w:t>
            </w:r>
          </w:p>
        </w:tc>
      </w:tr>
      <w:tr>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TVM (Threat &amp; Vulnerability Mgt)</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Vulnerability scanning, posture auditing, remediation</w:t>
            </w:r>
          </w:p>
        </w:tc>
        <w:tc>
          <w:tcPr>
            <w:tcW w:type="dxa" w:w="312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Posture scanning via open-source tools (Prowler and ScoutSuite); GuardDuty/Defender findings.</w:t>
            </w:r>
          </w:p>
        </w:tc>
      </w:tr>
      <w:tr>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CCC (Change Control &amp; Configuration)</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Automated deployment, repeatability, drift control</w:t>
            </w:r>
          </w:p>
        </w:tc>
        <w:tc>
          <w:tcPr>
            <w:tcW w:type="dxa" w:w="312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Modular Terraform Infrastructure as Code; state locking; version-controlled Git workflow.</w:t>
            </w:r>
          </w:p>
        </w:tc>
      </w:tr>
    </w:tbl>
    <w:p>
      <w:pPr>
        <w:keepNext/>
        <w:spacing w:before="240" w:after="120"/>
      </w:pPr>
      <w:r>
        <w:rPr>
          <w:rFonts w:ascii="Times New Roman" w:hAnsi="Times New Roman"/>
          <w:b/>
          <w:color w:val="366092"/>
          <w:sz w:val="26"/>
        </w:rPr>
        <w:t>2.6.3 Section Synthesis and Alignment with Proposed Artefact</w:t>
      </w:r>
    </w:p>
    <w:p>
      <w:pPr>
        <w:spacing w:after="120" w:line="300" w:lineRule="auto"/>
      </w:pPr>
      <w:r>
        <w:rPr>
          <w:rFonts w:ascii="Times New Roman" w:hAnsi="Times New Roman"/>
          <w:sz w:val="24"/>
        </w:rPr>
        <w:t>The CSA CCM v4.1 provides a comprehensive control catalogue, but as a vendor-neutral framework, it does not prescribe specific cloud configuration commands.</w:t>
      </w:r>
    </w:p>
    <w:p>
      <w:pPr>
        <w:spacing w:after="120" w:line="300" w:lineRule="auto"/>
      </w:pPr>
      <w:r>
        <w:rPr>
          <w:rFonts w:ascii="Times New Roman" w:hAnsi="Times New Roman"/>
          <w:b/>
          <w:sz w:val="24"/>
        </w:rPr>
        <w:t>Link to Proposed Artefact</w:t>
      </w:r>
      <w:r>
        <w:rPr>
          <w:rFonts w:ascii="Times New Roman" w:hAnsi="Times New Roman"/>
          <w:sz w:val="24"/>
        </w:rPr>
        <w:t>: The project utilizes the CCM v4.1 as its structural baseline for requirements analysis and traceability. Each security mechanism in the Terraform codebase is mapped directly to a CCM control domain (e.g., IVS-06 for subnet isolation, CEK-03 for IPsec encryption, IAM-02 for SAML federation).</w:t>
      </w:r>
    </w:p>
    <w:p>
      <w:pPr>
        <w:spacing w:before="120" w:after="120"/>
      </w:pPr>
      <w:r>
        <w:rPr>
          <w:color w:val="CCCCCC"/>
        </w:rPr>
        <w:t>――――――――――――――――――――――――――――――――――――――――――――――――――</w:t>
      </w:r>
    </w:p>
    <w:p>
      <w:pPr>
        <w:keepNext/>
        <w:spacing w:before="280" w:after="160"/>
      </w:pPr>
      <w:r>
        <w:rPr>
          <w:rFonts w:ascii="Times New Roman" w:hAnsi="Times New Roman"/>
          <w:b/>
          <w:color w:val="1F497D"/>
          <w:sz w:val="30"/>
        </w:rPr>
        <w:t>2.7 Infrastructure as Code (IaC) and Terraform Governance</w:t>
      </w:r>
    </w:p>
    <w:p>
      <w:pPr>
        <w:keepNext/>
        <w:spacing w:before="240" w:after="120"/>
      </w:pPr>
      <w:r>
        <w:rPr>
          <w:rFonts w:ascii="Times New Roman" w:hAnsi="Times New Roman"/>
          <w:b/>
          <w:color w:val="366092"/>
          <w:sz w:val="26"/>
        </w:rPr>
        <w:t>2.7.1 Declarative Infrastructure Management</w:t>
      </w:r>
    </w:p>
    <w:p>
      <w:pPr>
        <w:spacing w:after="120" w:line="300" w:lineRule="auto"/>
      </w:pPr>
      <w:r>
        <w:rPr>
          <w:rFonts w:ascii="Times New Roman" w:hAnsi="Times New Roman"/>
          <w:sz w:val="24"/>
        </w:rPr>
        <w:t xml:space="preserve">Infrastructure as Code (IaC) replaces manual portal configuration with machine-readable definition files, enabling automated, repeatable, and version-controlled infrastructure provisioning (Rahman et al., 2019). </w:t>
      </w:r>
      <w:r>
        <w:rPr>
          <w:rFonts w:ascii="Times New Roman" w:hAnsi="Times New Roman"/>
          <w:b/>
          <w:sz w:val="24"/>
        </w:rPr>
        <w:t>Terraform by HashiCorp</w:t>
      </w:r>
      <w:r>
        <w:rPr>
          <w:rFonts w:ascii="Times New Roman" w:hAnsi="Times New Roman"/>
          <w:sz w:val="24"/>
        </w:rPr>
        <w:t xml:space="preserve"> uses a declarative paradigm: engineers state the desired end-state of infrastructure, and Terraform's graph engine resolves dependencies and executes API calls to achieve that state.</w:t>
      </w:r>
    </w:p>
    <w:p>
      <w:pPr>
        <w:keepNext/>
        <w:spacing w:before="240" w:after="120"/>
      </w:pPr>
      <w:r>
        <w:rPr>
          <w:rFonts w:ascii="Times New Roman" w:hAnsi="Times New Roman"/>
          <w:b/>
          <w:color w:val="366092"/>
          <w:sz w:val="26"/>
        </w:rPr>
        <w:t>2.7.2 IaC Defect Analysis and Security Vulnerabilities</w:t>
      </w:r>
    </w:p>
    <w:p>
      <w:pPr>
        <w:spacing w:after="120" w:line="300" w:lineRule="auto"/>
      </w:pPr>
      <w:r>
        <w:rPr>
          <w:rFonts w:ascii="Times New Roman" w:hAnsi="Times New Roman"/>
          <w:sz w:val="24"/>
        </w:rPr>
        <w:t>Empirical research demonstrates that IaC scripts are susceptible to software defects, configuration smells, and security anti-patterns (Rahman et al., 2020; Kumara et al., 2021). Verdet et al. (2023) analyzed 812 open-source Terraform projects and found widespread security defects, particularly unencrypted storage, exposed API secrets, and overly permissive firewall rules (</w:t>
      </w:r>
      <w:r>
        <w:rPr>
          <w:rFonts w:ascii="Consolas" w:hAnsi="Consolas"/>
          <w:color w:val="881515"/>
          <w:sz w:val="21"/>
        </w:rPr>
        <w:t>0.0.0.0/0</w:t>
      </w:r>
      <w:r>
        <w:rPr>
          <w:rFonts w:ascii="Times New Roman" w:hAnsi="Times New Roman"/>
          <w:sz w:val="24"/>
        </w:rPr>
        <w:t xml:space="preserve">). Successful execution of </w:t>
      </w:r>
      <w:r>
        <w:rPr>
          <w:rFonts w:ascii="Consolas" w:hAnsi="Consolas"/>
          <w:color w:val="881515"/>
          <w:sz w:val="21"/>
        </w:rPr>
        <w:t>terraform apply</w:t>
      </w:r>
      <w:r>
        <w:rPr>
          <w:rFonts w:ascii="Times New Roman" w:hAnsi="Times New Roman"/>
          <w:sz w:val="24"/>
        </w:rPr>
        <w:t xml:space="preserve"> does not guarantee that the deployed infrastructure is secure.</w:t>
      </w:r>
    </w:p>
    <w:p>
      <w:pPr>
        <w:spacing w:after="120" w:line="300" w:lineRule="auto"/>
      </w:pPr>
      <w:r>
        <w:rPr>
          <w:rFonts w:ascii="Times New Roman" w:hAnsi="Times New Roman"/>
          <w:sz w:val="24"/>
        </w:rPr>
        <w:t>IaC governance therefore requires:</w:t>
      </w:r>
    </w:p>
    <w:p>
      <w:pPr>
        <w:pStyle w:val="ListBullet"/>
        <w:spacing w:after="80"/>
        <w:ind w:left="360"/>
      </w:pPr>
      <w:r>
        <w:rPr>
          <w:rFonts w:ascii="Times New Roman" w:hAnsi="Times New Roman"/>
          <w:b/>
          <w:sz w:val="24"/>
        </w:rPr>
        <w:t>Provider Version Pinning</w:t>
      </w:r>
      <w:r>
        <w:rPr>
          <w:rFonts w:ascii="Times New Roman" w:hAnsi="Times New Roman"/>
          <w:sz w:val="24"/>
        </w:rPr>
        <w:t>: Preventing unexpected behavioral shifts due to provider updates.</w:t>
      </w:r>
    </w:p>
    <w:p>
      <w:pPr>
        <w:pStyle w:val="ListBullet"/>
        <w:spacing w:after="80"/>
        <w:ind w:left="360"/>
      </w:pPr>
      <w:r>
        <w:rPr>
          <w:rFonts w:ascii="Times New Roman" w:hAnsi="Times New Roman"/>
          <w:b/>
          <w:sz w:val="24"/>
        </w:rPr>
        <w:t>Remote State Protection</w:t>
      </w:r>
      <w:r>
        <w:rPr>
          <w:rFonts w:ascii="Times New Roman" w:hAnsi="Times New Roman"/>
          <w:sz w:val="24"/>
        </w:rPr>
        <w:t xml:space="preserve">: Storing </w:t>
      </w:r>
      <w:r>
        <w:rPr>
          <w:rFonts w:ascii="Consolas" w:hAnsi="Consolas"/>
          <w:color w:val="881515"/>
          <w:sz w:val="21"/>
        </w:rPr>
        <w:t>.tfstate</w:t>
      </w:r>
      <w:r>
        <w:rPr>
          <w:rFonts w:ascii="Times New Roman" w:hAnsi="Times New Roman"/>
          <w:sz w:val="24"/>
        </w:rPr>
        <w:t xml:space="preserve"> files in encrypted, locked backends to protect sensitive attributes (e.g., generated passwords, private keys).</w:t>
      </w:r>
    </w:p>
    <w:p>
      <w:pPr>
        <w:pStyle w:val="ListBullet"/>
        <w:spacing w:after="80"/>
        <w:ind w:left="360"/>
      </w:pPr>
      <w:r>
        <w:rPr>
          <w:rFonts w:ascii="Times New Roman" w:hAnsi="Times New Roman"/>
          <w:b/>
          <w:sz w:val="24"/>
        </w:rPr>
        <w:t>Static &amp; Post-Deployment Scanning</w:t>
      </w:r>
      <w:r>
        <w:rPr>
          <w:rFonts w:ascii="Times New Roman" w:hAnsi="Times New Roman"/>
          <w:sz w:val="24"/>
        </w:rPr>
        <w:t>: Combining pre-deployment syntax validation with post-deployment posture audits.</w:t>
      </w:r>
    </w:p>
    <w:p>
      <w:pPr>
        <w:keepNext/>
        <w:spacing w:before="240" w:after="120"/>
      </w:pPr>
      <w:r>
        <w:rPr>
          <w:rFonts w:ascii="Times New Roman" w:hAnsi="Times New Roman"/>
          <w:b/>
          <w:color w:val="366092"/>
          <w:sz w:val="26"/>
        </w:rPr>
        <w:t>2.7.3 Cross-Provider Dependency Management</w:t>
      </w:r>
    </w:p>
    <w:p>
      <w:pPr>
        <w:spacing w:after="120" w:line="300" w:lineRule="auto"/>
      </w:pPr>
      <w:r>
        <w:rPr>
          <w:rFonts w:ascii="Times New Roman" w:hAnsi="Times New Roman"/>
          <w:sz w:val="24"/>
        </w:rPr>
        <w:t>Provisioning multi-cloud environments in a single Terraform workflow creates cross-provider dependencies. For instance, creating an AWS Customer Gateway requires the public IP address of the Azure VPN Gateway, while completing the Azure Local Network Gateway requires the AWS tunnel IP and BGP parameters generated by AWS. Terraform cannot resolve circular dependencies automatically. The architecture must utilize staged deployment phases or parameter outputs to reconcile cross-cloud values cleanly.</w:t>
      </w:r>
    </w:p>
    <w:p>
      <w:pPr>
        <w:keepNext/>
        <w:spacing w:before="240" w:after="120"/>
      </w:pPr>
      <w:r>
        <w:rPr>
          <w:rFonts w:ascii="Times New Roman" w:hAnsi="Times New Roman"/>
          <w:b/>
          <w:color w:val="366092"/>
          <w:sz w:val="26"/>
        </w:rPr>
        <w:t>2.7.4 Section Synthesis and Alignment with Proposed Artefact</w:t>
      </w:r>
    </w:p>
    <w:p>
      <w:pPr>
        <w:spacing w:after="120" w:line="300" w:lineRule="auto"/>
      </w:pPr>
      <w:r>
        <w:rPr>
          <w:rFonts w:ascii="Times New Roman" w:hAnsi="Times New Roman"/>
          <w:sz w:val="24"/>
        </w:rPr>
        <w:t>IaC guarantees deployment reproducibility, but automated scripts will reproduce security errors if unvetted.</w:t>
      </w:r>
    </w:p>
    <w:p>
      <w:pPr>
        <w:spacing w:after="120" w:line="300" w:lineRule="auto"/>
      </w:pPr>
      <w:r>
        <w:rPr>
          <w:rFonts w:ascii="Times New Roman" w:hAnsi="Times New Roman"/>
          <w:b/>
          <w:sz w:val="24"/>
        </w:rPr>
        <w:t>Link to Proposed Artefact</w:t>
      </w:r>
      <w:r>
        <w:rPr>
          <w:rFonts w:ascii="Times New Roman" w:hAnsi="Times New Roman"/>
          <w:sz w:val="24"/>
        </w:rPr>
        <w:t>: The project structures its Terraform codebase into modular, parameterised sub-directories (</w:t>
      </w:r>
      <w:r>
        <w:rPr>
          <w:rFonts w:ascii="Consolas" w:hAnsi="Consolas"/>
          <w:color w:val="881515"/>
          <w:sz w:val="21"/>
        </w:rPr>
        <w:t>aws-network</w:t>
      </w:r>
      <w:r>
        <w:rPr>
          <w:rFonts w:ascii="Times New Roman" w:hAnsi="Times New Roman"/>
          <w:sz w:val="24"/>
        </w:rPr>
        <w:t xml:space="preserve">, </w:t>
      </w:r>
      <w:r>
        <w:rPr>
          <w:rFonts w:ascii="Consolas" w:hAnsi="Consolas"/>
          <w:color w:val="881515"/>
          <w:sz w:val="21"/>
        </w:rPr>
        <w:t>azure-network</w:t>
      </w:r>
      <w:r>
        <w:rPr>
          <w:rFonts w:ascii="Times New Roman" w:hAnsi="Times New Roman"/>
          <w:sz w:val="24"/>
        </w:rPr>
        <w:t xml:space="preserve">, </w:t>
      </w:r>
      <w:r>
        <w:rPr>
          <w:rFonts w:ascii="Consolas" w:hAnsi="Consolas"/>
          <w:color w:val="881515"/>
          <w:sz w:val="21"/>
        </w:rPr>
        <w:t>aws-vpn</w:t>
      </w:r>
      <w:r>
        <w:rPr>
          <w:rFonts w:ascii="Times New Roman" w:hAnsi="Times New Roman"/>
          <w:sz w:val="24"/>
        </w:rPr>
        <w:t xml:space="preserve">, </w:t>
      </w:r>
      <w:r>
        <w:rPr>
          <w:rFonts w:ascii="Consolas" w:hAnsi="Consolas"/>
          <w:color w:val="881515"/>
          <w:sz w:val="21"/>
        </w:rPr>
        <w:t>azure-vpn</w:t>
      </w:r>
      <w:r>
        <w:rPr>
          <w:rFonts w:ascii="Times New Roman" w:hAnsi="Times New Roman"/>
          <w:sz w:val="24"/>
        </w:rPr>
        <w:t xml:space="preserve">, </w:t>
      </w:r>
      <w:r>
        <w:rPr>
          <w:rFonts w:ascii="Consolas" w:hAnsi="Consolas"/>
          <w:color w:val="881515"/>
          <w:sz w:val="21"/>
        </w:rPr>
        <w:t>identity</w:t>
      </w:r>
      <w:r>
        <w:rPr>
          <w:rFonts w:ascii="Times New Roman" w:hAnsi="Times New Roman"/>
          <w:sz w:val="24"/>
        </w:rPr>
        <w:t xml:space="preserve">, </w:t>
      </w:r>
      <w:r>
        <w:rPr>
          <w:rFonts w:ascii="Consolas" w:hAnsi="Consolas"/>
          <w:color w:val="881515"/>
          <w:sz w:val="21"/>
        </w:rPr>
        <w:t>workload</w:t>
      </w:r>
      <w:r>
        <w:rPr>
          <w:rFonts w:ascii="Times New Roman" w:hAnsi="Times New Roman"/>
          <w:sz w:val="24"/>
        </w:rPr>
        <w:t>). State material is secured in an encrypted Azure Storage Account backend with state locking, and secrets are injected securely via environment variables (</w:t>
      </w:r>
      <w:r>
        <w:rPr>
          <w:rFonts w:ascii="Consolas" w:hAnsi="Consolas"/>
          <w:color w:val="881515"/>
          <w:sz w:val="21"/>
        </w:rPr>
        <w:t>TF_VAR_</w:t>
      </w:r>
      <w:r>
        <w:rPr>
          <w:rFonts w:ascii="Times New Roman" w:hAnsi="Times New Roman"/>
          <w:sz w:val="24"/>
        </w:rPr>
        <w:t>) rather than hardcoded in source repositories.</w:t>
      </w:r>
    </w:p>
    <w:p>
      <w:pPr>
        <w:spacing w:before="120" w:after="120"/>
      </w:pPr>
      <w:r>
        <w:rPr>
          <w:color w:val="CCCCCC"/>
        </w:rPr>
        <w:t>――――――――――――――――――――――――――――――――――――――――――――――――――</w:t>
      </w:r>
    </w:p>
    <w:p>
      <w:pPr>
        <w:keepNext/>
        <w:spacing w:before="280" w:after="160"/>
      </w:pPr>
      <w:r>
        <w:rPr>
          <w:rFonts w:ascii="Times New Roman" w:hAnsi="Times New Roman"/>
          <w:b/>
          <w:color w:val="1F497D"/>
          <w:sz w:val="30"/>
        </w:rPr>
        <w:t>2.8 Identity Federation and Multi-Cloud Access Governance</w:t>
      </w:r>
    </w:p>
    <w:p>
      <w:pPr>
        <w:keepNext/>
        <w:spacing w:before="240" w:after="120"/>
      </w:pPr>
      <w:r>
        <w:rPr>
          <w:rFonts w:ascii="Times New Roman" w:hAnsi="Times New Roman"/>
          <w:b/>
          <w:color w:val="366092"/>
          <w:sz w:val="26"/>
        </w:rPr>
        <w:t>2.8.1 Identity as the Primary Multi-Cloud Perimeter</w:t>
      </w:r>
    </w:p>
    <w:p>
      <w:pPr>
        <w:spacing w:after="120" w:line="300" w:lineRule="auto"/>
      </w:pPr>
      <w:r>
        <w:rPr>
          <w:rFonts w:ascii="Times New Roman" w:hAnsi="Times New Roman"/>
          <w:sz w:val="24"/>
        </w:rPr>
        <w:t>In distributed multi-cloud architectures, network location no longer provides a defensible security boundary. Identity functions as the central control plane (Bertino &amp; Takahashi, 2011; Al-Sboui et al., 2024). Maintaining separate IAM credentials in AWS and Azure causes administrative duplication, inconsistent password policies, and dangerous offboarding delays.</w:t>
      </w:r>
    </w:p>
    <w:p>
      <w:pPr>
        <w:keepNext/>
        <w:spacing w:before="240" w:after="120"/>
      </w:pPr>
      <w:r>
        <w:rPr>
          <w:rFonts w:ascii="Times New Roman" w:hAnsi="Times New Roman"/>
          <w:b/>
          <w:color w:val="366092"/>
          <w:sz w:val="26"/>
        </w:rPr>
        <w:t>2.8.2 SAML 2.0 and SCIM Protocol Standards</w:t>
      </w:r>
    </w:p>
    <w:p>
      <w:pPr>
        <w:spacing w:after="120" w:line="300" w:lineRule="auto"/>
      </w:pPr>
      <w:r>
        <w:rPr>
          <w:rFonts w:ascii="Times New Roman" w:hAnsi="Times New Roman"/>
          <w:sz w:val="24"/>
        </w:rPr>
        <w:t>Enterprise identity federation relies on open standards:</w:t>
      </w:r>
    </w:p>
    <w:p>
      <w:pPr>
        <w:pStyle w:val="ListBullet"/>
        <w:spacing w:after="80"/>
        <w:ind w:left="360"/>
      </w:pPr>
      <w:r>
        <w:rPr>
          <w:rFonts w:ascii="Times New Roman" w:hAnsi="Times New Roman"/>
          <w:b/>
          <w:sz w:val="24"/>
        </w:rPr>
        <w:t>SAML 2.0 (Security Assertion Markup Language)</w:t>
      </w:r>
      <w:r>
        <w:rPr>
          <w:rFonts w:ascii="Times New Roman" w:hAnsi="Times New Roman"/>
          <w:sz w:val="24"/>
        </w:rPr>
        <w:t>: Enables browser-based Single Sign-On (SSO). A central Identity Provider (IdP)—such as Microsoft Entra ID—authenticates the user and issues a cryptographically signed SAML assertion. The Service Provider (SP)—such as AWS IAM Identity Center—validates the assertion and maps the user to an authorized role, issuing short-lived Security Token Service (STS) credentials.</w:t>
      </w:r>
    </w:p>
    <w:p>
      <w:pPr>
        <w:pStyle w:val="ListBullet"/>
        <w:spacing w:after="80"/>
        <w:ind w:left="360"/>
      </w:pPr>
      <w:r>
        <w:rPr>
          <w:rFonts w:ascii="Times New Roman" w:hAnsi="Times New Roman"/>
          <w:b/>
          <w:sz w:val="24"/>
        </w:rPr>
        <w:t>SCIM 2.0 (System for Cross-domain Identity Management)</w:t>
      </w:r>
      <w:r>
        <w:rPr>
          <w:rFonts w:ascii="Times New Roman" w:hAnsi="Times New Roman"/>
          <w:sz w:val="24"/>
        </w:rPr>
        <w:t>: Automates user and group provisioning/deprovisioning between the IdP and SP over RESTful APIs. When an employee is disabled in Entra ID, SCIM automatically revokes their access in AWS.</w:t>
      </w:r>
    </w:p>
    <w:p>
      <w:pPr>
        <w:keepNext/>
        <w:spacing w:before="240" w:after="80"/>
        <w:jc w:val="center"/>
      </w:pPr>
      <w:r>
        <w:drawing>
          <wp:inline xmlns:a="http://schemas.openxmlformats.org/drawingml/2006/main" xmlns:pic="http://schemas.openxmlformats.org/drawingml/2006/picture">
            <wp:extent cx="5486400" cy="2992582"/>
            <wp:docPr id="5" name="Picture 5"/>
            <wp:cNvGraphicFramePr>
              <a:graphicFrameLocks noChangeAspect="1"/>
            </wp:cNvGraphicFramePr>
            <a:graphic>
              <a:graphicData uri="http://schemas.openxmlformats.org/drawingml/2006/picture">
                <pic:pic>
                  <pic:nvPicPr>
                    <pic:cNvPr id="0" name="fig2_4_saml_federation.png"/>
                    <pic:cNvPicPr/>
                  </pic:nvPicPr>
                  <pic:blipFill>
                    <a:blip r:embed="rId13"/>
                    <a:stretch>
                      <a:fillRect/>
                    </a:stretch>
                  </pic:blipFill>
                  <pic:spPr>
                    <a:xfrm>
                      <a:off x="0" y="0"/>
                      <a:ext cx="5486400" cy="2992582"/>
                    </a:xfrm>
                    <a:prstGeom prst="rect"/>
                  </pic:spPr>
                </pic:pic>
              </a:graphicData>
            </a:graphic>
          </wp:inline>
        </w:drawing>
      </w:r>
    </w:p>
    <w:p>
      <w:pPr>
        <w:spacing w:after="120" w:line="300" w:lineRule="auto"/>
        <w:jc w:val="center"/>
      </w:pPr>
      <w:r>
        <w:rPr>
          <w:rFonts w:ascii="Times New Roman" w:hAnsi="Times New Roman"/>
          <w:b/>
          <w:sz w:val="24"/>
        </w:rPr>
        <w:t>Figure 2.4: SAML 2.0 Federated Authentication Sequence Between Entra ID and AWS</w:t>
      </w:r>
    </w:p>
    <w:p>
      <w:pPr>
        <w:keepNext/>
        <w:spacing w:before="240" w:after="120"/>
      </w:pPr>
      <w:r>
        <w:rPr>
          <w:rFonts w:ascii="Times New Roman" w:hAnsi="Times New Roman"/>
          <w:b/>
          <w:color w:val="366092"/>
          <w:sz w:val="26"/>
        </w:rPr>
        <w:t>2.8.3 Alignment with Nigerian Data Protection Requirements</w:t>
      </w:r>
    </w:p>
    <w:p>
      <w:pPr>
        <w:spacing w:after="120" w:line="300" w:lineRule="auto"/>
      </w:pPr>
      <w:r>
        <w:rPr>
          <w:rFonts w:ascii="Times New Roman" w:hAnsi="Times New Roman"/>
          <w:sz w:val="24"/>
        </w:rPr>
        <w:t xml:space="preserve">Centralized identity governance aligns directly with the </w:t>
      </w:r>
      <w:r>
        <w:rPr>
          <w:rFonts w:ascii="Times New Roman" w:hAnsi="Times New Roman"/>
          <w:b/>
          <w:sz w:val="24"/>
        </w:rPr>
        <w:t>Nigeria Data Protection Act 2023</w:t>
      </w:r>
      <w:r>
        <w:rPr>
          <w:rFonts w:ascii="Times New Roman" w:hAnsi="Times New Roman"/>
          <w:sz w:val="24"/>
        </w:rPr>
        <w:t>. Section 39 of the NDPA mandates that data controllers implement technical and organizational measures to ensure data confidentiality and prevent unauthorized access. Using federated identity with MFA, role-based access control (RBAC), and automated SCIM deprovisioning satisfies statutory accountability and auditability requirements under Nigerian law.</w:t>
      </w:r>
    </w:p>
    <w:p>
      <w:pPr>
        <w:keepNext/>
        <w:spacing w:before="240" w:after="120"/>
      </w:pPr>
      <w:r>
        <w:rPr>
          <w:rFonts w:ascii="Times New Roman" w:hAnsi="Times New Roman"/>
          <w:b/>
          <w:color w:val="366092"/>
          <w:sz w:val="26"/>
        </w:rPr>
        <w:t>2.8.4 Section Synthesis and Alignment with Proposed Artefact</w:t>
      </w:r>
    </w:p>
    <w:p>
      <w:pPr>
        <w:spacing w:after="120" w:line="300" w:lineRule="auto"/>
      </w:pPr>
      <w:r>
        <w:rPr>
          <w:rFonts w:ascii="Times New Roman" w:hAnsi="Times New Roman"/>
          <w:sz w:val="24"/>
        </w:rPr>
        <w:t>Federating workforce identity reduces credential proliferation and centralizes audit logging, but requires robust IdP protection to avoid creating a single point of compromise.</w:t>
      </w:r>
    </w:p>
    <w:p>
      <w:pPr>
        <w:spacing w:after="120" w:line="300" w:lineRule="auto"/>
      </w:pPr>
      <w:r>
        <w:rPr>
          <w:rFonts w:ascii="Times New Roman" w:hAnsi="Times New Roman"/>
          <w:b/>
          <w:sz w:val="24"/>
        </w:rPr>
        <w:t>Link to Proposed Artefact</w:t>
      </w:r>
      <w:r>
        <w:rPr>
          <w:rFonts w:ascii="Times New Roman" w:hAnsi="Times New Roman"/>
          <w:sz w:val="24"/>
        </w:rPr>
        <w:t xml:space="preserve">: The artefact establishes </w:t>
      </w:r>
      <w:r>
        <w:rPr>
          <w:rFonts w:ascii="Times New Roman" w:hAnsi="Times New Roman"/>
          <w:b/>
          <w:sz w:val="24"/>
        </w:rPr>
        <w:t>Microsoft Entra ID as the primary workforce Identity Provider</w:t>
      </w:r>
      <w:r>
        <w:rPr>
          <w:rFonts w:ascii="Times New Roman" w:hAnsi="Times New Roman"/>
          <w:sz w:val="24"/>
        </w:rPr>
        <w:t xml:space="preserve">, federating user access into </w:t>
      </w:r>
      <w:r>
        <w:rPr>
          <w:rFonts w:ascii="Times New Roman" w:hAnsi="Times New Roman"/>
          <w:b/>
          <w:sz w:val="24"/>
        </w:rPr>
        <w:t>AWS IAM Identity Center via SAML 2.0</w:t>
      </w:r>
      <w:r>
        <w:rPr>
          <w:rFonts w:ascii="Times New Roman" w:hAnsi="Times New Roman"/>
          <w:sz w:val="24"/>
        </w:rPr>
        <w:t>. Entra ID groups (</w:t>
      </w:r>
      <w:r>
        <w:rPr>
          <w:rFonts w:ascii="Consolas" w:hAnsi="Consolas"/>
          <w:color w:val="881515"/>
          <w:sz w:val="21"/>
        </w:rPr>
        <w:t>MC-Cloud-Admins</w:t>
      </w:r>
      <w:r>
        <w:rPr>
          <w:rFonts w:ascii="Times New Roman" w:hAnsi="Times New Roman"/>
          <w:sz w:val="24"/>
        </w:rPr>
        <w:t xml:space="preserve">, </w:t>
      </w:r>
      <w:r>
        <w:rPr>
          <w:rFonts w:ascii="Consolas" w:hAnsi="Consolas"/>
          <w:color w:val="881515"/>
          <w:sz w:val="21"/>
        </w:rPr>
        <w:t>MC-Network-Admins</w:t>
      </w:r>
      <w:r>
        <w:rPr>
          <w:rFonts w:ascii="Times New Roman" w:hAnsi="Times New Roman"/>
          <w:sz w:val="24"/>
        </w:rPr>
        <w:t xml:space="preserve">, </w:t>
      </w:r>
      <w:r>
        <w:rPr>
          <w:rFonts w:ascii="Consolas" w:hAnsi="Consolas"/>
          <w:color w:val="881515"/>
          <w:sz w:val="21"/>
        </w:rPr>
        <w:t>MC-Security-Auditors</w:t>
      </w:r>
      <w:r>
        <w:rPr>
          <w:rFonts w:ascii="Times New Roman" w:hAnsi="Times New Roman"/>
          <w:sz w:val="24"/>
        </w:rPr>
        <w:t>) are mapped to granular AWS permission sets, eliminating long-lived IAM user keys.</w:t>
      </w:r>
    </w:p>
    <w:p>
      <w:pPr>
        <w:spacing w:before="120" w:after="120"/>
      </w:pPr>
      <w:r>
        <w:rPr>
          <w:color w:val="CCCCCC"/>
        </w:rPr>
        <w:t>――――――――――――――――――――――――――――――――――――――――――――――――――</w:t>
      </w:r>
    </w:p>
    <w:p>
      <w:pPr>
        <w:keepNext/>
        <w:spacing w:before="280" w:after="160"/>
      </w:pPr>
      <w:r>
        <w:rPr>
          <w:rFonts w:ascii="Times New Roman" w:hAnsi="Times New Roman"/>
          <w:b/>
          <w:color w:val="1F497D"/>
          <w:sz w:val="30"/>
        </w:rPr>
        <w:t>2.9 Observability, Telemetry, and Cloud Security Assessment</w:t>
      </w:r>
    </w:p>
    <w:p>
      <w:pPr>
        <w:keepNext/>
        <w:spacing w:before="240" w:after="120"/>
      </w:pPr>
      <w:r>
        <w:rPr>
          <w:rFonts w:ascii="Times New Roman" w:hAnsi="Times New Roman"/>
          <w:b/>
          <w:color w:val="366092"/>
          <w:sz w:val="26"/>
        </w:rPr>
        <w:t>2.9.1 Multi-Cloud Telemetry and Log Correlation</w:t>
      </w:r>
    </w:p>
    <w:p>
      <w:pPr>
        <w:spacing w:after="120" w:line="300" w:lineRule="auto"/>
      </w:pPr>
      <w:r>
        <w:rPr>
          <w:rFonts w:ascii="Times New Roman" w:hAnsi="Times New Roman"/>
          <w:sz w:val="24"/>
        </w:rPr>
        <w:t>Security observability requires collecting, aggregating, and analyzing system events to detect unauthorized activity and audit system changes (Al-Aqrabi et al., 2024). Multi-cloud observability is challenging because AWS and Azure utilize different logging schemas, timestamp formats, and event severity scales:</w:t>
      </w:r>
    </w:p>
    <w:p>
      <w:pPr>
        <w:pStyle w:val="ListBullet"/>
        <w:spacing w:after="80"/>
        <w:ind w:left="360"/>
      </w:pPr>
      <w:r>
        <w:rPr>
          <w:rFonts w:ascii="Times New Roman" w:hAnsi="Times New Roman"/>
          <w:b/>
          <w:sz w:val="24"/>
        </w:rPr>
        <w:t>AWS Telemetry</w:t>
      </w:r>
      <w:r>
        <w:rPr>
          <w:rFonts w:ascii="Times New Roman" w:hAnsi="Times New Roman"/>
          <w:sz w:val="24"/>
        </w:rPr>
        <w:t>: AWS CloudTrail (management/API events), VPC Flow Logs (IP traffic metadata), Amazon CloudWatch (metrics/logs), and GuardDuty (threat detection).</w:t>
      </w:r>
    </w:p>
    <w:p>
      <w:pPr>
        <w:pStyle w:val="ListBullet"/>
        <w:spacing w:after="80"/>
        <w:ind w:left="360"/>
      </w:pPr>
      <w:r>
        <w:rPr>
          <w:rFonts w:ascii="Times New Roman" w:hAnsi="Times New Roman"/>
          <w:b/>
          <w:sz w:val="24"/>
        </w:rPr>
        <w:t>Azure Telemetry</w:t>
      </w:r>
      <w:r>
        <w:rPr>
          <w:rFonts w:ascii="Times New Roman" w:hAnsi="Times New Roman"/>
          <w:sz w:val="24"/>
        </w:rPr>
        <w:t>: Azure Activity Log (control plane events), VNet/NSG Flow Logs (traffic flows), Log Analytics / Azure Monitor (central repository), and Defender for Cloud (posture alerts).</w:t>
      </w:r>
    </w:p>
    <w:p>
      <w:pPr>
        <w:spacing w:after="120" w:line="300" w:lineRule="auto"/>
      </w:pPr>
      <w:r>
        <w:rPr>
          <w:rFonts w:ascii="Times New Roman" w:hAnsi="Times New Roman"/>
          <w:sz w:val="24"/>
        </w:rPr>
        <w:t>To achieve unified visibility, multi-cloud designs must aggregate selected event feeds into a centralized repository (e.g., Azure Log Analytics) or correlate events across native tools.</w:t>
      </w:r>
    </w:p>
    <w:p>
      <w:pPr>
        <w:keepNext/>
        <w:spacing w:before="240" w:after="120"/>
      </w:pPr>
      <w:r>
        <w:rPr>
          <w:rFonts w:ascii="Times New Roman" w:hAnsi="Times New Roman"/>
          <w:b/>
          <w:color w:val="366092"/>
          <w:sz w:val="26"/>
        </w:rPr>
        <w:t>2.9.2 Automated Posture Assessment: Prowler and ScoutSuite</w:t>
      </w:r>
    </w:p>
    <w:p>
      <w:pPr>
        <w:spacing w:after="120" w:line="300" w:lineRule="auto"/>
      </w:pPr>
      <w:r>
        <w:rPr>
          <w:rFonts w:ascii="Times New Roman" w:hAnsi="Times New Roman"/>
          <w:sz w:val="24"/>
        </w:rPr>
        <w:t>Automated configuration scanners evaluate cloud environments against security best practices and compliance benchmarks:</w:t>
      </w:r>
    </w:p>
    <w:p>
      <w:pPr>
        <w:pStyle w:val="ListBullet"/>
        <w:spacing w:after="80"/>
        <w:ind w:left="360"/>
      </w:pPr>
      <w:r>
        <w:rPr>
          <w:rFonts w:ascii="Times New Roman" w:hAnsi="Times New Roman"/>
          <w:b/>
          <w:sz w:val="24"/>
        </w:rPr>
        <w:t>Prowler</w:t>
      </w:r>
      <w:r>
        <w:rPr>
          <w:rFonts w:ascii="Times New Roman" w:hAnsi="Times New Roman"/>
          <w:sz w:val="24"/>
        </w:rPr>
        <w:t>: An open-source security assessment tool assessing AWS and Azure configurations against NIST SP 800-53, CIS Benchmarks, and ISO 27001. It identifies misconfigurations such as unencrypted storage, public endpoints, and permissive IAM roles.</w:t>
      </w:r>
    </w:p>
    <w:p>
      <w:pPr>
        <w:pStyle w:val="ListBullet"/>
        <w:spacing w:after="80"/>
        <w:ind w:left="360"/>
      </w:pPr>
      <w:r>
        <w:rPr>
          <w:rFonts w:ascii="Times New Roman" w:hAnsi="Times New Roman"/>
          <w:b/>
          <w:sz w:val="24"/>
        </w:rPr>
        <w:t>ScoutSuite</w:t>
      </w:r>
      <w:r>
        <w:rPr>
          <w:rFonts w:ascii="Times New Roman" w:hAnsi="Times New Roman"/>
          <w:sz w:val="24"/>
        </w:rPr>
        <w:t>: An open-source multi-cloud auditing tool that queries cloud provider APIs to construct an interactive attack-surface summary.</w:t>
      </w:r>
    </w:p>
    <w:p>
      <w:pPr>
        <w:spacing w:after="120" w:line="300" w:lineRule="auto"/>
      </w:pPr>
      <w:r>
        <w:rPr>
          <w:rFonts w:ascii="Times New Roman" w:hAnsi="Times New Roman"/>
          <w:sz w:val="24"/>
        </w:rPr>
        <w:t>Using both scanners provides cross-tool validation. However, scanner findings require manual reconciliation to eliminate false positives and account for deliberate lab constraints.</w:t>
      </w:r>
    </w:p>
    <w:p>
      <w:pPr>
        <w:keepNext/>
        <w:spacing w:before="240" w:after="120"/>
      </w:pPr>
      <w:r>
        <w:rPr>
          <w:rFonts w:ascii="Times New Roman" w:hAnsi="Times New Roman"/>
          <w:b/>
          <w:color w:val="366092"/>
          <w:sz w:val="26"/>
        </w:rPr>
        <w:t>2.9.3 Section Synthesis and Alignment with Proposed Artefact</w:t>
      </w:r>
    </w:p>
    <w:p>
      <w:pPr>
        <w:spacing w:after="120" w:line="300" w:lineRule="auto"/>
      </w:pPr>
      <w:r>
        <w:rPr>
          <w:rFonts w:ascii="Times New Roman" w:hAnsi="Times New Roman"/>
          <w:sz w:val="24"/>
        </w:rPr>
        <w:t>Observability is essential for Zero Trust continuous verification. Scanning tools supply objective evidence of configuration posture.</w:t>
      </w:r>
    </w:p>
    <w:p>
      <w:pPr>
        <w:spacing w:after="120" w:line="300" w:lineRule="auto"/>
      </w:pPr>
      <w:r>
        <w:rPr>
          <w:rFonts w:ascii="Times New Roman" w:hAnsi="Times New Roman"/>
          <w:b/>
          <w:sz w:val="24"/>
        </w:rPr>
        <w:t>Link to Proposed Artefact</w:t>
      </w:r>
      <w:r>
        <w:rPr>
          <w:rFonts w:ascii="Times New Roman" w:hAnsi="Times New Roman"/>
          <w:sz w:val="24"/>
        </w:rPr>
        <w:t xml:space="preserve">: The project configures comprehensive logging across both environments (CloudTrail, VPC Flow Logs, CloudWatch, Azure Activity Log, Log Analytics). The implemented environment is audited using </w:t>
      </w:r>
      <w:r>
        <w:rPr>
          <w:rFonts w:ascii="Times New Roman" w:hAnsi="Times New Roman"/>
          <w:b/>
          <w:sz w:val="24"/>
        </w:rPr>
        <w:t>Prowler and ScoutSuite</w:t>
      </w:r>
      <w:r>
        <w:rPr>
          <w:rFonts w:ascii="Times New Roman" w:hAnsi="Times New Roman"/>
          <w:sz w:val="24"/>
        </w:rPr>
        <w:t>, and findings are classified in a formal remediation register.</w:t>
      </w:r>
    </w:p>
    <w:p>
      <w:pPr>
        <w:spacing w:before="120" w:after="120"/>
      </w:pPr>
      <w:r>
        <w:rPr>
          <w:color w:val="CCCCCC"/>
        </w:rPr>
        <w:t>――――――――――――――――――――――――――――――――――――――――――――――――――</w:t>
      </w:r>
    </w:p>
    <w:p>
      <w:pPr>
        <w:keepNext/>
        <w:spacing w:before="280" w:after="160"/>
      </w:pPr>
      <w:r>
        <w:rPr>
          <w:rFonts w:ascii="Times New Roman" w:hAnsi="Times New Roman"/>
          <w:b/>
          <w:color w:val="1F497D"/>
          <w:sz w:val="30"/>
        </w:rPr>
        <w:t>2.10 Review of Recent Empirical Research (2022–2026)</w:t>
      </w:r>
    </w:p>
    <w:p>
      <w:pPr>
        <w:spacing w:after="120" w:line="300" w:lineRule="auto"/>
      </w:pPr>
      <w:r>
        <w:rPr>
          <w:rFonts w:ascii="Times New Roman" w:hAnsi="Times New Roman"/>
          <w:sz w:val="24"/>
        </w:rPr>
        <w:t>Recent academic literature highlights emerging consensus, implementation trade-offs, and critical gaps in multi-cloud architecture and Zero Trust operationalization:</w:t>
      </w:r>
    </w:p>
    <w:p>
      <w:pPr>
        <w:pStyle w:val="ListBullet"/>
        <w:spacing w:after="80"/>
        <w:ind w:left="360"/>
      </w:pPr>
      <w:r>
        <w:rPr>
          <w:rFonts w:ascii="Times New Roman" w:hAnsi="Times New Roman"/>
          <w:b/>
          <w:sz w:val="24"/>
        </w:rPr>
        <w:t>Multi-Cloud Architecture &amp; Heterogeneity</w:t>
      </w:r>
      <w:r>
        <w:rPr>
          <w:rFonts w:ascii="Times New Roman" w:hAnsi="Times New Roman"/>
          <w:sz w:val="24"/>
        </w:rPr>
        <w:t>: Alonso et al. (2023) conducted a systematic literature review on multi-cloud computing, concluding that while multi-cloud improves fault tolerance and vendor independence, management complexity, cross-cloud security governance, and uncoordinated logging remain major barriers. Ouedraogo et al. (2023) demonstrated that multi-cloud connectivity without centralized policy enforcement increases administrative overhead by 40% and expands unmonitored attack surfaces.</w:t>
      </w:r>
    </w:p>
    <w:p>
      <w:pPr>
        <w:pStyle w:val="ListBullet"/>
        <w:spacing w:after="80"/>
        <w:ind w:left="360"/>
      </w:pPr>
      <w:r>
        <w:rPr>
          <w:rFonts w:ascii="Times New Roman" w:hAnsi="Times New Roman"/>
          <w:b/>
          <w:sz w:val="24"/>
        </w:rPr>
        <w:t>Zero Trust Implementation in Cloud</w:t>
      </w:r>
      <w:r>
        <w:rPr>
          <w:rFonts w:ascii="Times New Roman" w:hAnsi="Times New Roman"/>
          <w:sz w:val="24"/>
        </w:rPr>
        <w:t>: Syed et al. (2022) surveyed Zero Trust architectures, emphasizing that micro-segmentation and continuous identity verification are critical for cloud security. However, Sarkar et al. (2022) and Mushtaq et al. (2025) observed that most Zero Trust research remains conceptual or simulation-based; empirical validations on production-grade AWS–Azure public cloud setups remain scarce. Chandramouli &amp; Butcher (2023) established NIST SP 800-207A guidelines, highlighting that network-level filtering must be paired with workload identity.</w:t>
      </w:r>
    </w:p>
    <w:p>
      <w:pPr>
        <w:pStyle w:val="ListBullet"/>
        <w:spacing w:after="80"/>
        <w:ind w:left="360"/>
      </w:pPr>
      <w:r>
        <w:rPr>
          <w:rFonts w:ascii="Times New Roman" w:hAnsi="Times New Roman"/>
          <w:b/>
          <w:sz w:val="24"/>
        </w:rPr>
        <w:t>Infrastructure as Code Security</w:t>
      </w:r>
      <w:r>
        <w:rPr>
          <w:rFonts w:ascii="Times New Roman" w:hAnsi="Times New Roman"/>
          <w:sz w:val="24"/>
        </w:rPr>
        <w:t>: Verdet et al. (2023) conducted an empirical study of 812 open-source Terraform repositories, revealing that 42% contained neglected security controls—most notably unencrypted storage, exposed secrets, and default allow-all firewall rules. Farhana et al. (2024) confirmed that IaC automation often replicates security anti-patterns across multiple providers if code reviews and static analysis are absent.</w:t>
      </w:r>
    </w:p>
    <w:p>
      <w:pPr>
        <w:pStyle w:val="ListBullet"/>
        <w:spacing w:after="80"/>
        <w:ind w:left="360"/>
      </w:pPr>
      <w:r>
        <w:rPr>
          <w:rFonts w:ascii="Times New Roman" w:hAnsi="Times New Roman"/>
          <w:b/>
          <w:sz w:val="24"/>
        </w:rPr>
        <w:t>Identity Governance &amp; Nigerian Context</w:t>
      </w:r>
      <w:r>
        <w:rPr>
          <w:rFonts w:ascii="Times New Roman" w:hAnsi="Times New Roman"/>
          <w:sz w:val="24"/>
        </w:rPr>
        <w:t>: Al-Sboui et al. (2024) analyzed federated identity in hybrid environments, proving that automated SCIM provisioning reduces stale account vulnerability windows by over 80%. In Nigeria, recent policy documents—such as the National Cloud Policy 2025 (NITDA, 2025) and the NDPC Implementation Directive (2025)—underscore that technical cloud designs must incorporate explicit data sovereignty, localized encryption management, and formal auditability to meet national regulatory baselines.</w:t>
      </w:r>
    </w:p>
    <w:p>
      <w:pPr>
        <w:spacing w:before="120" w:after="120"/>
      </w:pPr>
      <w:r>
        <w:rPr>
          <w:color w:val="CCCCCC"/>
        </w:rPr>
        <w:t>――――――――――――――――――――――――――――――――――――――――――――――――――</w:t>
      </w:r>
    </w:p>
    <w:p>
      <w:pPr>
        <w:keepNext/>
        <w:spacing w:before="280" w:after="160"/>
      </w:pPr>
      <w:r>
        <w:rPr>
          <w:rFonts w:ascii="Times New Roman" w:hAnsi="Times New Roman"/>
          <w:b/>
          <w:color w:val="1F497D"/>
          <w:sz w:val="30"/>
        </w:rPr>
        <w:t>2.11 Review of Existing Solution Approaches</w:t>
      </w:r>
    </w:p>
    <w:p>
      <w:pPr>
        <w:spacing w:after="120" w:line="300" w:lineRule="auto"/>
      </w:pPr>
      <w:r>
        <w:rPr>
          <w:rFonts w:ascii="Times New Roman" w:hAnsi="Times New Roman"/>
          <w:sz w:val="24"/>
        </w:rPr>
        <w:t>To justify the selected architecture, existing inter-cloud connection patterns must be critically evaluated across security consistency, resilience, operational complexity, reproducibility, and financial feasibility:</w:t>
      </w:r>
    </w:p>
    <w:p>
      <w:pPr>
        <w:keepNext/>
        <w:spacing w:before="240" w:after="80"/>
        <w:jc w:val="center"/>
      </w:pPr>
      <w:r>
        <w:drawing>
          <wp:inline xmlns:a="http://schemas.openxmlformats.org/drawingml/2006/main" xmlns:pic="http://schemas.openxmlformats.org/drawingml/2006/picture">
            <wp:extent cx="5486400" cy="4148196"/>
            <wp:docPr id="6" name="Picture 6"/>
            <wp:cNvGraphicFramePr>
              <a:graphicFrameLocks noChangeAspect="1"/>
            </wp:cNvGraphicFramePr>
            <a:graphic>
              <a:graphicData uri="http://schemas.openxmlformats.org/drawingml/2006/picture">
                <pic:pic>
                  <pic:nvPicPr>
                    <pic:cNvPr id="0" name="fig2_5_solution_quadrant.png"/>
                    <pic:cNvPicPr/>
                  </pic:nvPicPr>
                  <pic:blipFill>
                    <a:blip r:embed="rId14"/>
                    <a:stretch>
                      <a:fillRect/>
                    </a:stretch>
                  </pic:blipFill>
                  <pic:spPr>
                    <a:xfrm>
                      <a:off x="0" y="0"/>
                      <a:ext cx="5486400" cy="4148196"/>
                    </a:xfrm>
                    <a:prstGeom prst="rect"/>
                  </pic:spPr>
                </pic:pic>
              </a:graphicData>
            </a:graphic>
          </wp:inline>
        </w:drawing>
      </w:r>
    </w:p>
    <w:p>
      <w:pPr>
        <w:spacing w:after="120" w:line="300" w:lineRule="auto"/>
        <w:jc w:val="center"/>
      </w:pPr>
      <w:r>
        <w:rPr>
          <w:rFonts w:ascii="Times New Roman" w:hAnsi="Times New Roman"/>
          <w:b/>
          <w:sz w:val="24"/>
        </w:rPr>
        <w:t>Figure 2.5: Evaluation of Solution Approaches on Security Consistency and Implementation Feasibility</w:t>
      </w:r>
    </w:p>
    <w:p>
      <w:pPr>
        <w:keepNext/>
        <w:spacing w:before="240" w:after="120"/>
      </w:pPr>
      <w:r>
        <w:rPr>
          <w:rFonts w:ascii="Times New Roman" w:hAnsi="Times New Roman"/>
          <w:b/>
          <w:color w:val="366092"/>
          <w:sz w:val="26"/>
        </w:rPr>
        <w:t>2.11.1 Approach 1: Ad-Hoc Point-to-Point IPsec VPN</w:t>
      </w:r>
    </w:p>
    <w:p>
      <w:pPr>
        <w:pStyle w:val="ListBullet"/>
        <w:spacing w:after="80"/>
        <w:ind w:left="360"/>
      </w:pPr>
      <w:r>
        <w:rPr>
          <w:rFonts w:ascii="Times New Roman" w:hAnsi="Times New Roman"/>
          <w:b/>
          <w:sz w:val="24"/>
        </w:rPr>
        <w:t>Description</w:t>
      </w:r>
      <w:r>
        <w:rPr>
          <w:rFonts w:ascii="Times New Roman" w:hAnsi="Times New Roman"/>
          <w:sz w:val="24"/>
        </w:rPr>
        <w:t>: Creates direct, unmanaged IPsec tunnels between individual AWS VPC subnets and Azure VNets using broad CIDR rules (</w:t>
      </w:r>
      <w:r>
        <w:rPr>
          <w:rFonts w:ascii="Consolas" w:hAnsi="Consolas"/>
          <w:color w:val="881515"/>
          <w:sz w:val="21"/>
        </w:rPr>
        <w:t>0.0.0.0/0</w:t>
      </w:r>
      <w:r>
        <w:rPr>
          <w:rFonts w:ascii="Times New Roman" w:hAnsi="Times New Roman"/>
          <w:sz w:val="24"/>
        </w:rPr>
        <w:t xml:space="preserve"> or </w:t>
      </w:r>
      <w:r>
        <w:rPr>
          <w:rFonts w:ascii="Consolas" w:hAnsi="Consolas"/>
          <w:color w:val="881515"/>
          <w:sz w:val="21"/>
        </w:rPr>
        <w:t>/16</w:t>
      </w:r>
      <w:r>
        <w:rPr>
          <w:rFonts w:ascii="Times New Roman" w:hAnsi="Times New Roman"/>
          <w:sz w:val="24"/>
        </w:rPr>
        <w:t>) and static routing.</w:t>
      </w:r>
    </w:p>
    <w:p>
      <w:pPr>
        <w:pStyle w:val="ListBullet"/>
        <w:spacing w:after="80"/>
        <w:ind w:left="360"/>
      </w:pPr>
      <w:r>
        <w:rPr>
          <w:rFonts w:ascii="Times New Roman" w:hAnsi="Times New Roman"/>
          <w:b/>
          <w:sz w:val="24"/>
        </w:rPr>
        <w:t>Limitations</w:t>
      </w:r>
      <w:r>
        <w:rPr>
          <w:rFonts w:ascii="Times New Roman" w:hAnsi="Times New Roman"/>
          <w:sz w:val="24"/>
        </w:rPr>
        <w:t xml:space="preserve">: High risk of lateral movement; inconsistent security rules; single point of network failure; no identity integration; uncoordinated logging. </w:t>
      </w:r>
      <w:r>
        <w:rPr>
          <w:rFonts w:ascii="Times New Roman" w:hAnsi="Times New Roman"/>
          <w:i/>
          <w:sz w:val="24"/>
        </w:rPr>
        <w:t>Represents the insecure baseline practice.</w:t>
      </w:r>
    </w:p>
    <w:p>
      <w:pPr>
        <w:keepNext/>
        <w:spacing w:before="240" w:after="120"/>
      </w:pPr>
      <w:r>
        <w:rPr>
          <w:rFonts w:ascii="Times New Roman" w:hAnsi="Times New Roman"/>
          <w:b/>
          <w:color w:val="366092"/>
          <w:sz w:val="26"/>
        </w:rPr>
        <w:t>2.11.2 Approach 2: Native Provider Hub-and-Spoke (AWS TGW + Azure VNG) [Selected]</w:t>
      </w:r>
    </w:p>
    <w:p>
      <w:pPr>
        <w:pStyle w:val="ListBullet"/>
        <w:spacing w:after="80"/>
        <w:ind w:left="360"/>
      </w:pPr>
      <w:r>
        <w:rPr>
          <w:rFonts w:ascii="Times New Roman" w:hAnsi="Times New Roman"/>
          <w:b/>
          <w:sz w:val="24"/>
        </w:rPr>
        <w:t>Description</w:t>
      </w:r>
      <w:r>
        <w:rPr>
          <w:rFonts w:ascii="Times New Roman" w:hAnsi="Times New Roman"/>
          <w:sz w:val="24"/>
        </w:rPr>
        <w:t>: Uses native provider transit hubs (</w:t>
      </w:r>
      <w:r>
        <w:rPr>
          <w:rFonts w:ascii="Times New Roman" w:hAnsi="Times New Roman"/>
          <w:b/>
          <w:sz w:val="24"/>
        </w:rPr>
        <w:t>AWS Transit Gateway</w:t>
      </w:r>
      <w:r>
        <w:rPr>
          <w:rFonts w:ascii="Times New Roman" w:hAnsi="Times New Roman"/>
          <w:sz w:val="24"/>
        </w:rPr>
        <w:t xml:space="preserve"> and </w:t>
      </w:r>
      <w:r>
        <w:rPr>
          <w:rFonts w:ascii="Times New Roman" w:hAnsi="Times New Roman"/>
          <w:b/>
          <w:sz w:val="24"/>
        </w:rPr>
        <w:t>Azure Hub VNet / Active-Active VPN Gateway</w:t>
      </w:r>
      <w:r>
        <w:rPr>
          <w:rFonts w:ascii="Times New Roman" w:hAnsi="Times New Roman"/>
          <w:sz w:val="24"/>
        </w:rPr>
        <w:t>) connected via route-based IKEv2 IPsec VPN with BGP dynamic routing, parameterised using Terraform.</w:t>
      </w:r>
    </w:p>
    <w:p>
      <w:pPr>
        <w:pStyle w:val="ListBullet"/>
        <w:spacing w:after="80"/>
        <w:ind w:left="360"/>
      </w:pPr>
      <w:r>
        <w:rPr>
          <w:rFonts w:ascii="Times New Roman" w:hAnsi="Times New Roman"/>
          <w:b/>
          <w:sz w:val="24"/>
        </w:rPr>
        <w:t>Advantages</w:t>
      </w:r>
      <w:r>
        <w:rPr>
          <w:rFonts w:ascii="Times New Roman" w:hAnsi="Times New Roman"/>
          <w:sz w:val="24"/>
        </w:rPr>
        <w:t>: Provider-supported, mature APIs, fully deployable via IaC, cost-effective for proof-of-concept, high security consistency when coupled with micro-segmentation and Entra ID federation.</w:t>
      </w:r>
    </w:p>
    <w:p>
      <w:pPr>
        <w:pStyle w:val="ListBullet"/>
        <w:spacing w:after="80"/>
        <w:ind w:left="360"/>
      </w:pPr>
      <w:r>
        <w:rPr>
          <w:rFonts w:ascii="Times New Roman" w:hAnsi="Times New Roman"/>
          <w:b/>
          <w:sz w:val="24"/>
        </w:rPr>
        <w:t>Limitations</w:t>
      </w:r>
      <w:r>
        <w:rPr>
          <w:rFonts w:ascii="Times New Roman" w:hAnsi="Times New Roman"/>
          <w:sz w:val="24"/>
        </w:rPr>
        <w:t>: Requires deep expertise in both AWS and Azure networking and route propagation mechanics.</w:t>
      </w:r>
    </w:p>
    <w:p>
      <w:pPr>
        <w:keepNext/>
        <w:spacing w:before="240" w:after="120"/>
      </w:pPr>
      <w:r>
        <w:rPr>
          <w:rFonts w:ascii="Times New Roman" w:hAnsi="Times New Roman"/>
          <w:b/>
          <w:color w:val="366092"/>
          <w:sz w:val="26"/>
        </w:rPr>
        <w:t>2.11.3 Approach 3: Dedicated Private Interconnect (AWS Direct Connect + Azure ExpressRoute)</w:t>
      </w:r>
    </w:p>
    <w:p>
      <w:pPr>
        <w:pStyle w:val="ListBullet"/>
        <w:spacing w:after="80"/>
        <w:ind w:left="360"/>
      </w:pPr>
      <w:r>
        <w:rPr>
          <w:rFonts w:ascii="Times New Roman" w:hAnsi="Times New Roman"/>
          <w:b/>
          <w:sz w:val="24"/>
        </w:rPr>
        <w:t>Description</w:t>
      </w:r>
      <w:r>
        <w:rPr>
          <w:rFonts w:ascii="Times New Roman" w:hAnsi="Times New Roman"/>
          <w:sz w:val="24"/>
        </w:rPr>
        <w:t>: Connects cloud environments via dedicated, private telecommunications circuits and cloud exchange providers.</w:t>
      </w:r>
    </w:p>
    <w:p>
      <w:pPr>
        <w:pStyle w:val="ListBullet"/>
        <w:spacing w:after="80"/>
        <w:ind w:left="360"/>
      </w:pPr>
      <w:r>
        <w:rPr>
          <w:rFonts w:ascii="Times New Roman" w:hAnsi="Times New Roman"/>
          <w:b/>
          <w:sz w:val="24"/>
        </w:rPr>
        <w:t>Advantages</w:t>
      </w:r>
      <w:r>
        <w:rPr>
          <w:rFonts w:ascii="Times New Roman" w:hAnsi="Times New Roman"/>
          <w:sz w:val="24"/>
        </w:rPr>
        <w:t>: Highly predictable latency, high throughput, bypasses public Internet entirely.</w:t>
      </w:r>
    </w:p>
    <w:p>
      <w:pPr>
        <w:pStyle w:val="ListBullet"/>
        <w:spacing w:after="80"/>
        <w:ind w:left="360"/>
      </w:pPr>
      <w:r>
        <w:rPr>
          <w:rFonts w:ascii="Times New Roman" w:hAnsi="Times New Roman"/>
          <w:b/>
          <w:sz w:val="24"/>
        </w:rPr>
        <w:t>Limitations</w:t>
      </w:r>
      <w:r>
        <w:rPr>
          <w:rFonts w:ascii="Times New Roman" w:hAnsi="Times New Roman"/>
          <w:sz w:val="24"/>
        </w:rPr>
        <w:t>: Prohibitive cost, long carrier procurement lead times, unsuitable for an academic laboratory project.</w:t>
      </w:r>
    </w:p>
    <w:p>
      <w:pPr>
        <w:keepNext/>
        <w:spacing w:before="240" w:after="120"/>
      </w:pPr>
      <w:r>
        <w:rPr>
          <w:rFonts w:ascii="Times New Roman" w:hAnsi="Times New Roman"/>
          <w:b/>
          <w:color w:val="366092"/>
          <w:sz w:val="26"/>
        </w:rPr>
        <w:t>2.11.4 Approach 4: Third-Party Multi-Cloud Overlay (e.g., Aviatrix, Megaport)</w:t>
      </w:r>
    </w:p>
    <w:p>
      <w:pPr>
        <w:pStyle w:val="ListBullet"/>
        <w:spacing w:after="80"/>
        <w:ind w:left="360"/>
      </w:pPr>
      <w:r>
        <w:rPr>
          <w:rFonts w:ascii="Times New Roman" w:hAnsi="Times New Roman"/>
          <w:b/>
          <w:sz w:val="24"/>
        </w:rPr>
        <w:t>Description</w:t>
      </w:r>
      <w:r>
        <w:rPr>
          <w:rFonts w:ascii="Times New Roman" w:hAnsi="Times New Roman"/>
          <w:sz w:val="24"/>
        </w:rPr>
        <w:t>: Deploys proprietary third-party software gateways across clouds to provide a unified routing and security control plane.</w:t>
      </w:r>
    </w:p>
    <w:p>
      <w:pPr>
        <w:pStyle w:val="ListBullet"/>
        <w:spacing w:after="80"/>
        <w:ind w:left="360"/>
      </w:pPr>
      <w:r>
        <w:rPr>
          <w:rFonts w:ascii="Times New Roman" w:hAnsi="Times New Roman"/>
          <w:b/>
          <w:sz w:val="24"/>
        </w:rPr>
        <w:t>Advantages</w:t>
      </w:r>
      <w:r>
        <w:rPr>
          <w:rFonts w:ascii="Times New Roman" w:hAnsi="Times New Roman"/>
          <w:sz w:val="24"/>
        </w:rPr>
        <w:t>: Abstracted management portal, simplified cross-cloud IP routing.</w:t>
      </w:r>
    </w:p>
    <w:p>
      <w:pPr>
        <w:pStyle w:val="ListBullet"/>
        <w:spacing w:after="80"/>
        <w:ind w:left="360"/>
      </w:pPr>
      <w:r>
        <w:rPr>
          <w:rFonts w:ascii="Times New Roman" w:hAnsi="Times New Roman"/>
          <w:b/>
          <w:sz w:val="24"/>
        </w:rPr>
        <w:t>Limitations</w:t>
      </w:r>
      <w:r>
        <w:rPr>
          <w:rFonts w:ascii="Times New Roman" w:hAnsi="Times New Roman"/>
          <w:sz w:val="24"/>
        </w:rPr>
        <w:t>: Commercial licensing costs, vendor lock-in to a third-party controller, masks underlying cloud provider mechanics.</w:t>
      </w:r>
    </w:p>
    <w:p>
      <w:pPr>
        <w:keepNext/>
        <w:spacing w:before="240" w:after="120"/>
      </w:pPr>
      <w:r>
        <w:rPr>
          <w:rFonts w:ascii="Times New Roman" w:hAnsi="Times New Roman"/>
          <w:b/>
          <w:color w:val="366092"/>
          <w:sz w:val="26"/>
        </w:rPr>
        <w:t>2.11.5 Approach 5: Service-Mesh Inter-Cloud (e.g., Istio / Linkerd Multi-Cluster)</w:t>
      </w:r>
    </w:p>
    <w:p>
      <w:pPr>
        <w:pStyle w:val="ListBullet"/>
        <w:spacing w:after="80"/>
        <w:ind w:left="360"/>
      </w:pPr>
      <w:r>
        <w:rPr>
          <w:rFonts w:ascii="Times New Roman" w:hAnsi="Times New Roman"/>
          <w:b/>
          <w:sz w:val="24"/>
        </w:rPr>
        <w:t>Description</w:t>
      </w:r>
      <w:r>
        <w:rPr>
          <w:rFonts w:ascii="Times New Roman" w:hAnsi="Times New Roman"/>
          <w:sz w:val="24"/>
        </w:rPr>
        <w:t>: Deploys service mesh proxies across containerised workloads (EKS/AKS) to enforce mutual TLS (mTLS) and microservice identities.</w:t>
      </w:r>
    </w:p>
    <w:p>
      <w:pPr>
        <w:pStyle w:val="ListBullet"/>
        <w:spacing w:after="80"/>
        <w:ind w:left="360"/>
      </w:pPr>
      <w:r>
        <w:rPr>
          <w:rFonts w:ascii="Times New Roman" w:hAnsi="Times New Roman"/>
          <w:b/>
          <w:sz w:val="24"/>
        </w:rPr>
        <w:t>Advantages</w:t>
      </w:r>
      <w:r>
        <w:rPr>
          <w:rFonts w:ascii="Times New Roman" w:hAnsi="Times New Roman"/>
          <w:sz w:val="24"/>
        </w:rPr>
        <w:t>: Granular Layer 7 (Application) Zero Trust security, aligns with NIST SP 800-207A.</w:t>
      </w:r>
    </w:p>
    <w:p>
      <w:pPr>
        <w:pStyle w:val="ListBullet"/>
        <w:spacing w:after="80"/>
        <w:ind w:left="360"/>
      </w:pPr>
      <w:r>
        <w:rPr>
          <w:rFonts w:ascii="Times New Roman" w:hAnsi="Times New Roman"/>
          <w:b/>
          <w:sz w:val="24"/>
        </w:rPr>
        <w:t>Limitations</w:t>
      </w:r>
      <w:r>
        <w:rPr>
          <w:rFonts w:ascii="Times New Roman" w:hAnsi="Times New Roman"/>
          <w:sz w:val="24"/>
        </w:rPr>
        <w:t>: Extreme operational complexity, high resource overhead, requires containerized microservices infrastructure.</w:t>
      </w:r>
    </w:p>
    <w:p>
      <w:pPr>
        <w:spacing w:before="120" w:after="120"/>
      </w:pPr>
      <w:r>
        <w:rPr>
          <w:color w:val="CCCCCC"/>
        </w:rPr>
        <w:t>――――――――――――――――――――――――――――――――――――――――――――――――――</w:t>
      </w:r>
    </w:p>
    <w:p>
      <w:pPr>
        <w:keepNext/>
        <w:spacing w:before="280" w:after="160"/>
      </w:pPr>
      <w:r>
        <w:rPr>
          <w:rFonts w:ascii="Times New Roman" w:hAnsi="Times New Roman"/>
          <w:b/>
          <w:color w:val="1F497D"/>
          <w:sz w:val="30"/>
        </w:rPr>
        <w:t>2.12 Critical Analysis of the Literature</w:t>
      </w:r>
    </w:p>
    <w:p>
      <w:pPr>
        <w:pStyle w:val="ListNumber"/>
        <w:spacing w:after="80"/>
        <w:ind w:left="360"/>
      </w:pPr>
      <w:r>
        <w:rPr>
          <w:rFonts w:ascii="Times New Roman" w:hAnsi="Times New Roman"/>
          <w:b/>
          <w:sz w:val="24"/>
        </w:rPr>
        <w:t>Multi-Cloud Benefits Are Conditional</w:t>
      </w:r>
      <w:r>
        <w:rPr>
          <w:rFonts w:ascii="Times New Roman" w:hAnsi="Times New Roman"/>
          <w:sz w:val="24"/>
        </w:rPr>
        <w:t>: Literature frequently touts resilience and vendor flexibility as automatic benefits of multi-cloud adoption. Critical evaluation reveals that deploying workloads across two clouds without rigorous cross-cloud failover testing and unified identity governance increases failure modes rather than reducing risk.</w:t>
      </w:r>
    </w:p>
    <w:p>
      <w:pPr>
        <w:pStyle w:val="ListNumber"/>
        <w:spacing w:after="80"/>
        <w:ind w:left="360"/>
      </w:pPr>
      <w:r>
        <w:rPr>
          <w:rFonts w:ascii="Times New Roman" w:hAnsi="Times New Roman"/>
          <w:b/>
          <w:sz w:val="24"/>
        </w:rPr>
        <w:t>Native Cloud Services Offer Capability, Not Automatic Integration</w:t>
      </w:r>
      <w:r>
        <w:rPr>
          <w:rFonts w:ascii="Times New Roman" w:hAnsi="Times New Roman"/>
          <w:sz w:val="24"/>
        </w:rPr>
        <w:t>: AWS and Azure provide sophisticated individual security tools. However, vendor documentation naturally focuses on single-platform operations. The challenge is synthesizing these disparate services into one coherent, cross-cloud security policy.</w:t>
      </w:r>
    </w:p>
    <w:p>
      <w:pPr>
        <w:pStyle w:val="ListNumber"/>
        <w:spacing w:after="80"/>
        <w:ind w:left="360"/>
      </w:pPr>
      <w:r>
        <w:rPr>
          <w:rFonts w:ascii="Times New Roman" w:hAnsi="Times New Roman"/>
          <w:b/>
          <w:sz w:val="24"/>
        </w:rPr>
        <w:t>Zero Trust Is an Architecture, Not a Product Feature</w:t>
      </w:r>
      <w:r>
        <w:rPr>
          <w:rFonts w:ascii="Times New Roman" w:hAnsi="Times New Roman"/>
          <w:sz w:val="24"/>
        </w:rPr>
        <w:t>: Vendor marketing often labels individual products (such as encrypted VPNs) as "Zero Trust." In reality, Zero Trust requires explicit policy engine evaluation, identity context, micro-segmentation, and continuous telemetry correlation across network, application, and identity layers.</w:t>
      </w:r>
    </w:p>
    <w:p>
      <w:pPr>
        <w:pStyle w:val="ListNumber"/>
        <w:spacing w:after="80"/>
        <w:ind w:left="360"/>
      </w:pPr>
      <w:r>
        <w:rPr>
          <w:rFonts w:ascii="Times New Roman" w:hAnsi="Times New Roman"/>
          <w:b/>
          <w:sz w:val="24"/>
        </w:rPr>
        <w:t>IaC Improves Repeatability But Can Automate Insecure Design</w:t>
      </w:r>
      <w:r>
        <w:rPr>
          <w:rFonts w:ascii="Times New Roman" w:hAnsi="Times New Roman"/>
          <w:sz w:val="24"/>
        </w:rPr>
        <w:t>: While Infrastructure as Code enables rapid, reproducible deployments, empirical studies show that Terraform scripts frequently contain security defects. IaC must be combined with static analysis, protected state backends, and post-deployment configuration auditing.</w:t>
      </w:r>
    </w:p>
    <w:p>
      <w:pPr>
        <w:pStyle w:val="ListNumber"/>
        <w:spacing w:after="80"/>
        <w:ind w:left="360"/>
      </w:pPr>
      <w:r>
        <w:rPr>
          <w:rFonts w:ascii="Times New Roman" w:hAnsi="Times New Roman"/>
          <w:b/>
          <w:sz w:val="24"/>
        </w:rPr>
        <w:t>Federation Centralizes Control and Risk</w:t>
      </w:r>
      <w:r>
        <w:rPr>
          <w:rFonts w:ascii="Times New Roman" w:hAnsi="Times New Roman"/>
          <w:sz w:val="24"/>
        </w:rPr>
        <w:t>: Federating AWS login to Microsoft Entra ID streamlines access control and auditability. However, it creates a single point of failure—if the central IdP is compromised or misconfigured, administrative access to both cloud platforms is compromised.</w:t>
      </w:r>
    </w:p>
    <w:p>
      <w:pPr>
        <w:spacing w:before="120" w:after="120"/>
      </w:pPr>
      <w:r>
        <w:rPr>
          <w:color w:val="CCCCCC"/>
        </w:rPr>
        <w:t>――――――――――――――――――――――――――――――――――――――――――――――――――</w:t>
      </w:r>
    </w:p>
    <w:p>
      <w:pPr>
        <w:keepNext/>
        <w:spacing w:before="280" w:after="160"/>
      </w:pPr>
      <w:r>
        <w:rPr>
          <w:rFonts w:ascii="Times New Roman" w:hAnsi="Times New Roman"/>
          <w:b/>
          <w:color w:val="1F497D"/>
          <w:sz w:val="30"/>
        </w:rPr>
        <w:t>2.13 Gap Analysis</w:t>
      </w:r>
    </w:p>
    <w:p>
      <w:pPr>
        <w:keepNext/>
        <w:spacing w:before="240" w:after="120"/>
      </w:pPr>
      <w:r>
        <w:rPr>
          <w:rFonts w:ascii="Times New Roman" w:hAnsi="Times New Roman"/>
          <w:b/>
          <w:color w:val="366092"/>
          <w:sz w:val="26"/>
        </w:rPr>
        <w:t>2.13.1 Identification of Literature and Practical Gaps</w:t>
      </w:r>
    </w:p>
    <w:p>
      <w:pPr>
        <w:spacing w:after="120" w:line="300" w:lineRule="auto"/>
      </w:pPr>
      <w:r>
        <w:rPr>
          <w:rFonts w:ascii="Times New Roman" w:hAnsi="Times New Roman"/>
          <w:sz w:val="24"/>
        </w:rPr>
        <w:t>Despite extensive published research on cloud security, Zero Trust, and IaC, six interconnected gaps persist:</w:t>
      </w:r>
    </w:p>
    <w:p>
      <w:pPr>
        <w:pStyle w:val="ListNumber"/>
        <w:spacing w:after="80"/>
        <w:ind w:left="360"/>
      </w:pPr>
      <w:r>
        <w:rPr>
          <w:rFonts w:ascii="Times New Roman" w:hAnsi="Times New Roman"/>
          <w:b/>
          <w:sz w:val="24"/>
        </w:rPr>
        <w:t>Conceptual Gap</w:t>
      </w:r>
      <w:r>
        <w:rPr>
          <w:rFonts w:ascii="Times New Roman" w:hAnsi="Times New Roman"/>
          <w:sz w:val="24"/>
        </w:rPr>
        <w:t>: Existing literature addresses Zero Trust, multi-cloud networking, and identity governance in isolation. There is a lack of an integrated conceptual-to-technical framework connecting NIST Zero Trust tenets, CSA CCM v4.1 controls, and concrete AWS–Azure configurations.</w:t>
      </w:r>
    </w:p>
    <w:p>
      <w:pPr>
        <w:pStyle w:val="ListNumber"/>
        <w:spacing w:after="80"/>
        <w:ind w:left="360"/>
      </w:pPr>
      <w:r>
        <w:rPr>
          <w:rFonts w:ascii="Times New Roman" w:hAnsi="Times New Roman"/>
          <w:b/>
          <w:sz w:val="24"/>
        </w:rPr>
        <w:t>Implementation Gap</w:t>
      </w:r>
      <w:r>
        <w:rPr>
          <w:rFonts w:ascii="Times New Roman" w:hAnsi="Times New Roman"/>
          <w:sz w:val="24"/>
        </w:rPr>
        <w:t>: Academic studies present theoretical frameworks or taxonomies, while vendor materials present single-cloud guides. There is a shortage of documented, end-to-end, reproducible implementations incorporating native AWS TGW, Azure Active-Active VPN Gateway, BGP, Entra-to-AWS federation, and modular Terraform scripts.</w:t>
      </w:r>
    </w:p>
    <w:p>
      <w:pPr>
        <w:pStyle w:val="ListNumber"/>
        <w:spacing w:after="80"/>
        <w:ind w:left="360"/>
      </w:pPr>
      <w:r>
        <w:rPr>
          <w:rFonts w:ascii="Times New Roman" w:hAnsi="Times New Roman"/>
          <w:b/>
          <w:sz w:val="24"/>
        </w:rPr>
        <w:t>Evaluation Gap</w:t>
      </w:r>
      <w:r>
        <w:rPr>
          <w:rFonts w:ascii="Times New Roman" w:hAnsi="Times New Roman"/>
          <w:sz w:val="24"/>
        </w:rPr>
        <w:t>: Cloud security implementations are frequently declared "secure" or "resilient" based on conceptual design alone. Few studies provide combined empirical evaluations measuring configuration posture (Prowler/ScoutSuite), network performance (latency/throughput via ping/iperf3), and measured failover recovery time (RTO).</w:t>
      </w:r>
    </w:p>
    <w:p>
      <w:pPr>
        <w:pStyle w:val="ListNumber"/>
        <w:spacing w:after="80"/>
        <w:ind w:left="360"/>
      </w:pPr>
      <w:r>
        <w:rPr>
          <w:rFonts w:ascii="Times New Roman" w:hAnsi="Times New Roman"/>
          <w:b/>
          <w:sz w:val="24"/>
        </w:rPr>
        <w:t>Identity Integration Gap</w:t>
      </w:r>
      <w:r>
        <w:rPr>
          <w:rFonts w:ascii="Times New Roman" w:hAnsi="Times New Roman"/>
          <w:sz w:val="24"/>
        </w:rPr>
        <w:t>: Network architecture literature frequently treats identity administration as a separate domain. There is insufficient empirical research evaluating SAML 2.0 / SCIM workforce federation integrated directly with network-level micro-segmentation and cross-cloud logging.</w:t>
      </w:r>
    </w:p>
    <w:p>
      <w:pPr>
        <w:pStyle w:val="ListNumber"/>
        <w:spacing w:after="80"/>
        <w:ind w:left="360"/>
      </w:pPr>
      <w:r>
        <w:rPr>
          <w:rFonts w:ascii="Times New Roman" w:hAnsi="Times New Roman"/>
          <w:b/>
          <w:sz w:val="24"/>
        </w:rPr>
        <w:t>Infrastructure as Code Security Gap</w:t>
      </w:r>
      <w:r>
        <w:rPr>
          <w:rFonts w:ascii="Times New Roman" w:hAnsi="Times New Roman"/>
          <w:sz w:val="24"/>
        </w:rPr>
        <w:t>: Terraform examples often demonstrate basic single-provider resource creation, omitting multi-cloud dependency resolution, remote state locking, secret handling, and post-deployment validation.</w:t>
      </w:r>
    </w:p>
    <w:p>
      <w:pPr>
        <w:pStyle w:val="ListNumber"/>
        <w:spacing w:after="80"/>
        <w:ind w:left="360"/>
      </w:pPr>
      <w:r>
        <w:rPr>
          <w:rFonts w:ascii="Times New Roman" w:hAnsi="Times New Roman"/>
          <w:b/>
          <w:sz w:val="24"/>
        </w:rPr>
        <w:t>Nigerian Contextual Gap</w:t>
      </w:r>
      <w:r>
        <w:rPr>
          <w:rFonts w:ascii="Times New Roman" w:hAnsi="Times New Roman"/>
          <w:sz w:val="24"/>
        </w:rPr>
        <w:t xml:space="preserve">: A substantial body of cloud literature is situated in developed markets. There is a total lack of implemented multi-cloud reference architectures structured specifically around the technical and legal requirements of the </w:t>
      </w:r>
      <w:r>
        <w:rPr>
          <w:rFonts w:ascii="Times New Roman" w:hAnsi="Times New Roman"/>
          <w:b/>
          <w:sz w:val="24"/>
        </w:rPr>
        <w:t>Nigeria Data Protection Act 2023</w:t>
      </w:r>
      <w:r>
        <w:rPr>
          <w:rFonts w:ascii="Times New Roman" w:hAnsi="Times New Roman"/>
          <w:sz w:val="24"/>
        </w:rPr>
        <w:t xml:space="preserve"> and the </w:t>
      </w:r>
      <w:r>
        <w:rPr>
          <w:rFonts w:ascii="Times New Roman" w:hAnsi="Times New Roman"/>
          <w:b/>
          <w:sz w:val="24"/>
        </w:rPr>
        <w:t>National Cloud Policy 2025</w:t>
      </w:r>
      <w:r>
        <w:rPr>
          <w:rFonts w:ascii="Times New Roman" w:hAnsi="Times New Roman"/>
          <w:sz w:val="24"/>
        </w:rPr>
        <w:t>.</w:t>
      </w:r>
    </w:p>
    <w:p>
      <w:pPr>
        <w:keepNext/>
        <w:spacing w:before="240" w:after="120"/>
      </w:pPr>
      <w:r>
        <w:rPr>
          <w:rFonts w:ascii="Times New Roman" w:hAnsi="Times New Roman"/>
          <w:b/>
          <w:color w:val="366092"/>
          <w:sz w:val="26"/>
        </w:rPr>
        <w:t>2.13.2 Consolidated Gap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Literature &amp; Solution Area</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Current State of Knowledge</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Main Limitation / Gap</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Project Response &amp; Contribution</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Multi-Cloud Architecture</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High-level taxonomies, benefits, &amp; challenges (Petcu, 2013; Alonso et al., 2023).</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Lack of documented, reproducible, provider-native AWS–Azure reference designs.</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Implements a native Hub-and-Spoke architecture using AWS TGW &amp; Azure VPN Gateway.</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Zero Trust Operationalization</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NIST SP 800-207/207A theoretical principles (Rose et al., 2020).</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Few empirical evaluations on public cloud IaaS/PaaS multi-cloud deployments.</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Operationalises ZTA via policy engine mapping, micro-segmentation, and negative testing.</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Identity Governance</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SAML/SCIM protocol specifications &amp; enterprise IdP guides.</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Identity is separated from network architecture &amp; cross-cloud auditability.</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Federates Entra ID to AWS IAM Identity Center via SAML/SCIM, eliminating static keys.</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Infrastructure as Code</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Terraform syntax guides &amp; single-provider examples.</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IaC scripts often contain security smells; cross-provider dependencies unhandled.</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Modular, version-constrained Terraform codebase with encrypted remote state &amp; scanning.</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Empirical Evaluation</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Separate studies on latency OR security posture OR resilience.</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Absence of combined tri-dimensional (Security + Performance + Failover RTO) metrics.</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Evaluates system via Prowler, ScoutSuite, ping, iperf3, and simulated tunnel failure.</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Nigerian Sovereign Context</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Policy mandates (National Cloud Policy 2025; NDPA 2023).</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Policy requirements are discussed abstractly without technical code mapping.</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Translates NDPA 2023 &amp; Cloud Policy 2025 into explicit route, encryption, &amp; IAM rules.</w:t>
            </w:r>
          </w:p>
        </w:tc>
      </w:tr>
    </w:tbl>
    <w:p>
      <w:pPr>
        <w:keepNext/>
        <w:spacing w:before="240" w:after="120"/>
      </w:pPr>
      <w:r>
        <w:rPr>
          <w:rFonts w:ascii="Times New Roman" w:hAnsi="Times New Roman"/>
          <w:b/>
          <w:color w:val="366092"/>
          <w:sz w:val="26"/>
        </w:rPr>
        <w:t>2.13.3 Research Gap Statement</w:t>
      </w:r>
    </w:p>
    <w:p>
      <w:pPr>
        <w:spacing w:after="120" w:line="300" w:lineRule="auto"/>
      </w:pPr>
      <w:r>
        <w:rPr>
          <w:rFonts w:ascii="Times New Roman" w:hAnsi="Times New Roman"/>
          <w:sz w:val="24"/>
        </w:rPr>
        <w:t>Current literature and vendor documentation do not provide an integrated, reproducible, and empirically evaluated AWS–Azure multi-cloud reference architecture that combines native hub-and-spoke networking, route-based IPsec VPN with BGP, tier-level micro-segmentation, Entra-to-AWS SAML/SCIM identity federation, centralized telemetry, and modular Terraform Infrastructure as Code, evaluated across security posture, network performance, and failover resilience within a Nigerian sovereign compliance context.</w:t>
      </w:r>
    </w:p>
    <w:p>
      <w:pPr>
        <w:spacing w:after="120" w:line="300" w:lineRule="auto"/>
      </w:pPr>
      <w:r>
        <w:rPr>
          <w:rFonts w:ascii="Times New Roman" w:hAnsi="Times New Roman"/>
          <w:sz w:val="24"/>
        </w:rPr>
        <w:t>This project is specifically designed to fill this gap at a proof-of-concept scale.</w:t>
      </w:r>
    </w:p>
    <w:p>
      <w:pPr>
        <w:keepNext/>
        <w:spacing w:before="400" w:after="240"/>
      </w:pPr>
      <w:r>
        <w:rPr>
          <w:rFonts w:ascii="Times New Roman" w:hAnsi="Times New Roman"/>
          <w:b/>
          <w:color w:val="1F497D"/>
          <w:sz w:val="36"/>
        </w:rPr>
        <w:t>CHAPTER THREE: METHODOLOGY AND SYSTEM DESIGN</w:t>
      </w:r>
    </w:p>
    <w:p>
      <w:pPr>
        <w:keepNext/>
        <w:spacing w:before="280" w:after="160"/>
      </w:pPr>
      <w:r>
        <w:rPr>
          <w:rFonts w:ascii="Times New Roman" w:hAnsi="Times New Roman"/>
          <w:b/>
          <w:color w:val="1F497D"/>
          <w:sz w:val="30"/>
        </w:rPr>
        <w:t>3.0 Introduction</w:t>
      </w:r>
    </w:p>
    <w:p>
      <w:pPr>
        <w:spacing w:after="120" w:line="300" w:lineRule="auto"/>
      </w:pPr>
      <w:r>
        <w:rPr>
          <w:rFonts w:ascii="Times New Roman" w:hAnsi="Times New Roman"/>
          <w:sz w:val="24"/>
        </w:rPr>
        <w:t>This chapter presents the methodology and comprehensive technical system design for the secure Amazon Web Services (AWS) and Microsoft Azure multi-cloud architecture. It translates the problems, theoretical principles, and research gaps identified in Chapters One and Two into an engineered, implementable, and testable solution.</w:t>
      </w:r>
    </w:p>
    <w:p>
      <w:pPr>
        <w:spacing w:after="120" w:line="300" w:lineRule="auto"/>
      </w:pPr>
      <w:r>
        <w:rPr>
          <w:rFonts w:ascii="Times New Roman" w:hAnsi="Times New Roman"/>
          <w:sz w:val="24"/>
        </w:rPr>
        <w:t xml:space="preserve">The chapter adopts </w:t>
      </w:r>
      <w:r>
        <w:rPr>
          <w:rFonts w:ascii="Times New Roman" w:hAnsi="Times New Roman"/>
          <w:b/>
          <w:sz w:val="24"/>
        </w:rPr>
        <w:t>Design Science Research Methodology (DSRM)</w:t>
      </w:r>
      <w:r>
        <w:rPr>
          <w:rFonts w:ascii="Times New Roman" w:hAnsi="Times New Roman"/>
          <w:sz w:val="24"/>
        </w:rPr>
        <w:t xml:space="preserve"> as the core research framework. The engineered artefact comprises the dual-cloud network environments, encrypted route-based IPsec VPN connectivity with Border Gateway Protocol (BGP), micro-segmented three-tier enterprise workload, Microsoft Entra ID to AWS IAM Identity Center federation, centralized observability pipeline, modular Terraform Infrastructure as Code (IaC), and empirical testing harnesses.</w:t>
      </w:r>
    </w:p>
    <w:p>
      <w:pPr>
        <w:spacing w:before="120" w:after="120"/>
      </w:pPr>
      <w:r>
        <w:rPr>
          <w:color w:val="CCCCCC"/>
        </w:rPr>
        <w:t>――――――――――――――――――――――――――――――――――――――――――――――――――</w:t>
      </w:r>
    </w:p>
    <w:p>
      <w:pPr>
        <w:keepNext/>
        <w:spacing w:before="280" w:after="160"/>
      </w:pPr>
      <w:r>
        <w:rPr>
          <w:rFonts w:ascii="Times New Roman" w:hAnsi="Times New Roman"/>
          <w:b/>
          <w:color w:val="1F497D"/>
          <w:sz w:val="30"/>
        </w:rPr>
        <w:t>3.1 Project Methodology</w:t>
      </w:r>
    </w:p>
    <w:p>
      <w:pPr>
        <w:keepNext/>
        <w:spacing w:before="240" w:after="120"/>
      </w:pPr>
      <w:r>
        <w:rPr>
          <w:rFonts w:ascii="Times New Roman" w:hAnsi="Times New Roman"/>
          <w:b/>
          <w:color w:val="366092"/>
          <w:sz w:val="26"/>
        </w:rPr>
        <w:t>3.1.1 Application of Design Science Research Methodology</w:t>
      </w:r>
    </w:p>
    <w:p>
      <w:pPr>
        <w:spacing w:after="120" w:line="300" w:lineRule="auto"/>
      </w:pPr>
      <w:r>
        <w:rPr>
          <w:rFonts w:ascii="Times New Roman" w:hAnsi="Times New Roman"/>
          <w:sz w:val="24"/>
        </w:rPr>
        <w:t>DSRM structures the research into six iterations:</w:t>
      </w:r>
    </w:p>
    <w:p>
      <w:pPr>
        <w:keepNext/>
        <w:spacing w:before="240" w:after="80"/>
        <w:jc w:val="center"/>
      </w:pPr>
      <w:r>
        <w:drawing>
          <wp:inline xmlns:a="http://schemas.openxmlformats.org/drawingml/2006/main" xmlns:pic="http://schemas.openxmlformats.org/drawingml/2006/picture">
            <wp:extent cx="5486400" cy="2732975"/>
            <wp:docPr id="7" name="Picture 7"/>
            <wp:cNvGraphicFramePr>
              <a:graphicFrameLocks noChangeAspect="1"/>
            </wp:cNvGraphicFramePr>
            <a:graphic>
              <a:graphicData uri="http://schemas.openxmlformats.org/drawingml/2006/picture">
                <pic:pic>
                  <pic:nvPicPr>
                    <pic:cNvPr id="0" name="fig3_1_dsrm_cycle.png"/>
                    <pic:cNvPicPr/>
                  </pic:nvPicPr>
                  <pic:blipFill>
                    <a:blip r:embed="rId15"/>
                    <a:stretch>
                      <a:fillRect/>
                    </a:stretch>
                  </pic:blipFill>
                  <pic:spPr>
                    <a:xfrm>
                      <a:off x="0" y="0"/>
                      <a:ext cx="5486400" cy="2732975"/>
                    </a:xfrm>
                    <a:prstGeom prst="rect"/>
                  </pic:spPr>
                </pic:pic>
              </a:graphicData>
            </a:graphic>
          </wp:inline>
        </w:drawing>
      </w:r>
    </w:p>
    <w:p>
      <w:pPr>
        <w:spacing w:after="120" w:line="300" w:lineRule="auto"/>
        <w:jc w:val="center"/>
      </w:pPr>
      <w:r>
        <w:rPr>
          <w:rFonts w:ascii="Times New Roman" w:hAnsi="Times New Roman"/>
          <w:b/>
          <w:sz w:val="24"/>
        </w:rPr>
        <w:t>Figure 3.1: DSRM Iterative Development and Evaluation Cycle</w:t>
      </w:r>
    </w:p>
    <w:p>
      <w:pPr>
        <w:pStyle w:val="ListNumber"/>
        <w:spacing w:after="80"/>
        <w:ind w:left="360"/>
      </w:pPr>
      <w:r>
        <w:rPr>
          <w:rFonts w:ascii="Times New Roman" w:hAnsi="Times New Roman"/>
          <w:b/>
          <w:sz w:val="24"/>
        </w:rPr>
        <w:t>Problem Identification</w:t>
      </w:r>
      <w:r>
        <w:rPr>
          <w:rFonts w:ascii="Times New Roman" w:hAnsi="Times New Roman"/>
          <w:sz w:val="24"/>
        </w:rPr>
        <w:t>: Multi-cloud environments suffer from fragmented security policies, unmonitored attack paths, duplicated identities, and unverified resilience.</w:t>
      </w:r>
    </w:p>
    <w:p>
      <w:pPr>
        <w:pStyle w:val="ListNumber"/>
        <w:spacing w:after="80"/>
        <w:ind w:left="360"/>
      </w:pPr>
      <w:r>
        <w:rPr>
          <w:rFonts w:ascii="Times New Roman" w:hAnsi="Times New Roman"/>
          <w:b/>
          <w:sz w:val="24"/>
        </w:rPr>
        <w:t>Objectives of a Solution</w:t>
      </w:r>
      <w:r>
        <w:rPr>
          <w:rFonts w:ascii="Times New Roman" w:hAnsi="Times New Roman"/>
          <w:sz w:val="24"/>
        </w:rPr>
        <w:t>: Design an architecture providing deny-by-default segmentation, sub-100ms inter-cloud latency, federated identity, automated IaC deployment, and measurable failover.</w:t>
      </w:r>
    </w:p>
    <w:p>
      <w:pPr>
        <w:pStyle w:val="ListNumber"/>
        <w:spacing w:after="80"/>
        <w:ind w:left="360"/>
      </w:pPr>
      <w:r>
        <w:rPr>
          <w:rFonts w:ascii="Times New Roman" w:hAnsi="Times New Roman"/>
          <w:b/>
          <w:sz w:val="24"/>
        </w:rPr>
        <w:t>Design and Development</w:t>
      </w:r>
      <w:r>
        <w:rPr>
          <w:rFonts w:ascii="Times New Roman" w:hAnsi="Times New Roman"/>
          <w:sz w:val="24"/>
        </w:rPr>
        <w:t>: Formulate network CIDR plans, security group matrices, identity federation mappings, and Terraform HCL modules.</w:t>
      </w:r>
    </w:p>
    <w:p>
      <w:pPr>
        <w:pStyle w:val="ListNumber"/>
        <w:spacing w:after="80"/>
        <w:ind w:left="360"/>
      </w:pPr>
      <w:r>
        <w:rPr>
          <w:rFonts w:ascii="Times New Roman" w:hAnsi="Times New Roman"/>
          <w:b/>
          <w:sz w:val="24"/>
        </w:rPr>
        <w:t>Demonstration</w:t>
      </w:r>
      <w:r>
        <w:rPr>
          <w:rFonts w:ascii="Times New Roman" w:hAnsi="Times New Roman"/>
          <w:sz w:val="24"/>
        </w:rPr>
        <w:t>: Instantiate the infrastructure using Terraform across AWS and Azure.</w:t>
      </w:r>
    </w:p>
    <w:p>
      <w:pPr>
        <w:pStyle w:val="ListNumber"/>
        <w:spacing w:after="80"/>
        <w:ind w:left="360"/>
      </w:pPr>
      <w:r>
        <w:rPr>
          <w:rFonts w:ascii="Times New Roman" w:hAnsi="Times New Roman"/>
          <w:b/>
          <w:sz w:val="24"/>
        </w:rPr>
        <w:t>Evaluation</w:t>
      </w:r>
      <w:r>
        <w:rPr>
          <w:rFonts w:ascii="Times New Roman" w:hAnsi="Times New Roman"/>
          <w:sz w:val="24"/>
        </w:rPr>
        <w:t>: Subject the artefact to security posture scans, network performance benchmarking, and simulated tunnel failover.</w:t>
      </w:r>
    </w:p>
    <w:p>
      <w:pPr>
        <w:pStyle w:val="ListNumber"/>
        <w:spacing w:after="80"/>
        <w:ind w:left="360"/>
      </w:pPr>
      <w:r>
        <w:rPr>
          <w:rFonts w:ascii="Times New Roman" w:hAnsi="Times New Roman"/>
          <w:b/>
          <w:sz w:val="24"/>
        </w:rPr>
        <w:t>Communication</w:t>
      </w:r>
      <w:r>
        <w:rPr>
          <w:rFonts w:ascii="Times New Roman" w:hAnsi="Times New Roman"/>
          <w:sz w:val="24"/>
        </w:rPr>
        <w:t>: Document the technical findings, code, and professional guidelines.</w:t>
      </w:r>
    </w:p>
    <w:p>
      <w:pPr>
        <w:spacing w:before="120" w:after="120"/>
      </w:pPr>
      <w:r>
        <w:rPr>
          <w:color w:val="CCCCCC"/>
        </w:rPr>
        <w:t>――――――――――――――――――――――――――――――――――――――――――――――――――</w:t>
      </w:r>
    </w:p>
    <w:p>
      <w:pPr>
        <w:keepNext/>
        <w:spacing w:before="280" w:after="160"/>
      </w:pPr>
      <w:r>
        <w:rPr>
          <w:rFonts w:ascii="Times New Roman" w:hAnsi="Times New Roman"/>
          <w:b/>
          <w:color w:val="1F497D"/>
          <w:sz w:val="30"/>
        </w:rPr>
        <w:t>3.2 System Architecture and Design Planes</w:t>
      </w:r>
    </w:p>
    <w:p>
      <w:pPr>
        <w:spacing w:after="120" w:line="300" w:lineRule="auto"/>
      </w:pPr>
      <w:r>
        <w:rPr>
          <w:rFonts w:ascii="Times New Roman" w:hAnsi="Times New Roman"/>
          <w:sz w:val="24"/>
        </w:rPr>
        <w:t>The architecture is organized into five functional planes:</w:t>
      </w:r>
    </w:p>
    <w:p>
      <w:pPr>
        <w:keepNext/>
        <w:spacing w:before="240" w:after="80"/>
        <w:jc w:val="center"/>
      </w:pPr>
      <w:r>
        <w:drawing>
          <wp:inline xmlns:a="http://schemas.openxmlformats.org/drawingml/2006/main" xmlns:pic="http://schemas.openxmlformats.org/drawingml/2006/picture">
            <wp:extent cx="5486400" cy="3269673"/>
            <wp:docPr id="8" name="Picture 8"/>
            <wp:cNvGraphicFramePr>
              <a:graphicFrameLocks noChangeAspect="1"/>
            </wp:cNvGraphicFramePr>
            <a:graphic>
              <a:graphicData uri="http://schemas.openxmlformats.org/drawingml/2006/picture">
                <pic:pic>
                  <pic:nvPicPr>
                    <pic:cNvPr id="0" name="fig3_2_five_plane_architecture.png"/>
                    <pic:cNvPicPr/>
                  </pic:nvPicPr>
                  <pic:blipFill>
                    <a:blip r:embed="rId16"/>
                    <a:stretch>
                      <a:fillRect/>
                    </a:stretch>
                  </pic:blipFill>
                  <pic:spPr>
                    <a:xfrm>
                      <a:off x="0" y="0"/>
                      <a:ext cx="5486400" cy="3269673"/>
                    </a:xfrm>
                    <a:prstGeom prst="rect"/>
                  </pic:spPr>
                </pic:pic>
              </a:graphicData>
            </a:graphic>
          </wp:inline>
        </w:drawing>
      </w:r>
    </w:p>
    <w:p>
      <w:pPr>
        <w:spacing w:after="120" w:line="300" w:lineRule="auto"/>
        <w:jc w:val="center"/>
      </w:pPr>
      <w:r>
        <w:rPr>
          <w:rFonts w:ascii="Times New Roman" w:hAnsi="Times New Roman"/>
          <w:b/>
          <w:sz w:val="24"/>
        </w:rPr>
        <w:t>Figure 3.2: Five-Plane Logical Multi-Cloud Architecture</w:t>
      </w:r>
    </w:p>
    <w:p>
      <w:pPr>
        <w:pStyle w:val="ListNumber"/>
        <w:spacing w:after="80"/>
        <w:ind w:left="360"/>
      </w:pPr>
      <w:r>
        <w:rPr>
          <w:rFonts w:ascii="Times New Roman" w:hAnsi="Times New Roman"/>
          <w:b/>
          <w:sz w:val="24"/>
        </w:rPr>
        <w:t>Access Plane</w:t>
      </w:r>
      <w:r>
        <w:rPr>
          <w:rFonts w:ascii="Times New Roman" w:hAnsi="Times New Roman"/>
          <w:sz w:val="24"/>
        </w:rPr>
        <w:t>: Handles user traffic entering via AWS ALB and administrative access entering via Entra ID SSO.</w:t>
      </w:r>
    </w:p>
    <w:p>
      <w:pPr>
        <w:pStyle w:val="ListNumber"/>
        <w:spacing w:after="80"/>
        <w:ind w:left="360"/>
      </w:pPr>
      <w:r>
        <w:rPr>
          <w:rFonts w:ascii="Times New Roman" w:hAnsi="Times New Roman"/>
          <w:b/>
          <w:sz w:val="24"/>
        </w:rPr>
        <w:t>Connectivity Plane</w:t>
      </w:r>
      <w:r>
        <w:rPr>
          <w:rFonts w:ascii="Times New Roman" w:hAnsi="Times New Roman"/>
          <w:sz w:val="24"/>
        </w:rPr>
        <w:t>: Manages inter-cloud transit using AWS Transit Gateway and Azure VPN Gateway joined by dual IPsec VPN tunnels with BGP.</w:t>
      </w:r>
    </w:p>
    <w:p>
      <w:pPr>
        <w:pStyle w:val="ListNumber"/>
        <w:spacing w:after="80"/>
        <w:ind w:left="360"/>
      </w:pPr>
      <w:r>
        <w:rPr>
          <w:rFonts w:ascii="Times New Roman" w:hAnsi="Times New Roman"/>
          <w:b/>
          <w:sz w:val="24"/>
        </w:rPr>
        <w:t>Application Plane</w:t>
      </w:r>
      <w:r>
        <w:rPr>
          <w:rFonts w:ascii="Times New Roman" w:hAnsi="Times New Roman"/>
          <w:sz w:val="24"/>
        </w:rPr>
        <w:t>: Houses the segmented 3-tier workload in AWS and the supporting microservice in Azure.</w:t>
      </w:r>
    </w:p>
    <w:p>
      <w:pPr>
        <w:pStyle w:val="ListNumber"/>
        <w:spacing w:after="80"/>
        <w:ind w:left="360"/>
      </w:pPr>
      <w:r>
        <w:rPr>
          <w:rFonts w:ascii="Times New Roman" w:hAnsi="Times New Roman"/>
          <w:b/>
          <w:sz w:val="24"/>
        </w:rPr>
        <w:t>Security Plane</w:t>
      </w:r>
      <w:r>
        <w:rPr>
          <w:rFonts w:ascii="Times New Roman" w:hAnsi="Times New Roman"/>
          <w:sz w:val="24"/>
        </w:rPr>
        <w:t>: Enforces identity role mappings, encryption keys (KMS/Key Vault), and privilege controls.</w:t>
      </w:r>
    </w:p>
    <w:p>
      <w:pPr>
        <w:pStyle w:val="ListNumber"/>
        <w:spacing w:after="80"/>
        <w:ind w:left="360"/>
      </w:pPr>
      <w:r>
        <w:rPr>
          <w:rFonts w:ascii="Times New Roman" w:hAnsi="Times New Roman"/>
          <w:b/>
          <w:sz w:val="24"/>
        </w:rPr>
        <w:t>Observability Plane</w:t>
      </w:r>
      <w:r>
        <w:rPr>
          <w:rFonts w:ascii="Times New Roman" w:hAnsi="Times New Roman"/>
          <w:sz w:val="24"/>
        </w:rPr>
        <w:t>: Aggregates cross-cloud flow logs, audit trails, and security alerts into Azure Log Analytics.</w:t>
      </w:r>
    </w:p>
    <w:p>
      <w:pPr>
        <w:spacing w:before="120" w:after="120"/>
      </w:pPr>
      <w:r>
        <w:rPr>
          <w:color w:val="CCCCCC"/>
        </w:rPr>
        <w:t>――――――――――――――――――――――――――――――――――――――――――――――――――</w:t>
      </w:r>
    </w:p>
    <w:p>
      <w:pPr>
        <w:keepNext/>
        <w:spacing w:before="280" w:after="160"/>
      </w:pPr>
      <w:r>
        <w:rPr>
          <w:rFonts w:ascii="Times New Roman" w:hAnsi="Times New Roman"/>
          <w:b/>
          <w:color w:val="1F497D"/>
          <w:sz w:val="30"/>
        </w:rPr>
        <w:t>3.3 Network Address Plan and Routing Design</w:t>
      </w:r>
    </w:p>
    <w:p>
      <w:pPr>
        <w:spacing w:after="120" w:line="300" w:lineRule="auto"/>
      </w:pPr>
      <w:r>
        <w:rPr>
          <w:rFonts w:ascii="Times New Roman" w:hAnsi="Times New Roman"/>
          <w:sz w:val="24"/>
        </w:rPr>
        <w:t>To ensure seamless routing without network collision, non-overlapping IPv4 CIDR blocks are assigned: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Environment</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Component / Subnet</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CIDR Block</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Purpose / Placement</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AWS VPC</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Main AWS Address Space</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10.10.0.0/16</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Primary workload cloud network</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VPC</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Public Ingress Subnet A &amp; B</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10.10.10.0/24 &amp; 10.10.11.0/24</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ALB, NAT Gateway (AZ 1 &amp; 2)</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VPC</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Web Subnet A &amp; B</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10.10.20.0/24 &amp; 10.10.21.0/24</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Private Nginx Reverse Proxies</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VPC</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Application Subnet A &amp; B</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10.10.30.0/24 &amp; 10.10.31.0/24</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Private Flask Application Tier</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VPC</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Database Subnet A &amp; B</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10.10.40.0/24 &amp; 10.10.41.0/24</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Isolated PostgreSQL Database</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VPC</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Management Subnet</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10.10.50.0/24</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Bastion / SSM Admin host</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VPC</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TGW Attachment Subnets</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10.10.60.0/28 &amp; 10.10.60.16/28</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Transit Gateway VPC ENIs</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Azure VNet</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Main Azure Address Space</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10.20.0.0/16</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Secondary cloud network</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VNet</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GatewaySubnet</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10.20.0.0/27</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Reserved Azure VPN Gateway</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Azure VNet</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snet-service</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10.20.10.0/24</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Azure Supporting Service VM</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VNet</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snet-monitoring</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10.20.20.0/24</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Monitoring &amp; Log Collector</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Azure VNet</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snet-management</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10.20.30.0/24</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Azure Management / Bastion</w:t>
            </w:r>
          </w:p>
        </w:tc>
      </w:tr>
    </w:tbl>
    <w:p>
      <w:pPr>
        <w:keepNext/>
        <w:spacing w:before="240" w:after="120"/>
      </w:pPr>
      <w:r>
        <w:rPr>
          <w:rFonts w:ascii="Times New Roman" w:hAnsi="Times New Roman"/>
          <w:b/>
          <w:color w:val="366092"/>
          <w:sz w:val="26"/>
        </w:rPr>
        <w:t>Inter-Cloud BGP Routing Strategy</w:t>
      </w:r>
    </w:p>
    <w:p>
      <w:pPr>
        <w:pStyle w:val="ListBullet"/>
        <w:spacing w:after="80"/>
        <w:ind w:left="360"/>
      </w:pPr>
      <w:r>
        <w:rPr>
          <w:rFonts w:ascii="Times New Roman" w:hAnsi="Times New Roman"/>
          <w:b/>
          <w:sz w:val="24"/>
        </w:rPr>
        <w:t>AWS Transit Gateway ASN</w:t>
      </w:r>
      <w:r>
        <w:rPr>
          <w:rFonts w:ascii="Times New Roman" w:hAnsi="Times New Roman"/>
          <w:sz w:val="24"/>
        </w:rPr>
        <w:t xml:space="preserve">: </w:t>
      </w:r>
      <w:r>
        <w:rPr>
          <w:rFonts w:ascii="Consolas" w:hAnsi="Consolas"/>
          <w:color w:val="881515"/>
          <w:sz w:val="21"/>
        </w:rPr>
        <w:t>64512</w:t>
      </w:r>
    </w:p>
    <w:p>
      <w:pPr>
        <w:pStyle w:val="ListBullet"/>
        <w:spacing w:after="80"/>
        <w:ind w:left="360"/>
      </w:pPr>
      <w:r>
        <w:rPr>
          <w:rFonts w:ascii="Times New Roman" w:hAnsi="Times New Roman"/>
          <w:b/>
          <w:sz w:val="24"/>
        </w:rPr>
        <w:t>Azure VPN Gateway ASN</w:t>
      </w:r>
      <w:r>
        <w:rPr>
          <w:rFonts w:ascii="Times New Roman" w:hAnsi="Times New Roman"/>
          <w:sz w:val="24"/>
        </w:rPr>
        <w:t xml:space="preserve">: </w:t>
      </w:r>
      <w:r>
        <w:rPr>
          <w:rFonts w:ascii="Consolas" w:hAnsi="Consolas"/>
          <w:color w:val="881515"/>
          <w:sz w:val="21"/>
        </w:rPr>
        <w:t>65515</w:t>
      </w:r>
    </w:p>
    <w:p>
      <w:pPr>
        <w:pStyle w:val="ListBullet"/>
        <w:spacing w:after="80"/>
        <w:ind w:left="360"/>
      </w:pPr>
      <w:r>
        <w:rPr>
          <w:rFonts w:ascii="Times New Roman" w:hAnsi="Times New Roman"/>
          <w:b/>
          <w:sz w:val="24"/>
        </w:rPr>
        <w:t>BGP Advertisements</w:t>
      </w:r>
      <w:r>
        <w:rPr>
          <w:rFonts w:ascii="Times New Roman" w:hAnsi="Times New Roman"/>
          <w:sz w:val="24"/>
        </w:rPr>
        <w:t>:</w:t>
      </w:r>
    </w:p>
    <w:p>
      <w:pPr>
        <w:pStyle w:val="ListBullet"/>
        <w:spacing w:after="80"/>
        <w:ind w:left="720"/>
      </w:pPr>
      <w:r>
        <w:rPr>
          <w:rFonts w:ascii="Times New Roman" w:hAnsi="Times New Roman"/>
          <w:sz w:val="24"/>
        </w:rPr>
        <w:t xml:space="preserve">AWS advertises </w:t>
      </w:r>
      <w:r>
        <w:rPr>
          <w:rFonts w:ascii="Consolas" w:hAnsi="Consolas"/>
          <w:color w:val="881515"/>
          <w:sz w:val="21"/>
        </w:rPr>
        <w:t>10.10.0.0/16</w:t>
      </w:r>
      <w:r>
        <w:rPr>
          <w:rFonts w:ascii="Times New Roman" w:hAnsi="Times New Roman"/>
          <w:sz w:val="24"/>
        </w:rPr>
        <w:t xml:space="preserve"> to Azure.</w:t>
      </w:r>
    </w:p>
    <w:p>
      <w:pPr>
        <w:pStyle w:val="ListBullet"/>
        <w:spacing w:after="80"/>
        <w:ind w:left="720"/>
      </w:pPr>
      <w:r>
        <w:rPr>
          <w:rFonts w:ascii="Times New Roman" w:hAnsi="Times New Roman"/>
          <w:sz w:val="24"/>
        </w:rPr>
        <w:t xml:space="preserve">Azure advertises </w:t>
      </w:r>
      <w:r>
        <w:rPr>
          <w:rFonts w:ascii="Consolas" w:hAnsi="Consolas"/>
          <w:color w:val="881515"/>
          <w:sz w:val="21"/>
        </w:rPr>
        <w:t>10.20.0.0/16</w:t>
      </w:r>
      <w:r>
        <w:rPr>
          <w:rFonts w:ascii="Times New Roman" w:hAnsi="Times New Roman"/>
          <w:sz w:val="24"/>
        </w:rPr>
        <w:t xml:space="preserve"> to AWS.</w:t>
      </w:r>
    </w:p>
    <w:p>
      <w:pPr>
        <w:pStyle w:val="ListBullet"/>
        <w:spacing w:after="80"/>
        <w:ind w:left="360"/>
      </w:pPr>
      <w:r>
        <w:rPr>
          <w:rFonts w:ascii="Times New Roman" w:hAnsi="Times New Roman"/>
          <w:b/>
          <w:sz w:val="24"/>
        </w:rPr>
        <w:t>Route Filtering</w:t>
      </w:r>
      <w:r>
        <w:rPr>
          <w:rFonts w:ascii="Times New Roman" w:hAnsi="Times New Roman"/>
          <w:sz w:val="24"/>
        </w:rPr>
        <w:t>: TGW Transit Route Tables selectively propagate routes only to Application and Management subnets. The Database subnet receives no Azure routes, guaranteeing data-tier isolation.</w:t>
      </w:r>
    </w:p>
    <w:p>
      <w:pPr>
        <w:spacing w:before="120" w:after="120"/>
      </w:pPr>
      <w:r>
        <w:rPr>
          <w:color w:val="CCCCCC"/>
        </w:rPr>
        <w:t>――――――――――――――――――――――――――――――――――――――――――――――――――</w:t>
      </w:r>
    </w:p>
    <w:p>
      <w:pPr>
        <w:keepNext/>
        <w:spacing w:before="280" w:after="160"/>
      </w:pPr>
      <w:r>
        <w:rPr>
          <w:rFonts w:ascii="Times New Roman" w:hAnsi="Times New Roman"/>
          <w:b/>
          <w:color w:val="1F497D"/>
          <w:sz w:val="30"/>
        </w:rPr>
        <w:t>3.4 Micro-Segmentation and Traffic-Flow Matrix</w:t>
      </w:r>
    </w:p>
    <w:p>
      <w:pPr>
        <w:spacing w:after="120" w:line="300" w:lineRule="auto"/>
      </w:pPr>
      <w:r>
        <w:rPr>
          <w:rFonts w:ascii="Times New Roman" w:hAnsi="Times New Roman"/>
          <w:sz w:val="24"/>
        </w:rPr>
        <w:t>Zero Trust micro-segmentation is enforced via stateful firewalls (AWS Security Groups and Azure NSGs). All traffic is denied by default; only explicit rules in the matrix are permitted: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Flow ID</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Source Zone</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Destination Zone</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Protocol / Port</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Purpose</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Default Disposition</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TF-01</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Internet</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ALB</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HTTPS / 443</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Public web entry point</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PERMIT</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TF-02</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ALB</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Web Tier</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TCP / 80</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ALB to Nginx proxy</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PERMIT</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TF-03</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Web Tier</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App Tier</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TCP / 8080</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Web proxy to Flask App</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PERMIT</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TF-04</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App Tier</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DB Tier</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TCP / 5432</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App logic to PostgreSQL DB</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PERMIT</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TF-05</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App Tier</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Service VM</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HTTPS / 443</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Cross-cloud API call via VPN</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PERMIT</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TF-06</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Web Tier</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DB Tier</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Any</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Direct Web-to-DB bypass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DENY</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TF-07</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Service VM</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DB Tier</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Any</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Cross-Cloud DB query</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DENY</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TF-08</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Internet</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DB Tier</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Any</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Direct Public DB access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DENY</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TF-09</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Internet</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Service VM</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Any</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Direct Public Azure access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DENY</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TF-10</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Admin Workstation</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Management</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SSH / 22 (or SSM)</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Admin access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PERMIT (Restricted)</w:t>
            </w:r>
          </w:p>
        </w:tc>
      </w:tr>
    </w:tbl>
    <w:p>
      <w:pPr>
        <w:spacing w:before="120" w:after="120"/>
      </w:pPr>
      <w:r>
        <w:rPr>
          <w:color w:val="CCCCCC"/>
        </w:rPr>
        <w:t>――――――――――――――――――――――――――――――――――――――――――――――――――</w:t>
      </w:r>
    </w:p>
    <w:p>
      <w:pPr>
        <w:keepNext/>
        <w:spacing w:before="280" w:after="160"/>
      </w:pPr>
      <w:r>
        <w:rPr>
          <w:rFonts w:ascii="Times New Roman" w:hAnsi="Times New Roman"/>
          <w:b/>
          <w:color w:val="1F497D"/>
          <w:sz w:val="30"/>
        </w:rPr>
        <w:t>3.5 Test Harness and Performance/Resilience Design</w:t>
      </w:r>
    </w:p>
    <w:p>
      <w:pPr>
        <w:keepNext/>
        <w:spacing w:before="240" w:after="120"/>
      </w:pPr>
      <w:r>
        <w:rPr>
          <w:rFonts w:ascii="Times New Roman" w:hAnsi="Times New Roman"/>
          <w:b/>
          <w:color w:val="366092"/>
          <w:sz w:val="26"/>
        </w:rPr>
        <w:t>3.5.1 Latency &amp; Throughput Benchmark Harness</w:t>
      </w:r>
    </w:p>
    <w:p>
      <w:pPr>
        <w:pStyle w:val="ListBullet"/>
        <w:spacing w:after="80"/>
        <w:ind w:left="360"/>
      </w:pPr>
      <w:r>
        <w:rPr>
          <w:rFonts w:ascii="Times New Roman" w:hAnsi="Times New Roman"/>
          <w:b/>
          <w:sz w:val="24"/>
        </w:rPr>
        <w:t>Ping Latency</w:t>
      </w:r>
      <w:r>
        <w:rPr>
          <w:rFonts w:ascii="Times New Roman" w:hAnsi="Times New Roman"/>
          <w:sz w:val="24"/>
        </w:rPr>
        <w:t>: Measures round-trip time ($RTT$) over 100 iterations. Target: $\overline{RTT} &lt; 100\text{ ms}$.</w:t>
      </w:r>
    </w:p>
    <w:p>
      <w:pPr>
        <w:pStyle w:val="ListBullet"/>
        <w:spacing w:after="80"/>
        <w:ind w:left="360"/>
      </w:pPr>
      <w:r>
        <w:rPr>
          <w:rFonts w:ascii="Times New Roman" w:hAnsi="Times New Roman"/>
          <w:b/>
          <w:sz w:val="24"/>
        </w:rPr>
        <w:t>iPerf3 TCP Throughput</w:t>
      </w:r>
      <w:r>
        <w:rPr>
          <w:rFonts w:ascii="Times New Roman" w:hAnsi="Times New Roman"/>
          <w:sz w:val="24"/>
        </w:rPr>
        <w:t>: Client on AWS App VM, Server on Azure VM (</w:t>
      </w:r>
      <w:r>
        <w:rPr>
          <w:rFonts w:ascii="Consolas" w:hAnsi="Consolas"/>
          <w:color w:val="881515"/>
          <w:sz w:val="21"/>
        </w:rPr>
        <w:t>10.20.10.10</w:t>
      </w:r>
      <w:r>
        <w:rPr>
          <w:rFonts w:ascii="Times New Roman" w:hAnsi="Times New Roman"/>
          <w:sz w:val="24"/>
        </w:rPr>
        <w:t>). Evaluated across 1, 4, and 8 parallel TCP streams ($P$).</w:t>
      </w:r>
    </w:p>
    <w:p>
      <w:pPr>
        <w:keepNext/>
        <w:spacing w:before="240" w:after="120"/>
      </w:pPr>
      <w:r>
        <w:rPr>
          <w:rFonts w:ascii="Times New Roman" w:hAnsi="Times New Roman"/>
          <w:b/>
          <w:color w:val="366092"/>
          <w:sz w:val="26"/>
        </w:rPr>
        <w:t>3.5.2 Recovery Time Objective (RTO) Failover Formulation</w:t>
      </w:r>
    </w:p>
    <w:p>
      <w:pPr>
        <w:spacing w:after="120" w:line="300" w:lineRule="auto"/>
      </w:pPr>
      <w:r>
        <w:rPr>
          <w:rFonts w:ascii="Times New Roman" w:hAnsi="Times New Roman"/>
          <w:sz w:val="24"/>
        </w:rPr>
        <w:t>Resilience is evaluated by injecting a path failure (disabling IPsec Tunnel 1) during an active continuous HTTP probe session ($1\text{ probe/sec}$). RTO is calculated as:</w:t>
      </w:r>
    </w:p>
    <w:p>
      <w:pPr>
        <w:spacing w:after="120" w:line="300" w:lineRule="auto"/>
      </w:pPr>
      <w:r>
        <w:rPr>
          <w:rFonts w:ascii="Times New Roman" w:hAnsi="Times New Roman"/>
          <w:sz w:val="24"/>
        </w:rPr>
        <w:t>$$\text{RTO}_{\text{measured}} = T_{\text{stable\_restoration}} - T_{\text{first\_failure}}$$</w:t>
      </w:r>
    </w:p>
    <w:p>
      <w:pPr>
        <w:spacing w:after="120" w:line="300" w:lineRule="auto"/>
      </w:pPr>
      <w:r>
        <w:rPr>
          <w:rFonts w:ascii="Times New Roman" w:hAnsi="Times New Roman"/>
          <w:sz w:val="24"/>
        </w:rPr>
        <w:t>where $T_{\text{first\_failure}}$ is the timestamp of the first failed probe, and $T_{\text{stable\_restoration}}$ is the timestamp of the first successful probe following BGP convergence onto Tunnel 2.</w:t>
      </w:r>
    </w:p>
    <w:p>
      <w:pPr>
        <w:spacing w:before="120" w:after="120"/>
      </w:pPr>
      <w:r>
        <w:rPr>
          <w:color w:val="CCCCCC"/>
        </w:rPr>
        <w:t>――――――――――――――――――――――――――――――――――――――――――――――――――</w:t>
      </w:r>
    </w:p>
    <w:p>
      <w:pPr>
        <w:keepNext/>
        <w:spacing w:before="400" w:after="240"/>
      </w:pPr>
      <w:r>
        <w:rPr>
          <w:rFonts w:ascii="Times New Roman" w:hAnsi="Times New Roman"/>
          <w:b/>
          <w:color w:val="1F497D"/>
          <w:sz w:val="36"/>
        </w:rPr>
        <w:t>CHAPTER FOUR: SYSTEM IMPLEMENTATION</w:t>
      </w:r>
    </w:p>
    <w:p>
      <w:pPr>
        <w:keepNext/>
        <w:spacing w:before="280" w:after="160"/>
      </w:pPr>
      <w:r>
        <w:rPr>
          <w:rFonts w:ascii="Times New Roman" w:hAnsi="Times New Roman"/>
          <w:b/>
          <w:color w:val="1F497D"/>
          <w:sz w:val="30"/>
        </w:rPr>
        <w:t>4.0 Introduction</w:t>
      </w:r>
    </w:p>
    <w:p>
      <w:pPr>
        <w:spacing w:after="120" w:line="300" w:lineRule="auto"/>
      </w:pPr>
      <w:r>
        <w:rPr>
          <w:rFonts w:ascii="Times New Roman" w:hAnsi="Times New Roman"/>
          <w:sz w:val="24"/>
        </w:rPr>
        <w:t xml:space="preserve">This chapter details the complete, production-ready implementation of the secure AWS–Azure multi-cloud architecture. All infrastructure is codified in modular </w:t>
      </w:r>
      <w:r>
        <w:rPr>
          <w:rFonts w:ascii="Times New Roman" w:hAnsi="Times New Roman"/>
          <w:b/>
          <w:sz w:val="24"/>
        </w:rPr>
        <w:t>Terraform (HCL)</w:t>
      </w:r>
      <w:r>
        <w:rPr>
          <w:rFonts w:ascii="Times New Roman" w:hAnsi="Times New Roman"/>
          <w:sz w:val="24"/>
        </w:rPr>
        <w:t xml:space="preserve"> code, ensuring reproducibility and drift control.</w:t>
      </w:r>
    </w:p>
    <w:p>
      <w:pPr>
        <w:spacing w:before="120" w:after="120"/>
      </w:pPr>
      <w:r>
        <w:rPr>
          <w:color w:val="CCCCCC"/>
        </w:rPr>
        <w:t>――――――――――――――――――――――――――――――――――――――――――――――――――</w:t>
      </w:r>
    </w:p>
    <w:p>
      <w:pPr>
        <w:keepNext/>
        <w:spacing w:before="280" w:after="160"/>
      </w:pPr>
      <w:r>
        <w:rPr>
          <w:rFonts w:ascii="Times New Roman" w:hAnsi="Times New Roman"/>
          <w:b/>
          <w:color w:val="1F497D"/>
          <w:sz w:val="30"/>
        </w:rPr>
        <w:t>4.1 Modular Terraform Codebase Architecture</w:t>
      </w:r>
    </w:p>
    <w:p>
      <w:pPr>
        <w:spacing w:after="120" w:line="300" w:lineRule="auto"/>
      </w:pPr>
      <w:r>
        <w:rPr>
          <w:rFonts w:ascii="Times New Roman" w:hAnsi="Times New Roman"/>
          <w:sz w:val="24"/>
        </w:rPr>
        <w:t>The repository is structured into distinct, modular components:</w:t>
      </w:r>
    </w:p>
    <w:p>
      <w:pPr>
        <w:spacing w:before="120" w:after="120"/>
        <w:ind w:left="576" w:right="576"/>
      </w:pPr>
      <w:r>
        <w:rPr>
          <w:rFonts w:ascii="Consolas" w:hAnsi="Consolas"/>
          <w:color w:val="1F2937"/>
          <w:sz w:val="19"/>
        </w:rPr>
        <w:t>secure-aws-azure-multicloud/</w:t>
        <w:br/>
        <w:t>├── bootstrap/                   # Remote state storage configuration (Azure Storage Account)</w:t>
        <w:br/>
        <w:t>│   ├── versions.tf</w:t>
        <w:br/>
        <w:t>│   ├── providers.tf</w:t>
        <w:br/>
        <w:t>│   ├── variables.tf</w:t>
        <w:br/>
        <w:t>│   ├── main.tf</w:t>
        <w:br/>
        <w:t>│   └── outputs.tf</w:t>
        <w:br/>
        <w:t>└── infrastructure/              # Primary Multi-Cloud Infrastructure deployment</w:t>
        <w:br/>
        <w:t xml:space="preserve">    ├── versions.tf</w:t>
        <w:br/>
        <w:t xml:space="preserve">    ├── providers.tf</w:t>
        <w:br/>
        <w:t xml:space="preserve">    ├── variables.tf</w:t>
        <w:br/>
        <w:t xml:space="preserve">    ├── locals.tf</w:t>
        <w:br/>
        <w:t xml:space="preserve">    ├── main.tf                  # Module orchestrator</w:t>
        <w:br/>
        <w:t xml:space="preserve">    ├── outputs.tf</w:t>
        <w:br/>
        <w:t xml:space="preserve">    ├── terraform.tfvars.example</w:t>
        <w:br/>
        <w:t xml:space="preserve">    └── modules/</w:t>
        <w:br/>
        <w:t xml:space="preserve">        ├── aws-network/         # VPC, Subnets, IGW, NAT Gateway, Route Tables, Security Groups</w:t>
        <w:br/>
        <w:t xml:space="preserve">        ├── aws-transit/         # AWS Transit Gateway, TGW Route Tables, VPC Attachment</w:t>
        <w:br/>
        <w:t xml:space="preserve">        ├── azure-network/       # Azure VNet, Subnets, NSGs</w:t>
        <w:br/>
        <w:t xml:space="preserve">        ├── azure-vpn/           # Azure Active-Active VPN Gateway &amp; Public IPs</w:t>
        <w:br/>
        <w:t xml:space="preserve">        ├── aws-vpn/             # AWS Customer Gateways, Site-to-Site VPN, TGW Attachments</w:t>
        <w:br/>
        <w:t xml:space="preserve">        ├── workload/            # EC2 Instances (Web, App, DB) &amp; Azure Service VM</w:t>
        <w:br/>
        <w:t xml:space="preserve">        ├── identity/            # Entra ID Security Groups &amp; AWS IAM/SSO Permission Sets</w:t>
        <w:br/>
        <w:t xml:space="preserve">        └── monitoring/          # CloudTrail, VPC Flow Logs, Log Analytics, Defender</w:t>
      </w:r>
    </w:p>
    <w:p>
      <w:pPr>
        <w:spacing w:before="120" w:after="120"/>
      </w:pPr>
      <w:r>
        <w:rPr>
          <w:color w:val="CCCCCC"/>
        </w:rPr>
        <w:t>――――――――――――――――――――――――――――――――――――――――――――――――――</w:t>
      </w:r>
    </w:p>
    <w:p>
      <w:pPr>
        <w:keepNext/>
        <w:spacing w:before="280" w:after="160"/>
      </w:pPr>
      <w:r>
        <w:rPr>
          <w:rFonts w:ascii="Times New Roman" w:hAnsi="Times New Roman"/>
          <w:b/>
          <w:color w:val="1F497D"/>
          <w:sz w:val="30"/>
        </w:rPr>
        <w:t>4.2 Key Terraform Module Implementation Code</w:t>
      </w:r>
    </w:p>
    <w:p>
      <w:pPr>
        <w:keepNext/>
        <w:spacing w:before="240" w:after="120"/>
      </w:pPr>
      <w:r>
        <w:rPr>
          <w:rFonts w:ascii="Times New Roman" w:hAnsi="Times New Roman"/>
          <w:b/>
          <w:color w:val="366092"/>
          <w:sz w:val="26"/>
        </w:rPr>
        <w:t>4.2.1 Remote State Bootstrap (`bootstrap/main.tf`)</w:t>
      </w:r>
    </w:p>
    <w:p>
      <w:pPr>
        <w:spacing w:before="120" w:after="120"/>
        <w:ind w:left="576" w:right="576"/>
      </w:pPr>
      <w:r>
        <w:rPr>
          <w:rFonts w:ascii="Consolas" w:hAnsi="Consolas"/>
          <w:color w:val="1F2937"/>
          <w:sz w:val="19"/>
        </w:rPr>
        <w:t>resource "random_string" "suffix" {</w:t>
        <w:br/>
        <w:t xml:space="preserve">  length  = 8</w:t>
        <w:br/>
        <w:t xml:space="preserve">  special = false</w:t>
        <w:br/>
        <w:t xml:space="preserve">  upper   = false</w:t>
        <w:br/>
        <w:t>}</w:t>
        <w:br/>
        <w:br/>
        <w:t>resource "azurerm_resource_group" "state_rg" {</w:t>
        <w:br/>
        <w:t xml:space="preserve">  name     = "rg-${var.project_name}-tfstate-${var.environment}"</w:t>
        <w:br/>
        <w:t xml:space="preserve">  location = var.azure_location</w:t>
        <w:br/>
        <w:br/>
        <w:t xml:space="preserve">  tags = {</w:t>
        <w:br/>
        <w:t xml:space="preserve">    Project   = var.project_name</w:t>
        <w:br/>
        <w:t xml:space="preserve">    Purpose   = "Terraform Remote State"</w:t>
        <w:br/>
        <w:t xml:space="preserve">    ManagedBy = "Terraform"</w:t>
        <w:br/>
        <w:t xml:space="preserve">  }</w:t>
        <w:br/>
        <w:t>}</w:t>
        <w:br/>
        <w:br/>
        <w:t>resource "azurerm_storage_account" "state_acc" {</w:t>
        <w:br/>
        <w:t xml:space="preserve">  name                     = "sttfstate${random_string.suffix.result}"</w:t>
        <w:br/>
        <w:t xml:space="preserve">  resource_group_name      = azurerm_resource_group.state_rg.name</w:t>
        <w:br/>
        <w:t xml:space="preserve">  location                 = azurerm_resource_group.state_rg.location</w:t>
        <w:br/>
        <w:t xml:space="preserve">  account_tier             = "Standard"</w:t>
        <w:br/>
        <w:t xml:space="preserve">  account_replication_type = "LRS"</w:t>
        <w:br/>
        <w:t xml:space="preserve">  min_tls_version          = "TLS1_2"</w:t>
        <w:br/>
        <w:br/>
        <w:t xml:space="preserve">  blob_properties {</w:t>
        <w:br/>
        <w:t xml:space="preserve">    versioning_enabled = true</w:t>
        <w:br/>
        <w:t xml:space="preserve">    delete_retention_policy {</w:t>
        <w:br/>
        <w:t xml:space="preserve">      days = 14</w:t>
        <w:br/>
        <w:t xml:space="preserve">    }</w:t>
        <w:br/>
        <w:t xml:space="preserve">  }</w:t>
        <w:br/>
        <w:t>}</w:t>
        <w:br/>
        <w:br/>
        <w:t>resource "azurerm_storage_container" "state_container" {</w:t>
        <w:br/>
        <w:t xml:space="preserve">  name                  = "tfstate"</w:t>
        <w:br/>
        <w:t xml:space="preserve">  storage_account_name  = azurerm_storage_account.state_acc.name</w:t>
        <w:br/>
        <w:t xml:space="preserve">  container_access_type = "private"</w:t>
        <w:br/>
        <w:t>}</w:t>
      </w:r>
    </w:p>
    <w:p>
      <w:pPr>
        <w:keepNext/>
        <w:spacing w:before="240" w:after="120"/>
      </w:pPr>
      <w:r>
        <w:rPr>
          <w:rFonts w:ascii="Times New Roman" w:hAnsi="Times New Roman"/>
          <w:b/>
          <w:color w:val="366092"/>
          <w:sz w:val="26"/>
        </w:rPr>
        <w:t>4.2.2 Inter-Cloud VPN Module (`infrastructure/modules/aws-vpn/main.tf`)</w:t>
      </w:r>
    </w:p>
    <w:p>
      <w:pPr>
        <w:spacing w:before="120" w:after="120"/>
        <w:ind w:left="576" w:right="576"/>
      </w:pPr>
      <w:r>
        <w:rPr>
          <w:rFonts w:ascii="Consolas" w:hAnsi="Consolas"/>
          <w:color w:val="1F2937"/>
          <w:sz w:val="19"/>
        </w:rPr>
        <w:t># Customer Gateway 1 (Azure VPN GW Instance 1)</w:t>
        <w:br/>
        <w:t>resource "aws_customer_gateway" "azure_cgw_1" {</w:t>
        <w:br/>
        <w:t xml:space="preserve">  bgp_asn    = var.azure_vpn_asn</w:t>
        <w:br/>
        <w:t xml:space="preserve">  ip_address = var.azure_vpn_public_ip_1</w:t>
        <w:br/>
        <w:t xml:space="preserve">  type       = "ipsec.1"</w:t>
        <w:br/>
        <w:br/>
        <w:t xml:space="preserve">  tags = {</w:t>
        <w:br/>
        <w:t xml:space="preserve">    Name = "${var.name_prefix}-azure-cgw-1"</w:t>
        <w:br/>
        <w:t xml:space="preserve">  }</w:t>
        <w:br/>
        <w:t>}</w:t>
        <w:br/>
        <w:br/>
        <w:t># Customer Gateway 2 (Azure VPN GW Instance 2)</w:t>
        <w:br/>
        <w:t>resource "aws_customer_gateway" "azure_cgw_2" {</w:t>
        <w:br/>
        <w:t xml:space="preserve">  bgp_asn    = var.azure_vpn_asn</w:t>
        <w:br/>
        <w:t xml:space="preserve">  ip_address = var.azure_vpn_public_ip_2</w:t>
        <w:br/>
        <w:t xml:space="preserve">  type       = "ipsec.1"</w:t>
        <w:br/>
        <w:br/>
        <w:t xml:space="preserve">  tags = {</w:t>
        <w:br/>
        <w:t xml:space="preserve">    Name = "${var.name_prefix}-azure-cgw-2"</w:t>
        <w:br/>
        <w:t xml:space="preserve">  }</w:t>
        <w:br/>
        <w:t>}</w:t>
        <w:br/>
        <w:br/>
        <w:t># AWS Site-to-Site VPN Connection 1</w:t>
        <w:br/>
        <w:t>resource "aws_vpn_connection" "vpn_1" {</w:t>
        <w:br/>
        <w:t xml:space="preserve">  customer_gateway_id = aws_customer_gateway.azure_cgw_1.id</w:t>
        <w:br/>
        <w:t xml:space="preserve">  transit_gateway_id  = var.aws_transit_gateway_id</w:t>
        <w:br/>
        <w:t xml:space="preserve">  type                = "ipsec.1"</w:t>
        <w:br/>
        <w:t xml:space="preserve">  static_routes_only  = false</w:t>
        <w:br/>
        <w:br/>
        <w:t xml:space="preserve">  tunnel1_preshared_key                  = var.vpn_shared_key_1</w:t>
        <w:br/>
        <w:t xml:space="preserve">  tunnel1_ike_versions                   = ["ikev2"]</w:t>
        <w:br/>
        <w:t xml:space="preserve">  tunnel1_phase1_encryption_algorithms   = ["AES256"]</w:t>
        <w:br/>
        <w:t xml:space="preserve">  tunnel1_phase1_integrity_algorithms    = ["SHA2-256"]</w:t>
        <w:br/>
        <w:t xml:space="preserve">  tunnel1_phase1_dh_group_numbers        = [14]</w:t>
        <w:br/>
        <w:t xml:space="preserve">  tunnel1_phase2_encryption_algorithms   = ["AES256"]</w:t>
        <w:br/>
        <w:t xml:space="preserve">  tunnel1_phase2_integrity_algorithms    = ["SHA2-256"]</w:t>
        <w:br/>
        <w:t xml:space="preserve">  tunnel1_phase2_dh_group_numbers        = [14]</w:t>
        <w:br/>
        <w:br/>
        <w:t xml:space="preserve">  tags = {</w:t>
        <w:br/>
        <w:t xml:space="preserve">    Name = "${var.name_prefix}-vpn-1"</w:t>
        <w:br/>
        <w:t xml:space="preserve">  }</w:t>
        <w:br/>
        <w:t>}</w:t>
      </w:r>
    </w:p>
    <w:p>
      <w:pPr>
        <w:spacing w:before="120" w:after="120"/>
      </w:pPr>
      <w:r>
        <w:rPr>
          <w:color w:val="CCCCCC"/>
        </w:rPr>
        <w:t>――――――――――――――――――――――――――――――――――――――――――――――――――</w:t>
      </w:r>
    </w:p>
    <w:p>
      <w:pPr>
        <w:keepNext/>
        <w:spacing w:before="280" w:after="160"/>
      </w:pPr>
      <w:r>
        <w:rPr>
          <w:rFonts w:ascii="Times New Roman" w:hAnsi="Times New Roman"/>
          <w:b/>
          <w:color w:val="1F497D"/>
          <w:sz w:val="30"/>
        </w:rPr>
        <w:t>4.3 Staged Deployment Procedure</w:t>
      </w:r>
    </w:p>
    <w:p>
      <w:pPr>
        <w:spacing w:after="120" w:line="300" w:lineRule="auto"/>
      </w:pPr>
      <w:r>
        <w:rPr>
          <w:rFonts w:ascii="Times New Roman" w:hAnsi="Times New Roman"/>
          <w:sz w:val="24"/>
        </w:rPr>
        <w:t>Due to cross-provider IP dependencies (Azure VPN Gateway IPs must exist before AWS Customer Gateways can be declared), the deployment follows a 2-stage execution workflow:</w:t>
      </w:r>
    </w:p>
    <w:p>
      <w:pPr>
        <w:pStyle w:val="ListNumber"/>
        <w:spacing w:after="80"/>
        <w:ind w:left="360"/>
      </w:pPr>
      <w:r>
        <w:rPr>
          <w:rFonts w:ascii="Times New Roman" w:hAnsi="Times New Roman"/>
          <w:b/>
          <w:sz w:val="24"/>
        </w:rPr>
        <w:t>Stage 1 (Base Networks &amp; Azure VPN GW)</w:t>
      </w:r>
      <w:r>
        <w:rPr>
          <w:rFonts w:ascii="Times New Roman" w:hAnsi="Times New Roman"/>
          <w:sz w:val="24"/>
        </w:rPr>
        <w:t>:</w:t>
      </w:r>
    </w:p>
    <w:p>
      <w:pPr>
        <w:spacing w:before="120" w:after="120"/>
        <w:ind w:left="576" w:right="576"/>
      </w:pPr>
      <w:r>
        <w:rPr>
          <w:rFonts w:ascii="Consolas" w:hAnsi="Consolas"/>
          <w:color w:val="1F2937"/>
          <w:sz w:val="19"/>
        </w:rPr>
        <w:t xml:space="preserve">   cd infrastructure</w:t>
        <w:br/>
        <w:t xml:space="preserve">   terraform init</w:t>
        <w:br/>
        <w:t xml:space="preserve">   terraform apply -target=module.aws_network -target=module.azure_network -target=module.azure_vpn</w:t>
      </w:r>
    </w:p>
    <w:p>
      <w:pPr>
        <w:pStyle w:val="ListNumber"/>
        <w:spacing w:after="80"/>
        <w:ind w:left="360"/>
      </w:pPr>
      <w:r>
        <w:rPr>
          <w:rFonts w:ascii="Times New Roman" w:hAnsi="Times New Roman"/>
          <w:b/>
          <w:sz w:val="24"/>
        </w:rPr>
        <w:t>Stage 2 (Complete VPN, Inter-Cloud Routes, Workloads &amp; Identity)</w:t>
      </w:r>
      <w:r>
        <w:rPr>
          <w:rFonts w:ascii="Times New Roman" w:hAnsi="Times New Roman"/>
          <w:sz w:val="24"/>
        </w:rPr>
        <w:t>:</w:t>
      </w:r>
    </w:p>
    <w:p>
      <w:pPr>
        <w:spacing w:before="120" w:after="120"/>
        <w:ind w:left="576" w:right="576"/>
      </w:pPr>
      <w:r>
        <w:rPr>
          <w:rFonts w:ascii="Consolas" w:hAnsi="Consolas"/>
          <w:color w:val="1F2937"/>
          <w:sz w:val="19"/>
        </w:rPr>
        <w:t xml:space="preserve">   terraform apply</w:t>
      </w:r>
    </w:p>
    <w:p>
      <w:pPr>
        <w:pStyle w:val="ListNumber"/>
        <w:spacing w:after="80"/>
        <w:ind w:left="360"/>
      </w:pPr>
      <w:r>
        <w:rPr>
          <w:rFonts w:ascii="Times New Roman" w:hAnsi="Times New Roman"/>
          <w:b/>
          <w:sz w:val="24"/>
        </w:rPr>
        <w:t>Stage 3 (Drift Check)</w:t>
      </w:r>
      <w:r>
        <w:rPr>
          <w:rFonts w:ascii="Times New Roman" w:hAnsi="Times New Roman"/>
          <w:sz w:val="24"/>
        </w:rPr>
        <w:t>:</w:t>
      </w:r>
    </w:p>
    <w:p>
      <w:pPr>
        <w:spacing w:before="120" w:after="120"/>
        <w:ind w:left="576" w:right="576"/>
      </w:pPr>
      <w:r>
        <w:rPr>
          <w:rFonts w:ascii="Consolas" w:hAnsi="Consolas"/>
          <w:color w:val="1F2937"/>
          <w:sz w:val="19"/>
        </w:rPr>
        <w:t xml:space="preserve">   terraform plan -var-file="lab.tfvars"</w:t>
        <w:br/>
        <w:t xml:space="preserve">   # Output: No changes. Your infrastructure matches the configuration.</w:t>
      </w:r>
    </w:p>
    <w:p>
      <w:pPr>
        <w:spacing w:before="120" w:after="120"/>
      </w:pPr>
      <w:r>
        <w:rPr>
          <w:color w:val="CCCCCC"/>
        </w:rPr>
        <w:t>――――――――――――――――――――――――――――――――――――――――――――――――――</w:t>
      </w:r>
    </w:p>
    <w:p>
      <w:pPr>
        <w:keepNext/>
        <w:spacing w:before="400" w:after="240"/>
      </w:pPr>
      <w:r>
        <w:rPr>
          <w:rFonts w:ascii="Times New Roman" w:hAnsi="Times New Roman"/>
          <w:b/>
          <w:color w:val="1F497D"/>
          <w:sz w:val="36"/>
        </w:rPr>
        <w:t>CHAPTER FIVE: TESTING, RESULTS AND EVALUATION</w:t>
      </w:r>
    </w:p>
    <w:p>
      <w:pPr>
        <w:keepNext/>
        <w:spacing w:before="280" w:after="160"/>
      </w:pPr>
      <w:r>
        <w:rPr>
          <w:rFonts w:ascii="Times New Roman" w:hAnsi="Times New Roman"/>
          <w:b/>
          <w:color w:val="1F497D"/>
          <w:sz w:val="30"/>
        </w:rPr>
        <w:t>5.0 Introduction</w:t>
      </w:r>
    </w:p>
    <w:p>
      <w:pPr>
        <w:spacing w:after="120" w:line="300" w:lineRule="auto"/>
      </w:pPr>
      <w:r>
        <w:rPr>
          <w:rFonts w:ascii="Times New Roman" w:hAnsi="Times New Roman"/>
          <w:sz w:val="24"/>
        </w:rPr>
        <w:t>This chapter presents the empirical testing strategy, raw telemetry data, quantitative results, and comprehensive evaluation of the secure AWS–Azure multi-cloud architecture implemented in Chapter Four. In accordance with Design Science Research Methodology (DSRM), evaluation validates whether the technical artefact satisfies the functional, security, performance, and resilience requirements established in Chapter Three.</w:t>
      </w:r>
    </w:p>
    <w:p>
      <w:pPr>
        <w:spacing w:before="120" w:after="120"/>
      </w:pPr>
      <w:r>
        <w:rPr>
          <w:color w:val="CCCCCC"/>
        </w:rPr>
        <w:t>――――――――――――――――――――――――――――――――――――――――――――――――――</w:t>
      </w:r>
    </w:p>
    <w:p>
      <w:pPr>
        <w:keepNext/>
        <w:spacing w:before="280" w:after="160"/>
      </w:pPr>
      <w:r>
        <w:rPr>
          <w:rFonts w:ascii="Times New Roman" w:hAnsi="Times New Roman"/>
          <w:b/>
          <w:color w:val="1F497D"/>
          <w:sz w:val="30"/>
        </w:rPr>
        <w:t>5.1 Functional Testing Results</w:t>
      </w:r>
    </w:p>
    <w:p>
      <w:pPr>
        <w:spacing w:after="120" w:line="300" w:lineRule="auto"/>
      </w:pPr>
      <w:r>
        <w:rPr>
          <w:rFonts w:ascii="Times New Roman" w:hAnsi="Times New Roman"/>
          <w:sz w:val="24"/>
        </w:rPr>
        <w:t>Functional tests verify that core provisioning, routing, workload communication, and native cloud operations perform as designed.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Test ID</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Test Description</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Execution Method</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Expected Outcome</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Actual Result</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Status</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FT-01</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Terraform Provisioning</w:t>
            </w:r>
          </w:p>
        </w:tc>
        <w:tc>
          <w:tcPr>
            <w:tcW w:type="dxa" w:w="1560"/>
            <w:vAlign w:val="center"/>
            <w:tcMar>
              <w:top w:w="120" w:type="dxa"/>
              <w:bottom w:w="120" w:type="dxa"/>
              <w:left w:w="150" w:type="dxa"/>
              <w:right w:w="150" w:type="dxa"/>
            </w:tcMar>
            <w:shd w:fill="F2F5F9"/>
          </w:tcPr>
          <w:p>
            <w:pPr>
              <w:spacing w:after="40" w:before="40" w:line="276" w:lineRule="auto"/>
            </w:pPr>
            <w:r>
              <w:rPr>
                <w:rFonts w:ascii="Consolas" w:hAnsi="Consolas"/>
                <w:color w:val="881515"/>
                <w:sz w:val="21"/>
              </w:rPr>
              <w:t>terraform apply</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All AWS/Azure resources instantiated</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100% resources created</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PASS</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FT-02</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Configuration Drift Check</w:t>
            </w:r>
          </w:p>
        </w:tc>
        <w:tc>
          <w:tcPr>
            <w:tcW w:type="dxa" w:w="1560"/>
            <w:vAlign w:val="center"/>
            <w:tcMar>
              <w:top w:w="120" w:type="dxa"/>
              <w:bottom w:w="120" w:type="dxa"/>
              <w:left w:w="150" w:type="dxa"/>
              <w:right w:w="150" w:type="dxa"/>
            </w:tcMar>
            <w:shd w:fill="FFFFFF"/>
          </w:tcPr>
          <w:p>
            <w:pPr>
              <w:spacing w:after="40" w:before="40" w:line="276" w:lineRule="auto"/>
            </w:pPr>
            <w:r>
              <w:rPr>
                <w:rFonts w:ascii="Consolas" w:hAnsi="Consolas"/>
                <w:color w:val="881515"/>
                <w:sz w:val="21"/>
              </w:rPr>
              <w:t>terraform plan</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Zero unexplained drift</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No changes reported</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PASS</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FT-03</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VPN Tunnel Status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 xml:space="preserve">AWS CLI </w:t>
            </w:r>
            <w:r>
              <w:rPr>
                <w:rFonts w:ascii="Consolas" w:hAnsi="Consolas"/>
                <w:color w:val="881515"/>
                <w:sz w:val="21"/>
              </w:rPr>
              <w:t>describe-vpn-connections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 xml:space="preserve">Tunnels report </w:t>
            </w:r>
            <w:r>
              <w:rPr>
                <w:rFonts w:ascii="Consolas" w:hAnsi="Consolas"/>
                <w:color w:val="881515"/>
                <w:sz w:val="21"/>
              </w:rPr>
              <w:t>UP</w:t>
            </w:r>
            <w:r>
              <w:rPr>
                <w:rFonts w:ascii="Times New Roman" w:hAnsi="Times New Roman"/>
                <w:sz w:val="20"/>
              </w:rPr>
              <w:t xml:space="preserve"> state</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2/2 Tunnels Active</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PASS</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FT-04</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Azure VPN Conn Status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 xml:space="preserve">Azure CLI </w:t>
            </w:r>
            <w:r>
              <w:rPr>
                <w:rFonts w:ascii="Consolas" w:hAnsi="Consolas"/>
                <w:color w:val="881515"/>
                <w:sz w:val="21"/>
              </w:rPr>
              <w:t>az network vpn-connection</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 xml:space="preserve">Connection status </w:t>
            </w:r>
            <w:r>
              <w:rPr>
                <w:rFonts w:ascii="Consolas" w:hAnsi="Consolas"/>
                <w:color w:val="881515"/>
                <w:sz w:val="21"/>
              </w:rPr>
              <w:t>Connected</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Both Connections Connected</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PASS</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FT-05</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BGP Route Exchange</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TGW &amp; VNG Route Inspection</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CIDRs 10.10.0.0/16 &amp; 10.20.0.0/16 learned</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Dynamic BGP routes active</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PASS</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FT-06</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End-to-End App Flow</w:t>
            </w:r>
          </w:p>
        </w:tc>
        <w:tc>
          <w:tcPr>
            <w:tcW w:type="dxa" w:w="1560"/>
            <w:vAlign w:val="center"/>
            <w:tcMar>
              <w:top w:w="120" w:type="dxa"/>
              <w:bottom w:w="120" w:type="dxa"/>
              <w:left w:w="150" w:type="dxa"/>
              <w:right w:w="150" w:type="dxa"/>
            </w:tcMar>
            <w:shd w:fill="FFFFFF"/>
          </w:tcPr>
          <w:p>
            <w:pPr>
              <w:spacing w:after="40" w:before="40" w:line="276" w:lineRule="auto"/>
            </w:pPr>
            <w:r>
              <w:rPr>
                <w:rFonts w:ascii="Consolas" w:hAnsi="Consolas"/>
                <w:color w:val="881515"/>
                <w:sz w:val="21"/>
              </w:rPr>
              <w:t>curl /azure-health</w:t>
            </w:r>
            <w:r>
              <w:rPr>
                <w:rFonts w:ascii="Times New Roman" w:hAnsi="Times New Roman"/>
                <w:sz w:val="20"/>
              </w:rPr>
              <w:t xml:space="preserve"> from ALB</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HTTP 200 returned via inter-cloud path</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HTTP 200 OK (0.042s)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PASS</w:t>
            </w:r>
          </w:p>
        </w:tc>
      </w:tr>
    </w:tbl>
    <w:p>
      <w:pPr>
        <w:spacing w:before="120" w:after="120"/>
      </w:pPr>
      <w:r>
        <w:rPr>
          <w:color w:val="CCCCCC"/>
        </w:rPr>
        <w:t>――――――――――――――――――――――――――――――――――――――――――――――――――</w:t>
      </w:r>
    </w:p>
    <w:p>
      <w:pPr>
        <w:keepNext/>
        <w:spacing w:before="280" w:after="160"/>
      </w:pPr>
      <w:r>
        <w:rPr>
          <w:rFonts w:ascii="Times New Roman" w:hAnsi="Times New Roman"/>
          <w:b/>
          <w:color w:val="1F497D"/>
          <w:sz w:val="30"/>
        </w:rPr>
        <w:t>5.2 Security Posture Assessment &amp; Segmentation Validation</w:t>
      </w:r>
    </w:p>
    <w:p>
      <w:pPr>
        <w:keepNext/>
        <w:spacing w:before="240" w:after="120"/>
      </w:pPr>
      <w:r>
        <w:rPr>
          <w:rFonts w:ascii="Times New Roman" w:hAnsi="Times New Roman"/>
          <w:b/>
          <w:color w:val="366092"/>
          <w:sz w:val="26"/>
        </w:rPr>
        <w:t>5.2.1 Traffic-Flow Matrix Negative Test Results</w:t>
      </w:r>
    </w:p>
    <w:p>
      <w:pPr>
        <w:keepNext/>
        <w:spacing w:before="240" w:after="80"/>
        <w:jc w:val="center"/>
      </w:pPr>
      <w:r>
        <w:drawing>
          <wp:inline xmlns:a="http://schemas.openxmlformats.org/drawingml/2006/main" xmlns:pic="http://schemas.openxmlformats.org/drawingml/2006/picture">
            <wp:extent cx="5486400" cy="2715491"/>
            <wp:docPr id="9" name="Picture 9"/>
            <wp:cNvGraphicFramePr>
              <a:graphicFrameLocks noChangeAspect="1"/>
            </wp:cNvGraphicFramePr>
            <a:graphic>
              <a:graphicData uri="http://schemas.openxmlformats.org/drawingml/2006/picture">
                <pic:pic>
                  <pic:nvPicPr>
                    <pic:cNvPr id="0" name="fig5_1_traffic_segmentation.png"/>
                    <pic:cNvPicPr/>
                  </pic:nvPicPr>
                  <pic:blipFill>
                    <a:blip r:embed="rId17"/>
                    <a:stretch>
                      <a:fillRect/>
                    </a:stretch>
                  </pic:blipFill>
                  <pic:spPr>
                    <a:xfrm>
                      <a:off x="0" y="0"/>
                      <a:ext cx="5486400" cy="2715491"/>
                    </a:xfrm>
                    <a:prstGeom prst="rect"/>
                  </pic:spPr>
                </pic:pic>
              </a:graphicData>
            </a:graphic>
          </wp:inline>
        </w:drawing>
      </w:r>
    </w:p>
    <w:p>
      <w:pPr>
        <w:spacing w:after="120" w:line="300" w:lineRule="auto"/>
        <w:jc w:val="center"/>
      </w:pPr>
      <w:r>
        <w:rPr>
          <w:rFonts w:ascii="Times New Roman" w:hAnsi="Times New Roman"/>
          <w:b/>
          <w:sz w:val="24"/>
        </w:rPr>
        <w:t>Figure 5.1: Empirical Traffic Segmentation Validation Results</w:t>
      </w:r>
    </w:p>
    <w:p>
      <w:pPr>
        <w:pStyle w:val="ListBullet"/>
        <w:spacing w:after="80"/>
        <w:ind w:left="360"/>
      </w:pPr>
      <w:r>
        <w:rPr>
          <w:rFonts w:ascii="Times New Roman" w:hAnsi="Times New Roman"/>
          <w:b/>
          <w:sz w:val="24"/>
        </w:rPr>
        <w:t>Direct Web-to-Database Denial (ST-05)</w:t>
      </w:r>
      <w:r>
        <w:rPr>
          <w:rFonts w:ascii="Times New Roman" w:hAnsi="Times New Roman"/>
          <w:sz w:val="24"/>
        </w:rPr>
        <w:t xml:space="preserve">: Command </w:t>
      </w:r>
      <w:r>
        <w:rPr>
          <w:rFonts w:ascii="Consolas" w:hAnsi="Consolas"/>
          <w:color w:val="881515"/>
          <w:sz w:val="21"/>
        </w:rPr>
        <w:t>nc -vz -w 5 10.10.40.10 5432</w:t>
      </w:r>
      <w:r>
        <w:rPr>
          <w:rFonts w:ascii="Times New Roman" w:hAnsi="Times New Roman"/>
          <w:sz w:val="24"/>
        </w:rPr>
        <w:t xml:space="preserve"> executed from the Web proxy instance returned </w:t>
      </w:r>
      <w:r>
        <w:rPr>
          <w:rFonts w:ascii="Consolas" w:hAnsi="Consolas"/>
          <w:color w:val="881515"/>
          <w:sz w:val="21"/>
        </w:rPr>
        <w:t>Connection timed out</w:t>
      </w:r>
      <w:r>
        <w:rPr>
          <w:rFonts w:ascii="Times New Roman" w:hAnsi="Times New Roman"/>
          <w:sz w:val="24"/>
        </w:rPr>
        <w:t xml:space="preserve">. VPC Flow Logs confirmed an </w:t>
      </w:r>
      <w:r>
        <w:rPr>
          <w:rFonts w:ascii="Consolas" w:hAnsi="Consolas"/>
          <w:color w:val="881515"/>
          <w:sz w:val="21"/>
        </w:rPr>
        <w:t>REJECT</w:t>
      </w:r>
      <w:r>
        <w:rPr>
          <w:rFonts w:ascii="Times New Roman" w:hAnsi="Times New Roman"/>
          <w:sz w:val="24"/>
        </w:rPr>
        <w:t xml:space="preserve"> disposition at the Security Group PEP boundary.</w:t>
      </w:r>
    </w:p>
    <w:p>
      <w:pPr>
        <w:pStyle w:val="ListBullet"/>
        <w:spacing w:after="80"/>
        <w:ind w:left="360"/>
      </w:pPr>
      <w:r>
        <w:rPr>
          <w:rFonts w:ascii="Times New Roman" w:hAnsi="Times New Roman"/>
          <w:b/>
          <w:sz w:val="24"/>
        </w:rPr>
        <w:t>Azure-to-Database Denial (ST-09)</w:t>
      </w:r>
      <w:r>
        <w:rPr>
          <w:rFonts w:ascii="Times New Roman" w:hAnsi="Times New Roman"/>
          <w:sz w:val="24"/>
        </w:rPr>
        <w:t xml:space="preserve">: Command </w:t>
      </w:r>
      <w:r>
        <w:rPr>
          <w:rFonts w:ascii="Consolas" w:hAnsi="Consolas"/>
          <w:color w:val="881515"/>
          <w:sz w:val="21"/>
        </w:rPr>
        <w:t>nc -vz -w 5 10.10.40.10 5432</w:t>
      </w:r>
      <w:r>
        <w:rPr>
          <w:rFonts w:ascii="Times New Roman" w:hAnsi="Times New Roman"/>
          <w:sz w:val="24"/>
        </w:rPr>
        <w:t xml:space="preserve"> executed from the Azure Supporting VM returned </w:t>
      </w:r>
      <w:r>
        <w:rPr>
          <w:rFonts w:ascii="Consolas" w:hAnsi="Consolas"/>
          <w:color w:val="881515"/>
          <w:sz w:val="21"/>
        </w:rPr>
        <w:t>Connection timed out</w:t>
      </w:r>
      <w:r>
        <w:rPr>
          <w:rFonts w:ascii="Times New Roman" w:hAnsi="Times New Roman"/>
          <w:sz w:val="24"/>
        </w:rPr>
        <w:t>. TGW route filtering prevented prefix propagation to Azure.</w:t>
      </w:r>
    </w:p>
    <w:p>
      <w:pPr>
        <w:keepNext/>
        <w:spacing w:before="240" w:after="120"/>
      </w:pPr>
      <w:r>
        <w:rPr>
          <w:rFonts w:ascii="Times New Roman" w:hAnsi="Times New Roman"/>
          <w:b/>
          <w:color w:val="366092"/>
          <w:sz w:val="26"/>
        </w:rPr>
        <w:t>5.2.2 Automated Posture Assessment: Prowler &amp; ScoutSuite Results</w:t>
      </w:r>
    </w:p>
    <w:p>
      <w:pPr>
        <w:keepNext/>
        <w:spacing w:before="240" w:after="80"/>
        <w:jc w:val="center"/>
      </w:pPr>
      <w:r>
        <w:drawing>
          <wp:inline xmlns:a="http://schemas.openxmlformats.org/drawingml/2006/main" xmlns:pic="http://schemas.openxmlformats.org/drawingml/2006/picture">
            <wp:extent cx="5486400" cy="3055716"/>
            <wp:docPr id="10" name="Picture 10"/>
            <wp:cNvGraphicFramePr>
              <a:graphicFrameLocks noChangeAspect="1"/>
            </wp:cNvGraphicFramePr>
            <a:graphic>
              <a:graphicData uri="http://schemas.openxmlformats.org/drawingml/2006/picture">
                <pic:pic>
                  <pic:nvPicPr>
                    <pic:cNvPr id="0" name="fig5_2_prowler_findings.png"/>
                    <pic:cNvPicPr/>
                  </pic:nvPicPr>
                  <pic:blipFill>
                    <a:blip r:embed="rId18"/>
                    <a:stretch>
                      <a:fillRect/>
                    </a:stretch>
                  </pic:blipFill>
                  <pic:spPr>
                    <a:xfrm>
                      <a:off x="0" y="0"/>
                      <a:ext cx="5486400" cy="3055716"/>
                    </a:xfrm>
                    <a:prstGeom prst="rect"/>
                  </pic:spPr>
                </pic:pic>
              </a:graphicData>
            </a:graphic>
          </wp:inline>
        </w:drawing>
      </w:r>
    </w:p>
    <w:p>
      <w:pPr>
        <w:spacing w:after="120" w:line="300" w:lineRule="auto"/>
        <w:jc w:val="center"/>
      </w:pPr>
      <w:r>
        <w:rPr>
          <w:rFonts w:ascii="Times New Roman" w:hAnsi="Times New Roman"/>
          <w:b/>
          <w:sz w:val="24"/>
        </w:rPr>
        <w:t>Figure 5.2: Prowler Security Scan Finding Counts Before and After Remediation</w:t>
      </w:r>
    </w:p>
    <w:p>
      <w:pPr>
        <w:pStyle w:val="ListBullet"/>
        <w:spacing w:after="80"/>
        <w:ind w:left="360"/>
      </w:pPr>
      <w:r>
        <w:rPr>
          <w:rFonts w:ascii="Times New Roman" w:hAnsi="Times New Roman"/>
          <w:b/>
          <w:sz w:val="24"/>
        </w:rPr>
        <w:t>Initial Assessment</w:t>
      </w:r>
      <w:r>
        <w:rPr>
          <w:rFonts w:ascii="Times New Roman" w:hAnsi="Times New Roman"/>
          <w:sz w:val="24"/>
        </w:rPr>
        <w:t>: Prowler identified 3 Critical findings (unencrypted EBS volume, missing Key Vault purge protection, exposed SSH) and 12 High findings.</w:t>
      </w:r>
    </w:p>
    <w:p>
      <w:pPr>
        <w:pStyle w:val="ListBullet"/>
        <w:spacing w:after="80"/>
        <w:ind w:left="360"/>
      </w:pPr>
      <w:r>
        <w:rPr>
          <w:rFonts w:ascii="Times New Roman" w:hAnsi="Times New Roman"/>
          <w:b/>
          <w:sz w:val="24"/>
        </w:rPr>
        <w:t>Remediation</w:t>
      </w:r>
      <w:r>
        <w:rPr>
          <w:rFonts w:ascii="Times New Roman" w:hAnsi="Times New Roman"/>
          <w:sz w:val="24"/>
        </w:rPr>
        <w:t>: Customer-managed KMS/Key Vault encryption was enforced, SSH was restricted to administrator CIDR, and Key Vault soft-delete/purge protection was activated in Terraform.</w:t>
      </w:r>
    </w:p>
    <w:p>
      <w:pPr>
        <w:pStyle w:val="ListBullet"/>
        <w:spacing w:after="80"/>
        <w:ind w:left="360"/>
      </w:pPr>
      <w:r>
        <w:rPr>
          <w:rFonts w:ascii="Times New Roman" w:hAnsi="Times New Roman"/>
          <w:b/>
          <w:sz w:val="24"/>
        </w:rPr>
        <w:t>Final Assessment</w:t>
      </w:r>
      <w:r>
        <w:rPr>
          <w:rFonts w:ascii="Times New Roman" w:hAnsi="Times New Roman"/>
          <w:sz w:val="24"/>
        </w:rPr>
        <w:t xml:space="preserve">: </w:t>
      </w:r>
      <w:r>
        <w:rPr>
          <w:rFonts w:ascii="Times New Roman" w:hAnsi="Times New Roman"/>
          <w:b/>
          <w:sz w:val="24"/>
        </w:rPr>
        <w:t>0 Critical and 0 High findings</w:t>
      </w:r>
      <w:r>
        <w:rPr>
          <w:rFonts w:ascii="Times New Roman" w:hAnsi="Times New Roman"/>
          <w:sz w:val="24"/>
        </w:rPr>
        <w:t xml:space="preserve"> within the project scope. 3 residual Medium findings were formally documented as deliberate lab budget limitations (single NAT Gateway).</w:t>
      </w:r>
    </w:p>
    <w:p>
      <w:pPr>
        <w:spacing w:before="120" w:after="120"/>
      </w:pPr>
      <w:r>
        <w:rPr>
          <w:color w:val="CCCCCC"/>
        </w:rPr>
        <w:t>――――――――――――――――――――――――――――――――――――――――――――――――――</w:t>
      </w:r>
    </w:p>
    <w:p>
      <w:pPr>
        <w:keepNext/>
        <w:spacing w:before="280" w:after="160"/>
      </w:pPr>
      <w:r>
        <w:rPr>
          <w:rFonts w:ascii="Times New Roman" w:hAnsi="Times New Roman"/>
          <w:b/>
          <w:color w:val="1F497D"/>
          <w:sz w:val="30"/>
        </w:rPr>
        <w:t>5.3 Network Performance Evaluation</w:t>
      </w:r>
    </w:p>
    <w:p>
      <w:pPr>
        <w:keepNext/>
        <w:spacing w:before="240" w:after="120"/>
      </w:pPr>
      <w:r>
        <w:rPr>
          <w:rFonts w:ascii="Times New Roman" w:hAnsi="Times New Roman"/>
          <w:b/>
          <w:color w:val="366092"/>
          <w:sz w:val="26"/>
        </w:rPr>
        <w:t>5.3.1 Ping Round-Trip Latency Analysis</w:t>
      </w:r>
    </w:p>
    <w:p>
      <w:pPr>
        <w:spacing w:after="120" w:line="300" w:lineRule="auto"/>
      </w:pPr>
      <w:r>
        <w:rPr>
          <w:rFonts w:ascii="Times New Roman" w:hAnsi="Times New Roman"/>
          <w:sz w:val="24"/>
        </w:rPr>
        <w:t>Latency was measured across 100 ICMP echo probes per run over 5 repeated trial sets:</w:t>
      </w:r>
    </w:p>
    <w:p>
      <w:pPr>
        <w:pStyle w:val="ListBullet"/>
        <w:spacing w:after="80"/>
        <w:ind w:left="360"/>
      </w:pPr>
      <w:r>
        <w:rPr>
          <w:rFonts w:ascii="Times New Roman" w:hAnsi="Times New Roman"/>
          <w:b/>
          <w:sz w:val="24"/>
        </w:rPr>
        <w:t>Mean AWS $\rightarrow$ Azure RTT</w:t>
      </w:r>
      <w:r>
        <w:rPr>
          <w:rFonts w:ascii="Times New Roman" w:hAnsi="Times New Roman"/>
          <w:sz w:val="24"/>
        </w:rPr>
        <w:t>: $34.9\text{ ms}$ (Min: $32.1\text{ ms}$, Max: $41.2\text{ ms}$, StDev: $1.8\text{ ms}$).</w:t>
      </w:r>
    </w:p>
    <w:p>
      <w:pPr>
        <w:pStyle w:val="ListBullet"/>
        <w:spacing w:after="80"/>
        <w:ind w:left="360"/>
      </w:pPr>
      <w:r>
        <w:rPr>
          <w:rFonts w:ascii="Times New Roman" w:hAnsi="Times New Roman"/>
          <w:b/>
          <w:sz w:val="24"/>
        </w:rPr>
        <w:t>Mean Azure $\rightarrow$ AWS RTT</w:t>
      </w:r>
      <w:r>
        <w:rPr>
          <w:rFonts w:ascii="Times New Roman" w:hAnsi="Times New Roman"/>
          <w:sz w:val="24"/>
        </w:rPr>
        <w:t>: $35.4\text{ ms}$ (Min: $32.5\text{ ms}$, Max: $42.0\text{ ms}$, StDev: $1.9\text{ ms}$).</w:t>
      </w:r>
    </w:p>
    <w:p>
      <w:pPr>
        <w:pStyle w:val="ListBullet"/>
        <w:spacing w:after="80"/>
        <w:ind w:left="360"/>
      </w:pPr>
      <w:r>
        <w:rPr>
          <w:rFonts w:ascii="Times New Roman" w:hAnsi="Times New Roman"/>
          <w:b/>
          <w:sz w:val="24"/>
        </w:rPr>
        <w:t>Evaluation</w:t>
      </w:r>
      <w:r>
        <w:rPr>
          <w:rFonts w:ascii="Times New Roman" w:hAnsi="Times New Roman"/>
          <w:sz w:val="24"/>
        </w:rPr>
        <w:t xml:space="preserve">: Average latency ($35.15\text{ ms}$) is </w:t>
      </w:r>
      <w:r>
        <w:rPr>
          <w:rFonts w:ascii="Times New Roman" w:hAnsi="Times New Roman"/>
          <w:b/>
          <w:sz w:val="24"/>
        </w:rPr>
        <w:t>well below the sub-100ms threshold</w:t>
      </w:r>
      <w:r>
        <w:rPr>
          <w:rFonts w:ascii="Times New Roman" w:hAnsi="Times New Roman"/>
          <w:sz w:val="24"/>
        </w:rPr>
        <w:t>, validating the performance suitability of route-based IPsec VPNs for inter-cloud API communications.</w:t>
      </w:r>
    </w:p>
    <w:p>
      <w:pPr>
        <w:keepNext/>
        <w:spacing w:before="240" w:after="120"/>
      </w:pPr>
      <w:r>
        <w:rPr>
          <w:rFonts w:ascii="Times New Roman" w:hAnsi="Times New Roman"/>
          <w:b/>
          <w:color w:val="366092"/>
          <w:sz w:val="26"/>
        </w:rPr>
        <w:t>5.3.2 iPerf3 TCP Throughput Benchmarking</w:t>
      </w:r>
    </w:p>
    <w:p>
      <w:pPr>
        <w:spacing w:after="120" w:line="300" w:lineRule="auto"/>
      </w:pPr>
      <w:r>
        <w:rPr>
          <w:rFonts w:ascii="Times New Roman" w:hAnsi="Times New Roman"/>
          <w:sz w:val="24"/>
        </w:rPr>
        <w:t>Throughput was benchmarked across the encrypted inter-cloud VPN link:</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Direction</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Parallel Streams ($P$)</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Duration</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Sender Throughput</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Receiver Throughput</w:t>
            </w:r>
          </w:p>
        </w:tc>
        <w:tc>
          <w:tcPr>
            <w:tcW w:type="dxa" w:w="156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Retransmissions</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$\rightarrow$ Azure</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 Stream ($P=1$)</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30 sec</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142.5 Mbps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140.2 Mbps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12</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AWS $\rightarrow$ Azure</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4 Streams ($P=4$)</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30 sec</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385.1 Mbps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378.6 Mbps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48</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AWS $\rightarrow$ Azure</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8 Streams ($P=8$)</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30 sec</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512.4 Mbps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498.9 Mbps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115</w:t>
            </w:r>
          </w:p>
        </w:tc>
      </w:tr>
      <w:tr>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Azure $\rightarrow$ AWS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 Stream ($P=1$)</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30 sec</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139.8 Mbps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137.9 Mbps</w:t>
            </w:r>
          </w:p>
        </w:tc>
        <w:tc>
          <w:tcPr>
            <w:tcW w:type="dxa" w:w="156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15</w:t>
            </w:r>
          </w:p>
        </w:tc>
      </w:tr>
      <w:tr>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Azure $\rightarrow$ AWS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4 Streams ($P=4$)</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30 sec</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379.2 Mbps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371.4 Mbps</w:t>
            </w:r>
          </w:p>
        </w:tc>
        <w:tc>
          <w:tcPr>
            <w:tcW w:type="dxa" w:w="156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52</w:t>
            </w:r>
          </w:p>
        </w:tc>
      </w:tr>
    </w:tbl>
    <w:p>
      <w:pPr>
        <w:spacing w:after="120" w:line="300" w:lineRule="auto"/>
      </w:pPr>
      <w:r>
        <w:rPr>
          <w:rFonts w:ascii="Times New Roman" w:hAnsi="Times New Roman"/>
          <w:b/>
          <w:sz w:val="24"/>
        </w:rPr>
        <w:t>Analysis</w:t>
      </w:r>
      <w:r>
        <w:rPr>
          <w:rFonts w:ascii="Times New Roman" w:hAnsi="Times New Roman"/>
          <w:sz w:val="24"/>
        </w:rPr>
        <w:t>: Multi-stream throughput scales up to $\approx 500\text{ Mbps}$, demonstrating that TCP window scaling and parallel connection pools effectively utilize the encrypted inter-cloud bandwidth pipeline.</w:t>
      </w:r>
    </w:p>
    <w:p>
      <w:pPr>
        <w:spacing w:before="120" w:after="120"/>
      </w:pPr>
      <w:r>
        <w:rPr>
          <w:color w:val="CCCCCC"/>
        </w:rPr>
        <w:t>――――――――――――――――――――――――――――――――――――――――――――――――――</w:t>
      </w:r>
    </w:p>
    <w:p>
      <w:pPr>
        <w:keepNext/>
        <w:spacing w:before="280" w:after="160"/>
      </w:pPr>
      <w:r>
        <w:rPr>
          <w:rFonts w:ascii="Times New Roman" w:hAnsi="Times New Roman"/>
          <w:b/>
          <w:color w:val="1F497D"/>
          <w:sz w:val="30"/>
        </w:rPr>
        <w:t>5.4 Failover and Resilience Evaluation</w:t>
      </w:r>
    </w:p>
    <w:p>
      <w:pPr>
        <w:spacing w:after="120" w:line="300" w:lineRule="auto"/>
      </w:pPr>
      <w:r>
        <w:rPr>
          <w:rFonts w:ascii="Times New Roman" w:hAnsi="Times New Roman"/>
          <w:sz w:val="24"/>
        </w:rPr>
        <w:t>To evaluate resilience, Tunnel 1 of the AWS Site-to-Site VPN was disabled during an active 1-second HTTP health probe session:</w:t>
      </w:r>
    </w:p>
    <w:p>
      <w:pPr>
        <w:keepNext/>
        <w:spacing w:before="240" w:after="80"/>
        <w:jc w:val="center"/>
      </w:pPr>
      <w:r>
        <w:drawing>
          <wp:inline xmlns:a="http://schemas.openxmlformats.org/drawingml/2006/main" xmlns:pic="http://schemas.openxmlformats.org/drawingml/2006/picture">
            <wp:extent cx="5486400" cy="3055716"/>
            <wp:docPr id="11" name="Picture 11"/>
            <wp:cNvGraphicFramePr>
              <a:graphicFrameLocks noChangeAspect="1"/>
            </wp:cNvGraphicFramePr>
            <a:graphic>
              <a:graphicData uri="http://schemas.openxmlformats.org/drawingml/2006/picture">
                <pic:pic>
                  <pic:nvPicPr>
                    <pic:cNvPr id="0" name="fig5_3_latency_chart.png"/>
                    <pic:cNvPicPr/>
                  </pic:nvPicPr>
                  <pic:blipFill>
                    <a:blip r:embed="rId19"/>
                    <a:stretch>
                      <a:fillRect/>
                    </a:stretch>
                  </pic:blipFill>
                  <pic:spPr>
                    <a:xfrm>
                      <a:off x="0" y="0"/>
                      <a:ext cx="5486400" cy="3055716"/>
                    </a:xfrm>
                    <a:prstGeom prst="rect"/>
                  </pic:spPr>
                </pic:pic>
              </a:graphicData>
            </a:graphic>
          </wp:inline>
        </w:drawing>
      </w:r>
    </w:p>
    <w:p>
      <w:pPr>
        <w:spacing w:after="120" w:line="300" w:lineRule="auto"/>
        <w:jc w:val="center"/>
      </w:pPr>
      <w:r>
        <w:rPr>
          <w:rFonts w:ascii="Times New Roman" w:hAnsi="Times New Roman"/>
          <w:b/>
          <w:sz w:val="24"/>
        </w:rPr>
        <w:t>Figure 5.3: Failover Timeline and BGP Route Convergence Sequence</w:t>
      </w:r>
    </w:p>
    <w:p>
      <w:pPr>
        <w:pStyle w:val="ListBullet"/>
        <w:spacing w:after="80"/>
        <w:ind w:left="360"/>
      </w:pPr>
      <w:r>
        <w:rPr>
          <w:rFonts w:ascii="Times New Roman" w:hAnsi="Times New Roman"/>
          <w:b/>
          <w:sz w:val="24"/>
        </w:rPr>
        <w:t>First Failure Timestamp ($T_{\text{first\_failure}}$)</w:t>
      </w:r>
      <w:r>
        <w:rPr>
          <w:rFonts w:ascii="Times New Roman" w:hAnsi="Times New Roman"/>
          <w:sz w:val="24"/>
        </w:rPr>
        <w:t>: $0.0\text{s}$ (Probe #46 timeout).</w:t>
      </w:r>
    </w:p>
    <w:p>
      <w:pPr>
        <w:pStyle w:val="ListBullet"/>
        <w:spacing w:after="80"/>
        <w:ind w:left="360"/>
      </w:pPr>
      <w:r>
        <w:rPr>
          <w:rFonts w:ascii="Times New Roman" w:hAnsi="Times New Roman"/>
          <w:b/>
          <w:sz w:val="24"/>
        </w:rPr>
        <w:t>Stable Restoration Timestamp ($T_{\text{stable\_restoration}}$)</w:t>
      </w:r>
      <w:r>
        <w:rPr>
          <w:rFonts w:ascii="Times New Roman" w:hAnsi="Times New Roman"/>
          <w:sz w:val="24"/>
        </w:rPr>
        <w:t>: $4.1\text{s}$ (Probe #50 HTTP 200 OK).</w:t>
      </w:r>
    </w:p>
    <w:p>
      <w:pPr>
        <w:pStyle w:val="ListBullet"/>
        <w:spacing w:after="80"/>
        <w:ind w:left="360"/>
      </w:pPr>
      <w:r>
        <w:rPr>
          <w:rFonts w:ascii="Times New Roman" w:hAnsi="Times New Roman"/>
          <w:b/>
          <w:sz w:val="24"/>
        </w:rPr>
        <w:t>Measured RTO</w:t>
      </w:r>
      <w:r>
        <w:rPr>
          <w:rFonts w:ascii="Times New Roman" w:hAnsi="Times New Roman"/>
          <w:sz w:val="24"/>
        </w:rPr>
        <w:t>:</w:t>
      </w:r>
    </w:p>
    <w:p>
      <w:pPr>
        <w:spacing w:after="120" w:line="300" w:lineRule="auto"/>
      </w:pPr>
      <w:r>
        <w:rPr>
          <w:rFonts w:ascii="Times New Roman" w:hAnsi="Times New Roman"/>
          <w:sz w:val="24"/>
        </w:rPr>
        <w:t>$$\text{RTO}_{\text{measured}} = 4.1\text{s} - 0.0\text{s} = 4.1\text{ seconds}$$</w:t>
      </w:r>
    </w:p>
    <w:p>
      <w:pPr>
        <w:pStyle w:val="ListBullet"/>
        <w:spacing w:after="80"/>
        <w:ind w:left="360"/>
      </w:pPr>
      <w:r>
        <w:rPr>
          <w:rFonts w:ascii="Times New Roman" w:hAnsi="Times New Roman"/>
          <w:b/>
          <w:sz w:val="24"/>
        </w:rPr>
        <w:t>Evaluation</w:t>
      </w:r>
      <w:r>
        <w:rPr>
          <w:rFonts w:ascii="Times New Roman" w:hAnsi="Times New Roman"/>
          <w:sz w:val="24"/>
        </w:rPr>
        <w:t>: The 4.1-second RTO demonstrates rapid, automated BGP failover across redundant IPsec tunnels without manual intervention.</w:t>
      </w:r>
    </w:p>
    <w:p>
      <w:pPr>
        <w:spacing w:before="120" w:after="120"/>
      </w:pPr>
      <w:r>
        <w:rPr>
          <w:color w:val="CCCCCC"/>
        </w:rPr>
        <w:t>――――――――――――――――――――――――――――――――――――――――――――――――――</w:t>
      </w:r>
    </w:p>
    <w:p>
      <w:pPr>
        <w:keepNext/>
        <w:spacing w:before="280" w:after="160"/>
      </w:pPr>
      <w:r>
        <w:rPr>
          <w:rFonts w:ascii="Times New Roman" w:hAnsi="Times New Roman"/>
          <w:b/>
          <w:color w:val="1F497D"/>
          <w:sz w:val="30"/>
        </w:rPr>
        <w:t>5.5 Overall Evaluation against Project Objectives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Objective</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Target Criteria</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Empirical Evidence Baseline</w:t>
            </w:r>
          </w:p>
        </w:tc>
        <w:tc>
          <w:tcPr>
            <w:tcW w:type="dxa" w:w="2340"/>
            <w:vAlign w:val="center"/>
            <w:tcMar>
              <w:top w:w="120" w:type="dxa"/>
              <w:bottom w:w="120" w:type="dxa"/>
              <w:left w:w="150" w:type="dxa"/>
              <w:right w:w="150" w:type="dxa"/>
            </w:tcMar>
            <w:shd w:fill="1F497D"/>
          </w:tcPr>
          <w:p>
            <w:pPr>
              <w:spacing w:after="40" w:before="40" w:line="276" w:lineRule="auto"/>
            </w:pPr>
            <w:r>
              <w:rPr>
                <w:rFonts w:ascii="Times New Roman" w:hAnsi="Times New Roman"/>
                <w:b/>
                <w:color w:val="FFFFFF"/>
                <w:sz w:val="21"/>
              </w:rPr>
              <w:t>Achievement Status</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Objective 1 (Review &amp; Gap)</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Identify gaps in existing literature &amp; Nigerian policy</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Literature synthesis, Gap Matrix (Section 2.13)</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ACHIEVED</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Objective 2 (System Design)</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Design hub-spoke Zero Trust multi-cloud architecture</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5-Plane architecture, Flow Matrix, CIDR plan</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ACHIEVED</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Objective 3 (IaC Implementation)</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Modular Terraform codebase with zero drift</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100% codified deployment, 0 drift plan</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ACHIEVED</w:t>
            </w:r>
          </w:p>
        </w:tc>
      </w:tr>
      <w:tr>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Objective 4 (Security Control)</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Micro-segmentation, Entra IdC federation, 0 High scans</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sz w:val="20"/>
              </w:rPr>
              <w:t>0 High Prowler findings, Web-DB denial verified</w:t>
            </w:r>
          </w:p>
        </w:tc>
        <w:tc>
          <w:tcPr>
            <w:tcW w:type="dxa" w:w="2340"/>
            <w:vAlign w:val="center"/>
            <w:tcMar>
              <w:top w:w="120" w:type="dxa"/>
              <w:bottom w:w="120" w:type="dxa"/>
              <w:left w:w="150" w:type="dxa"/>
              <w:right w:w="150" w:type="dxa"/>
            </w:tcMar>
            <w:shd w:fill="FFFFFF"/>
          </w:tcPr>
          <w:p>
            <w:pPr>
              <w:spacing w:after="40" w:before="40" w:line="276" w:lineRule="auto"/>
            </w:pPr>
            <w:r>
              <w:rPr>
                <w:rFonts w:ascii="Times New Roman" w:hAnsi="Times New Roman"/>
                <w:b/>
                <w:sz w:val="20"/>
              </w:rPr>
              <w:t>ACHIEVED</w:t>
            </w:r>
          </w:p>
        </w:tc>
      </w:tr>
      <w:tr>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Objective 5 (Empirical Evaluation)</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Latency &lt;100ms, RTO measurement, throughput data</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sz w:val="20"/>
              </w:rPr>
              <w:t>Latency = 35.1ms, RTO = 4.1s, Throughput = 498Mbps</w:t>
            </w:r>
          </w:p>
        </w:tc>
        <w:tc>
          <w:tcPr>
            <w:tcW w:type="dxa" w:w="2340"/>
            <w:vAlign w:val="center"/>
            <w:tcMar>
              <w:top w:w="120" w:type="dxa"/>
              <w:bottom w:w="120" w:type="dxa"/>
              <w:left w:w="150" w:type="dxa"/>
              <w:right w:w="150" w:type="dxa"/>
            </w:tcMar>
            <w:shd w:fill="F2F5F9"/>
          </w:tcPr>
          <w:p>
            <w:pPr>
              <w:spacing w:after="40" w:before="40" w:line="276" w:lineRule="auto"/>
            </w:pPr>
            <w:r>
              <w:rPr>
                <w:rFonts w:ascii="Times New Roman" w:hAnsi="Times New Roman"/>
                <w:b/>
                <w:sz w:val="20"/>
              </w:rPr>
              <w:t>ACHIEVED</w:t>
            </w:r>
          </w:p>
        </w:tc>
      </w:tr>
    </w:tbl>
    <w:p>
      <w:pPr>
        <w:spacing w:after="120" w:line="300" w:lineRule="auto"/>
      </w:pPr>
      <w:r>
        <w:rPr>
          <w:rFonts w:ascii="Times New Roman" w:hAnsi="Times New Roman"/>
          <w:b/>
          <w:sz w:val="24"/>
        </w:rPr>
        <w:t>Final Artefact Classification</w:t>
      </w:r>
      <w:r>
        <w:rPr>
          <w:rFonts w:ascii="Times New Roman" w:hAnsi="Times New Roman"/>
          <w:sz w:val="24"/>
        </w:rPr>
        <w:t xml:space="preserve">: </w:t>
      </w:r>
      <w:r>
        <w:rPr>
          <w:rFonts w:ascii="Times New Roman" w:hAnsi="Times New Roman"/>
          <w:b/>
          <w:sz w:val="24"/>
        </w:rPr>
        <w:t>FULLY SUCCESSFUL</w:t>
      </w:r>
      <w:r>
        <w:rPr>
          <w:rFonts w:ascii="Times New Roman" w:hAnsi="Times New Roman"/>
          <w:sz w:val="24"/>
        </w:rPr>
        <w:t>.</w:t>
      </w:r>
    </w:p>
    <w:p>
      <w:pPr>
        <w:spacing w:before="120" w:after="120"/>
      </w:pPr>
      <w:r>
        <w:rPr>
          <w:color w:val="CCCCCC"/>
        </w:rPr>
        <w:t>――――――――――――――――――――――――――――――――――――――――――――――――――</w:t>
      </w:r>
    </w:p>
    <w:p>
      <w:pPr>
        <w:keepNext/>
        <w:spacing w:before="400" w:after="240"/>
      </w:pPr>
      <w:r>
        <w:rPr>
          <w:rFonts w:ascii="Times New Roman" w:hAnsi="Times New Roman"/>
          <w:b/>
          <w:color w:val="1F497D"/>
          <w:sz w:val="36"/>
        </w:rPr>
        <w:t>CHAPTER SIX: SUMMARY, CONCLUSION AND RECOMMENDATIONS</w:t>
      </w:r>
    </w:p>
    <w:p>
      <w:pPr>
        <w:keepNext/>
        <w:spacing w:before="280" w:after="160"/>
      </w:pPr>
      <w:r>
        <w:rPr>
          <w:rFonts w:ascii="Times New Roman" w:hAnsi="Times New Roman"/>
          <w:b/>
          <w:color w:val="1F497D"/>
          <w:sz w:val="30"/>
        </w:rPr>
        <w:t>6.0 Introduction</w:t>
      </w:r>
    </w:p>
    <w:p>
      <w:pPr>
        <w:spacing w:after="120" w:line="300" w:lineRule="auto"/>
      </w:pPr>
      <w:r>
        <w:rPr>
          <w:rFonts w:ascii="Times New Roman" w:hAnsi="Times New Roman"/>
          <w:sz w:val="24"/>
        </w:rPr>
        <w:t>This chapter concludes the project report. It synthesizes the major architectural findings from Chapters One through Five, evaluates the overall achievement of project objectives, defines core professional contributions, presents actionable recommendations for Nigerian enterprise cloud adoption, and outlines roadmap enhancements for future research.</w:t>
      </w:r>
    </w:p>
    <w:p>
      <w:pPr>
        <w:spacing w:before="120" w:after="120"/>
      </w:pPr>
      <w:r>
        <w:rPr>
          <w:color w:val="CCCCCC"/>
        </w:rPr>
        <w:t>――――――――――――――――――――――――――――――――――――――――――――――――――</w:t>
      </w:r>
    </w:p>
    <w:p>
      <w:pPr>
        <w:keepNext/>
        <w:spacing w:before="280" w:after="160"/>
      </w:pPr>
      <w:r>
        <w:rPr>
          <w:rFonts w:ascii="Times New Roman" w:hAnsi="Times New Roman"/>
          <w:b/>
          <w:color w:val="1F497D"/>
          <w:sz w:val="30"/>
        </w:rPr>
        <w:t>6.1 Summary of the Completed Project</w:t>
      </w:r>
    </w:p>
    <w:p>
      <w:pPr>
        <w:spacing w:after="120" w:line="300" w:lineRule="auto"/>
      </w:pPr>
      <w:r>
        <w:rPr>
          <w:rFonts w:ascii="Times New Roman" w:hAnsi="Times New Roman"/>
          <w:sz w:val="24"/>
        </w:rPr>
        <w:t>The project successfully designed, implemented, and empirically evaluated a secure, resilient, and compliant AWS–Azure multi-cloud architecture for enterprise workloads:</w:t>
      </w:r>
    </w:p>
    <w:p>
      <w:pPr>
        <w:pStyle w:val="ListNumber"/>
        <w:spacing w:after="80"/>
        <w:ind w:left="360"/>
      </w:pPr>
      <w:r>
        <w:rPr>
          <w:rFonts w:ascii="Times New Roman" w:hAnsi="Times New Roman"/>
          <w:b/>
          <w:sz w:val="24"/>
        </w:rPr>
        <w:t>Chapter 1</w:t>
      </w:r>
      <w:r>
        <w:rPr>
          <w:rFonts w:ascii="Times New Roman" w:hAnsi="Times New Roman"/>
          <w:sz w:val="24"/>
        </w:rPr>
        <w:t xml:space="preserve"> established the problem statement: ungoverned inter-cloud connectivity creates lateral movement risks, fragmented identity, weak visibility, and compliance uncertainty under the </w:t>
      </w:r>
      <w:r>
        <w:rPr>
          <w:rFonts w:ascii="Times New Roman" w:hAnsi="Times New Roman"/>
          <w:b/>
          <w:sz w:val="24"/>
        </w:rPr>
        <w:t>Nigeria Data Protection Act 2023</w:t>
      </w:r>
      <w:r>
        <w:rPr>
          <w:rFonts w:ascii="Times New Roman" w:hAnsi="Times New Roman"/>
          <w:sz w:val="24"/>
        </w:rPr>
        <w:t xml:space="preserve"> and </w:t>
      </w:r>
      <w:r>
        <w:rPr>
          <w:rFonts w:ascii="Times New Roman" w:hAnsi="Times New Roman"/>
          <w:b/>
          <w:sz w:val="24"/>
        </w:rPr>
        <w:t>National Cloud Policy 2025</w:t>
      </w:r>
      <w:r>
        <w:rPr>
          <w:rFonts w:ascii="Times New Roman" w:hAnsi="Times New Roman"/>
          <w:sz w:val="24"/>
        </w:rPr>
        <w:t>.</w:t>
      </w:r>
    </w:p>
    <w:p>
      <w:pPr>
        <w:pStyle w:val="ListNumber"/>
        <w:spacing w:after="80"/>
        <w:ind w:left="360"/>
      </w:pPr>
      <w:r>
        <w:rPr>
          <w:rFonts w:ascii="Times New Roman" w:hAnsi="Times New Roman"/>
          <w:b/>
          <w:sz w:val="24"/>
        </w:rPr>
        <w:t>Chapter 2</w:t>
      </w:r>
      <w:r>
        <w:rPr>
          <w:rFonts w:ascii="Times New Roman" w:hAnsi="Times New Roman"/>
          <w:sz w:val="24"/>
        </w:rPr>
        <w:t xml:space="preserve"> conducted a critical literature review, comparing solution approaches and establishing a 6-part research gap.</w:t>
      </w:r>
    </w:p>
    <w:p>
      <w:pPr>
        <w:pStyle w:val="ListNumber"/>
        <w:spacing w:after="80"/>
        <w:ind w:left="360"/>
      </w:pPr>
      <w:r>
        <w:rPr>
          <w:rFonts w:ascii="Times New Roman" w:hAnsi="Times New Roman"/>
          <w:b/>
          <w:sz w:val="24"/>
        </w:rPr>
        <w:t>Chapter 3</w:t>
      </w:r>
      <w:r>
        <w:rPr>
          <w:rFonts w:ascii="Times New Roman" w:hAnsi="Times New Roman"/>
          <w:sz w:val="24"/>
        </w:rPr>
        <w:t xml:space="preserve"> applied Design Science Research Methodology (DSRM), designing a 5-plane hub-and-spoke architecture, non-overlapping address plan (</w:t>
      </w:r>
      <w:r>
        <w:rPr>
          <w:rFonts w:ascii="Consolas" w:hAnsi="Consolas"/>
          <w:color w:val="881515"/>
          <w:sz w:val="21"/>
        </w:rPr>
        <w:t>10.10.0.0/16</w:t>
      </w:r>
      <w:r>
        <w:rPr>
          <w:rFonts w:ascii="Times New Roman" w:hAnsi="Times New Roman"/>
          <w:sz w:val="24"/>
        </w:rPr>
        <w:t xml:space="preserve"> &amp; </w:t>
      </w:r>
      <w:r>
        <w:rPr>
          <w:rFonts w:ascii="Consolas" w:hAnsi="Consolas"/>
          <w:color w:val="881515"/>
          <w:sz w:val="21"/>
        </w:rPr>
        <w:t>10.20.0.0/16</w:t>
      </w:r>
      <w:r>
        <w:rPr>
          <w:rFonts w:ascii="Times New Roman" w:hAnsi="Times New Roman"/>
          <w:sz w:val="24"/>
        </w:rPr>
        <w:t>), Zero Trust traffic flow matrix, SAML/SCIM identity federation model, and performance/failover test harness.</w:t>
      </w:r>
    </w:p>
    <w:p>
      <w:pPr>
        <w:pStyle w:val="ListNumber"/>
        <w:spacing w:after="80"/>
        <w:ind w:left="360"/>
      </w:pPr>
      <w:r>
        <w:rPr>
          <w:rFonts w:ascii="Times New Roman" w:hAnsi="Times New Roman"/>
          <w:b/>
          <w:sz w:val="24"/>
        </w:rPr>
        <w:t>Chapter 4</w:t>
      </w:r>
      <w:r>
        <w:rPr>
          <w:rFonts w:ascii="Times New Roman" w:hAnsi="Times New Roman"/>
          <w:sz w:val="24"/>
        </w:rPr>
        <w:t xml:space="preserve"> codified the system in modular Terraform HCL scripts, documenting a 2-stage execution workflow and remote state security.</w:t>
      </w:r>
    </w:p>
    <w:p>
      <w:pPr>
        <w:pStyle w:val="ListNumber"/>
        <w:spacing w:after="80"/>
        <w:ind w:left="360"/>
      </w:pPr>
      <w:r>
        <w:rPr>
          <w:rFonts w:ascii="Times New Roman" w:hAnsi="Times New Roman"/>
          <w:b/>
          <w:sz w:val="24"/>
        </w:rPr>
        <w:t>Chapter 5</w:t>
      </w:r>
      <w:r>
        <w:rPr>
          <w:rFonts w:ascii="Times New Roman" w:hAnsi="Times New Roman"/>
          <w:sz w:val="24"/>
        </w:rPr>
        <w:t xml:space="preserve"> empirically validated the artefact: proving deny-by-default segmentation, achieving 0 High Prowler scan findings, measuring </w:t>
      </w:r>
      <w:r>
        <w:rPr>
          <w:rFonts w:ascii="Times New Roman" w:hAnsi="Times New Roman"/>
          <w:b/>
          <w:sz w:val="24"/>
        </w:rPr>
        <w:t>35.1ms inter-cloud latency</w:t>
      </w:r>
      <w:r>
        <w:rPr>
          <w:rFonts w:ascii="Times New Roman" w:hAnsi="Times New Roman"/>
          <w:sz w:val="24"/>
        </w:rPr>
        <w:t xml:space="preserve">, achieving </w:t>
      </w:r>
      <w:r>
        <w:rPr>
          <w:rFonts w:ascii="Times New Roman" w:hAnsi="Times New Roman"/>
          <w:b/>
          <w:sz w:val="24"/>
        </w:rPr>
        <w:t>498 Mbps TCP throughput</w:t>
      </w:r>
      <w:r>
        <w:rPr>
          <w:rFonts w:ascii="Times New Roman" w:hAnsi="Times New Roman"/>
          <w:sz w:val="24"/>
        </w:rPr>
        <w:t xml:space="preserve">, and demonstrating a </w:t>
      </w:r>
      <w:r>
        <w:rPr>
          <w:rFonts w:ascii="Times New Roman" w:hAnsi="Times New Roman"/>
          <w:b/>
          <w:sz w:val="24"/>
        </w:rPr>
        <w:t>4.1-second BGP failover RTO</w:t>
      </w:r>
      <w:r>
        <w:rPr>
          <w:rFonts w:ascii="Times New Roman" w:hAnsi="Times New Roman"/>
          <w:sz w:val="24"/>
        </w:rPr>
        <w:t>.</w:t>
      </w:r>
    </w:p>
    <w:p>
      <w:pPr>
        <w:spacing w:before="120" w:after="120"/>
      </w:pPr>
      <w:r>
        <w:rPr>
          <w:color w:val="CCCCCC"/>
        </w:rPr>
        <w:t>――――――――――――――――――――――――――――――――――――――――――――――――――</w:t>
      </w:r>
    </w:p>
    <w:p>
      <w:pPr>
        <w:keepNext/>
        <w:spacing w:before="280" w:after="160"/>
      </w:pPr>
      <w:r>
        <w:rPr>
          <w:rFonts w:ascii="Times New Roman" w:hAnsi="Times New Roman"/>
          <w:b/>
          <w:color w:val="1F497D"/>
          <w:sz w:val="30"/>
        </w:rPr>
        <w:t>6.2 Professional Contributions of the Project</w:t>
      </w:r>
    </w:p>
    <w:p>
      <w:pPr>
        <w:pStyle w:val="ListNumber"/>
        <w:spacing w:after="80"/>
        <w:ind w:left="360"/>
      </w:pPr>
      <w:r>
        <w:rPr>
          <w:rFonts w:ascii="Times New Roman" w:hAnsi="Times New Roman"/>
          <w:b/>
          <w:sz w:val="24"/>
        </w:rPr>
        <w:t>Reproducible AWS–Azure Reference Architecture</w:t>
      </w:r>
      <w:r>
        <w:rPr>
          <w:rFonts w:ascii="Times New Roman" w:hAnsi="Times New Roman"/>
          <w:sz w:val="24"/>
        </w:rPr>
        <w:t>: Provides a fully codified, provider-native blueprint using AWS Transit Gateway and Azure Active-Active VPN Gateway, avoiding proprietary vendor overlays.</w:t>
      </w:r>
    </w:p>
    <w:p>
      <w:pPr>
        <w:pStyle w:val="ListNumber"/>
        <w:spacing w:after="80"/>
        <w:ind w:left="360"/>
      </w:pPr>
      <w:r>
        <w:rPr>
          <w:rFonts w:ascii="Times New Roman" w:hAnsi="Times New Roman"/>
          <w:b/>
          <w:sz w:val="24"/>
        </w:rPr>
        <w:t>Provider-to-Provider Security Control Mapping</w:t>
      </w:r>
      <w:r>
        <w:rPr>
          <w:rFonts w:ascii="Times New Roman" w:hAnsi="Times New Roman"/>
          <w:sz w:val="24"/>
        </w:rPr>
        <w:t>: Synthesizes equivalent security constructs (Security Groups vs. NSGs, IAM vs. Entra ID, CloudTrail vs. Activity Logs) into a unified Zero Trust model.</w:t>
      </w:r>
    </w:p>
    <w:p>
      <w:pPr>
        <w:pStyle w:val="ListNumber"/>
        <w:spacing w:after="80"/>
        <w:ind w:left="360"/>
      </w:pPr>
      <w:r>
        <w:rPr>
          <w:rFonts w:ascii="Times New Roman" w:hAnsi="Times New Roman"/>
          <w:b/>
          <w:sz w:val="24"/>
        </w:rPr>
        <w:t>IaC Security Governance Framework</w:t>
      </w:r>
      <w:r>
        <w:rPr>
          <w:rFonts w:ascii="Times New Roman" w:hAnsi="Times New Roman"/>
          <w:sz w:val="24"/>
        </w:rPr>
        <w:t>: Demonstrates secure Terraform practices—remote state locking, provider version pinning, secret segregation, and static posture scanning.</w:t>
      </w:r>
    </w:p>
    <w:p>
      <w:pPr>
        <w:pStyle w:val="ListNumber"/>
        <w:spacing w:after="80"/>
        <w:ind w:left="360"/>
      </w:pPr>
      <w:r>
        <w:rPr>
          <w:rFonts w:ascii="Times New Roman" w:hAnsi="Times New Roman"/>
          <w:b/>
          <w:sz w:val="24"/>
        </w:rPr>
        <w:t>Operationalization of Zero Trust (NIST SP 800-207/207A)</w:t>
      </w:r>
      <w:r>
        <w:rPr>
          <w:rFonts w:ascii="Times New Roman" w:hAnsi="Times New Roman"/>
          <w:sz w:val="24"/>
        </w:rPr>
        <w:t>: Translates theoretical Zero Trust tenets into deployable Policy Engine, Administrator, and Enforcement Point configurations across two public clouds.</w:t>
      </w:r>
    </w:p>
    <w:p>
      <w:pPr>
        <w:pStyle w:val="ListNumber"/>
        <w:spacing w:after="80"/>
        <w:ind w:left="360"/>
      </w:pPr>
      <w:r>
        <w:rPr>
          <w:rFonts w:ascii="Times New Roman" w:hAnsi="Times New Roman"/>
          <w:b/>
          <w:sz w:val="24"/>
        </w:rPr>
        <w:t>Context-Aware Nigerian Cloud Compliance Blueprint</w:t>
      </w:r>
      <w:r>
        <w:rPr>
          <w:rFonts w:ascii="Times New Roman" w:hAnsi="Times New Roman"/>
          <w:sz w:val="24"/>
        </w:rPr>
        <w:t>: Bridges global security standards with local statutory requirements (NDPA 2023, NDPC GAID 2025, National Cloud Policy 2025), showing how data sovereignty regulations translate into concrete technical rules.</w:t>
      </w:r>
    </w:p>
    <w:p>
      <w:pPr>
        <w:spacing w:before="120" w:after="120"/>
      </w:pPr>
      <w:r>
        <w:rPr>
          <w:color w:val="CCCCCC"/>
        </w:rPr>
        <w:t>――――――――――――――――――――――――――――――――――――――――――――――――――</w:t>
      </w:r>
    </w:p>
    <w:p>
      <w:pPr>
        <w:keepNext/>
        <w:spacing w:before="280" w:after="160"/>
      </w:pPr>
      <w:r>
        <w:rPr>
          <w:rFonts w:ascii="Times New Roman" w:hAnsi="Times New Roman"/>
          <w:b/>
          <w:color w:val="1F497D"/>
          <w:sz w:val="30"/>
        </w:rPr>
        <w:t>6.3 Practical Recommendations for Nigerian Enterprises</w:t>
      </w:r>
    </w:p>
    <w:p>
      <w:pPr>
        <w:keepNext/>
        <w:spacing w:before="240" w:after="120"/>
      </w:pPr>
      <w:r>
        <w:rPr>
          <w:rFonts w:ascii="Times New Roman" w:hAnsi="Times New Roman"/>
          <w:b/>
          <w:color w:val="366092"/>
          <w:sz w:val="26"/>
        </w:rPr>
        <w:t>6.3.1 Implementation Roadmap for Multi-Cloud Adoption</w:t>
      </w:r>
    </w:p>
    <w:p>
      <w:pPr>
        <w:keepNext/>
        <w:spacing w:before="240" w:after="80"/>
        <w:jc w:val="center"/>
      </w:pPr>
      <w:r>
        <w:drawing>
          <wp:inline xmlns:a="http://schemas.openxmlformats.org/drawingml/2006/main" xmlns:pic="http://schemas.openxmlformats.org/drawingml/2006/picture">
            <wp:extent cx="5486400" cy="2992582"/>
            <wp:docPr id="12" name="Picture 12"/>
            <wp:cNvGraphicFramePr>
              <a:graphicFrameLocks noChangeAspect="1"/>
            </wp:cNvGraphicFramePr>
            <a:graphic>
              <a:graphicData uri="http://schemas.openxmlformats.org/drawingml/2006/picture">
                <pic:pic>
                  <pic:nvPicPr>
                    <pic:cNvPr id="0" name="fig6_1_adoption_roadmap.png"/>
                    <pic:cNvPicPr/>
                  </pic:nvPicPr>
                  <pic:blipFill>
                    <a:blip r:embed="rId20"/>
                    <a:stretch>
                      <a:fillRect/>
                    </a:stretch>
                  </pic:blipFill>
                  <pic:spPr>
                    <a:xfrm>
                      <a:off x="0" y="0"/>
                      <a:ext cx="5486400" cy="2992582"/>
                    </a:xfrm>
                    <a:prstGeom prst="rect"/>
                  </pic:spPr>
                </pic:pic>
              </a:graphicData>
            </a:graphic>
          </wp:inline>
        </w:drawing>
      </w:r>
    </w:p>
    <w:p>
      <w:pPr>
        <w:spacing w:after="120" w:line="300" w:lineRule="auto"/>
        <w:jc w:val="center"/>
      </w:pPr>
      <w:r>
        <w:rPr>
          <w:rFonts w:ascii="Times New Roman" w:hAnsi="Times New Roman"/>
          <w:b/>
          <w:sz w:val="24"/>
        </w:rPr>
        <w:t>Figure 6.1: Phased Multi-Cloud Adoption Roadmap for Nigerian Enterprises</w:t>
      </w:r>
    </w:p>
    <w:p>
      <w:pPr>
        <w:pStyle w:val="ListNumber"/>
        <w:spacing w:after="80"/>
        <w:ind w:left="360"/>
      </w:pPr>
      <w:r>
        <w:rPr>
          <w:rFonts w:ascii="Times New Roman" w:hAnsi="Times New Roman"/>
          <w:b/>
          <w:sz w:val="24"/>
        </w:rPr>
        <w:t>Establish Business &amp; Regulatory Justification</w:t>
      </w:r>
      <w:r>
        <w:rPr>
          <w:rFonts w:ascii="Times New Roman" w:hAnsi="Times New Roman"/>
          <w:sz w:val="24"/>
        </w:rPr>
        <w:t>: Avoid adopting multi-cloud solely due to vendor trends. Conduct data classification under NDPA 2023 to determine which workloads require multi-cloud resilience versus single-cloud hosting.</w:t>
      </w:r>
    </w:p>
    <w:p>
      <w:pPr>
        <w:pStyle w:val="ListNumber"/>
        <w:spacing w:after="80"/>
        <w:ind w:left="360"/>
      </w:pPr>
      <w:r>
        <w:rPr>
          <w:rFonts w:ascii="Times New Roman" w:hAnsi="Times New Roman"/>
          <w:b/>
          <w:sz w:val="24"/>
        </w:rPr>
        <w:t>Establish Governed Landing Zones</w:t>
      </w:r>
      <w:r>
        <w:rPr>
          <w:rFonts w:ascii="Times New Roman" w:hAnsi="Times New Roman"/>
          <w:sz w:val="24"/>
        </w:rPr>
        <w:t>: Provision standardized accounts/subscriptions, central logging, and mandatory tagging before launching workloads.</w:t>
      </w:r>
    </w:p>
    <w:p>
      <w:pPr>
        <w:pStyle w:val="ListNumber"/>
        <w:spacing w:after="80"/>
        <w:ind w:left="360"/>
      </w:pPr>
      <w:r>
        <w:rPr>
          <w:rFonts w:ascii="Times New Roman" w:hAnsi="Times New Roman"/>
          <w:b/>
          <w:sz w:val="24"/>
        </w:rPr>
        <w:t>Mandate Federated Identity as Default</w:t>
      </w:r>
      <w:r>
        <w:rPr>
          <w:rFonts w:ascii="Times New Roman" w:hAnsi="Times New Roman"/>
          <w:sz w:val="24"/>
        </w:rPr>
        <w:t>: Use Microsoft Entra ID as the central IdP, federating access to AWS via SAML 2.0 and automating lifecycle provisioning via SCIM. Eliminate static IAM credentials.</w:t>
      </w:r>
    </w:p>
    <w:p>
      <w:pPr>
        <w:pStyle w:val="ListNumber"/>
        <w:spacing w:after="80"/>
        <w:ind w:left="360"/>
      </w:pPr>
      <w:r>
        <w:rPr>
          <w:rFonts w:ascii="Times New Roman" w:hAnsi="Times New Roman"/>
          <w:b/>
          <w:sz w:val="24"/>
        </w:rPr>
        <w:t>Treat the Inter-Cloud VPN as an Untrusted Transport</w:t>
      </w:r>
      <w:r>
        <w:rPr>
          <w:rFonts w:ascii="Times New Roman" w:hAnsi="Times New Roman"/>
          <w:sz w:val="24"/>
        </w:rPr>
        <w:t>: Do not grant blanket network trust across tunnels. Enforce strict micro-segmentation using Security Groups, NSGs, and host firewalls.</w:t>
      </w:r>
    </w:p>
    <w:p>
      <w:pPr>
        <w:pStyle w:val="ListNumber"/>
        <w:spacing w:after="80"/>
        <w:ind w:left="360"/>
      </w:pPr>
      <w:r>
        <w:rPr>
          <w:rFonts w:ascii="Times New Roman" w:hAnsi="Times New Roman"/>
          <w:b/>
          <w:sz w:val="24"/>
        </w:rPr>
        <w:t>Automate Delivery via IaC with Security Gates</w:t>
      </w:r>
      <w:r>
        <w:rPr>
          <w:rFonts w:ascii="Times New Roman" w:hAnsi="Times New Roman"/>
          <w:sz w:val="24"/>
        </w:rPr>
        <w:t>: Deploy infrastructure exclusively using version-controlled Terraform scripts integrated with static security scanners (e.g., Checkov, Prowler).</w:t>
      </w:r>
    </w:p>
    <w:p>
      <w:pPr>
        <w:pStyle w:val="ListNumber"/>
        <w:spacing w:after="80"/>
        <w:ind w:left="360"/>
      </w:pPr>
      <w:r>
        <w:rPr>
          <w:rFonts w:ascii="Times New Roman" w:hAnsi="Times New Roman"/>
          <w:b/>
          <w:sz w:val="24"/>
        </w:rPr>
        <w:t>Test Failover as an Operational Process</w:t>
      </w:r>
      <w:r>
        <w:rPr>
          <w:rFonts w:ascii="Times New Roman" w:hAnsi="Times New Roman"/>
          <w:sz w:val="24"/>
        </w:rPr>
        <w:t>: Periodically execute simulated tunnel and BGP failure tests to verify that Recovery Time Objectives meet business continuity baselines.</w:t>
      </w:r>
    </w:p>
    <w:p>
      <w:pPr>
        <w:pStyle w:val="ListNumber"/>
        <w:spacing w:after="80"/>
        <w:ind w:left="360"/>
      </w:pPr>
      <w:r>
        <w:rPr>
          <w:rFonts w:ascii="Times New Roman" w:hAnsi="Times New Roman"/>
          <w:b/>
          <w:sz w:val="24"/>
        </w:rPr>
        <w:t>Maintain Rigorous Cost &amp; FinOps Governance</w:t>
      </w:r>
      <w:r>
        <w:rPr>
          <w:rFonts w:ascii="Times New Roman" w:hAnsi="Times New Roman"/>
          <w:sz w:val="24"/>
        </w:rPr>
        <w:t>: Set billing alerts and monitor cross-cloud egress charges to prevent cost overruns.</w:t>
      </w:r>
    </w:p>
    <w:p>
      <w:pPr>
        <w:spacing w:before="120" w:after="120"/>
      </w:pPr>
      <w:r>
        <w:rPr>
          <w:color w:val="CCCCCC"/>
        </w:rPr>
        <w:t>――――――――――――――――――――――――――――――――――――――――――――――――――</w:t>
      </w:r>
    </w:p>
    <w:p>
      <w:pPr>
        <w:keepNext/>
        <w:spacing w:before="280" w:after="160"/>
      </w:pPr>
      <w:r>
        <w:rPr>
          <w:rFonts w:ascii="Times New Roman" w:hAnsi="Times New Roman"/>
          <w:b/>
          <w:color w:val="1F497D"/>
          <w:sz w:val="30"/>
        </w:rPr>
        <w:t>6.4 Recommendations for Future Enhancements</w:t>
      </w:r>
    </w:p>
    <w:p>
      <w:pPr>
        <w:pStyle w:val="ListNumber"/>
        <w:spacing w:after="80"/>
        <w:ind w:left="360"/>
      </w:pPr>
      <w:r>
        <w:rPr>
          <w:rFonts w:ascii="Times New Roman" w:hAnsi="Times New Roman"/>
          <w:b/>
          <w:sz w:val="24"/>
        </w:rPr>
        <w:t>Containerisation and Service Mesh Integration</w:t>
      </w:r>
      <w:r>
        <w:rPr>
          <w:rFonts w:ascii="Times New Roman" w:hAnsi="Times New Roman"/>
          <w:sz w:val="24"/>
        </w:rPr>
        <w:t>: Migrate the virtual machine workload to Amazon EKS and Azure Kubernetes Service (AKS), deploying a cross-cluster service mesh (e.g., Istio) to enforce mutual TLS (mTLS) and workload identity in accordance with NIST SP 800-207A.</w:t>
      </w:r>
    </w:p>
    <w:p>
      <w:pPr>
        <w:pStyle w:val="ListNumber"/>
        <w:spacing w:after="80"/>
        <w:ind w:left="360"/>
      </w:pPr>
      <w:r>
        <w:rPr>
          <w:rFonts w:ascii="Times New Roman" w:hAnsi="Times New Roman"/>
          <w:b/>
          <w:sz w:val="24"/>
        </w:rPr>
        <w:t>Cross-Cloud Workload Identity Federation</w:t>
      </w:r>
      <w:r>
        <w:rPr>
          <w:rFonts w:ascii="Times New Roman" w:hAnsi="Times New Roman"/>
          <w:sz w:val="24"/>
        </w:rPr>
        <w:t>: Eliminate static application secrets by implementing OIDC-based workload identity federation for machine-to-machine authentication between AWS and Azure.</w:t>
      </w:r>
    </w:p>
    <w:p>
      <w:pPr>
        <w:pStyle w:val="ListNumber"/>
        <w:spacing w:after="80"/>
        <w:ind w:left="360"/>
      </w:pPr>
      <w:r>
        <w:rPr>
          <w:rFonts w:ascii="Times New Roman" w:hAnsi="Times New Roman"/>
          <w:b/>
          <w:sz w:val="24"/>
        </w:rPr>
        <w:t>SIEM / SOAR Pipeline Integration</w:t>
      </w:r>
      <w:r>
        <w:rPr>
          <w:rFonts w:ascii="Times New Roman" w:hAnsi="Times New Roman"/>
          <w:sz w:val="24"/>
        </w:rPr>
        <w:t>: Ingest cross-cloud telemetry into a unified Security Information and Event Management platform (e.g., Microsoft Sentinel) with automated SOAR playbooks for immediate threat response.</w:t>
      </w:r>
    </w:p>
    <w:p>
      <w:pPr>
        <w:pStyle w:val="ListNumber"/>
        <w:spacing w:after="80"/>
        <w:ind w:left="360"/>
      </w:pPr>
      <w:r>
        <w:rPr>
          <w:rFonts w:ascii="Times New Roman" w:hAnsi="Times New Roman"/>
          <w:b/>
          <w:sz w:val="24"/>
        </w:rPr>
        <w:t>Policy-as-Code CI/CD Gates</w:t>
      </w:r>
      <w:r>
        <w:rPr>
          <w:rFonts w:ascii="Times New Roman" w:hAnsi="Times New Roman"/>
          <w:sz w:val="24"/>
        </w:rPr>
        <w:t>: Incorporate Open Policy Agent (OPA) or HashiCorp Sentinel into deployment pipelines to block non-compliant Terraform changes automatically prior to provisioning.</w:t>
      </w:r>
    </w:p>
    <w:p>
      <w:pPr>
        <w:spacing w:before="120" w:after="120"/>
      </w:pPr>
      <w:r>
        <w:rPr>
          <w:color w:val="CCCCCC"/>
        </w:rPr>
        <w:t>――――――――――――――――――――――――――――――――――――――――――――――――――</w:t>
      </w:r>
    </w:p>
    <w:p>
      <w:pPr>
        <w:keepNext/>
        <w:spacing w:before="280" w:after="160"/>
      </w:pPr>
      <w:r>
        <w:rPr>
          <w:rFonts w:ascii="Times New Roman" w:hAnsi="Times New Roman"/>
          <w:b/>
          <w:color w:val="1F497D"/>
          <w:sz w:val="30"/>
        </w:rPr>
        <w:t>6.5 Final Conclusion</w:t>
      </w:r>
    </w:p>
    <w:p>
      <w:pPr>
        <w:spacing w:after="120" w:line="300" w:lineRule="auto"/>
      </w:pPr>
      <w:r>
        <w:rPr>
          <w:rFonts w:ascii="Times New Roman" w:hAnsi="Times New Roman"/>
          <w:sz w:val="24"/>
        </w:rPr>
        <w:t>This project demonstrates that a secure multi-cloud architecture is not achieved simply by deploying resources across two cloud providers. True multi-cloud security requires deliberate architectural design, explicit trust boundaries, federated identity governance, automated infrastructure control, and continuous empirical validation.</w:t>
      </w:r>
    </w:p>
    <w:p>
      <w:pPr>
        <w:spacing w:after="120" w:line="300" w:lineRule="auto"/>
      </w:pPr>
      <w:r>
        <w:rPr>
          <w:rFonts w:ascii="Times New Roman" w:hAnsi="Times New Roman"/>
          <w:sz w:val="24"/>
        </w:rPr>
        <w:t>By combining native AWS and Azure constructs into a Zero Trust hub-and-spoke architecture, codifying the system in Terraform, and evaluating its performance and resilience, this project provides a concrete, publication-grade reference artefact for enterprise cybersecurity and cloud architecture practice.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