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uc-nstedu01-credit-transfer"/>
    <w:p>
      <w:pPr>
        <w:pStyle w:val="Heading1"/>
      </w:pPr>
      <w:r>
        <w:t xml:space="preserve">UC-NSTEDU01 — Credit Transfer</w:t>
      </w:r>
    </w:p>
    <w:bookmarkStart w:id="9" w:name="summary"/>
    <w:p>
      <w:pPr>
        <w:pStyle w:val="Heading2"/>
      </w:pPr>
      <w:r>
        <w:t xml:space="preserve">1. Summary</w:t>
      </w:r>
    </w:p>
    <w:p>
      <w:pPr>
        <w:pStyle w:val="FirstParagraph"/>
      </w:pPr>
      <w:r>
        <w:t xml:space="preserve">A prospective student who holds an existing qualification wants to start a new qualification with some credits transfered. The use case requires consistent mapping of skills and learning outcomes across frameworks to support reuseable credit transfer decisitions.</w:t>
      </w:r>
    </w:p>
    <w:bookmarkEnd w:id="9"/>
    <w:bookmarkStart w:id="10" w:name="business-context"/>
    <w:p>
      <w:pPr>
        <w:pStyle w:val="Heading2"/>
      </w:pPr>
      <w:r>
        <w:t xml:space="preserve">2. Business Context</w:t>
      </w:r>
    </w:p>
    <w:p>
      <w:pPr>
        <w:pStyle w:val="Compact"/>
        <w:numPr>
          <w:ilvl w:val="0"/>
          <w:numId w:val="1001"/>
        </w:numPr>
      </w:pPr>
      <w:r>
        <w:t xml:space="preserve">Domain / policy area: Education (Tertiary Harmonisation)</w:t>
      </w:r>
    </w:p>
    <w:p>
      <w:pPr>
        <w:pStyle w:val="Compact"/>
        <w:numPr>
          <w:ilvl w:val="0"/>
          <w:numId w:val="1001"/>
        </w:numPr>
      </w:pPr>
      <w:r>
        <w:t xml:space="preserve">Institutions: VET providers; Higher Education (HE) institutions; regulators</w:t>
      </w:r>
    </w:p>
    <w:p>
      <w:pPr>
        <w:pStyle w:val="Compact"/>
        <w:numPr>
          <w:ilvl w:val="0"/>
          <w:numId w:val="1001"/>
        </w:numPr>
      </w:pPr>
      <w:r>
        <w:t xml:space="preserve">Why now: persistent inconsistency and manual effort in cross-sector credit decisions</w:t>
      </w:r>
    </w:p>
    <w:bookmarkEnd w:id="10"/>
    <w:bookmarkStart w:id="13" w:name="actors-and-stakeholders"/>
    <w:p>
      <w:pPr>
        <w:pStyle w:val="Heading2"/>
      </w:pPr>
      <w:r>
        <w:t xml:space="preserve">3. Actors and Stakeholders</w:t>
      </w:r>
    </w:p>
    <w:bookmarkStart w:id="11" w:name="actors"/>
    <w:p>
      <w:pPr>
        <w:pStyle w:val="Heading3"/>
      </w:pPr>
      <w:r>
        <w:t xml:space="preserve">Actors</w:t>
      </w:r>
    </w:p>
    <w:p>
      <w:pPr>
        <w:pStyle w:val="Compact"/>
        <w:numPr>
          <w:ilvl w:val="0"/>
          <w:numId w:val="1002"/>
        </w:numPr>
      </w:pPr>
      <w:r>
        <w:t xml:space="preserve">Prospective student</w:t>
      </w:r>
    </w:p>
    <w:p>
      <w:pPr>
        <w:pStyle w:val="Compact"/>
        <w:numPr>
          <w:ilvl w:val="0"/>
          <w:numId w:val="1002"/>
        </w:numPr>
      </w:pPr>
      <w:r>
        <w:t xml:space="preserve">Prospective VET or HE institutions (assessor / admissions)</w:t>
      </w:r>
    </w:p>
    <w:bookmarkEnd w:id="11"/>
    <w:bookmarkStart w:id="12" w:name="stakeholders"/>
    <w:p>
      <w:pPr>
        <w:pStyle w:val="Heading3"/>
      </w:pPr>
      <w:r>
        <w:t xml:space="preserve">Stakeholders</w:t>
      </w:r>
    </w:p>
    <w:p>
      <w:pPr>
        <w:pStyle w:val="Compact"/>
        <w:numPr>
          <w:ilvl w:val="0"/>
          <w:numId w:val="1003"/>
        </w:numPr>
      </w:pPr>
      <w:r>
        <w:t xml:space="preserve">Student</w:t>
      </w:r>
    </w:p>
    <w:p>
      <w:pPr>
        <w:pStyle w:val="Compact"/>
        <w:numPr>
          <w:ilvl w:val="0"/>
          <w:numId w:val="1003"/>
        </w:numPr>
      </w:pPr>
      <w:r>
        <w:t xml:space="preserve">Institution administration</w:t>
      </w:r>
    </w:p>
    <w:p>
      <w:pPr>
        <w:pStyle w:val="Compact"/>
        <w:numPr>
          <w:ilvl w:val="0"/>
          <w:numId w:val="1003"/>
        </w:numPr>
      </w:pPr>
      <w:r>
        <w:t xml:space="preserve">Institution subject matter experts</w:t>
      </w:r>
    </w:p>
    <w:p>
      <w:pPr>
        <w:pStyle w:val="Compact"/>
        <w:numPr>
          <w:ilvl w:val="0"/>
          <w:numId w:val="1003"/>
        </w:numPr>
      </w:pPr>
      <w:r>
        <w:t xml:space="preserve">Regulators</w:t>
      </w:r>
    </w:p>
    <w:p>
      <w:pPr>
        <w:pStyle w:val="Compact"/>
        <w:numPr>
          <w:ilvl w:val="0"/>
          <w:numId w:val="1003"/>
        </w:numPr>
      </w:pPr>
      <w:r>
        <w:t xml:space="preserve">Previous institution</w:t>
      </w:r>
    </w:p>
    <w:bookmarkEnd w:id="12"/>
    <w:bookmarkEnd w:id="13"/>
    <w:bookmarkStart w:id="14" w:name="trigger"/>
    <w:p>
      <w:pPr>
        <w:pStyle w:val="Heading2"/>
      </w:pPr>
      <w:r>
        <w:t xml:space="preserve">4. Trigger</w:t>
      </w:r>
    </w:p>
    <w:p>
      <w:pPr>
        <w:pStyle w:val="FirstParagraph"/>
      </w:pPr>
      <w:r>
        <w:t xml:space="preserve">Student seeks credit for education already completed.</w:t>
      </w:r>
    </w:p>
    <w:bookmarkEnd w:id="14"/>
    <w:bookmarkStart w:id="15" w:name="preconditions"/>
    <w:p>
      <w:pPr>
        <w:pStyle w:val="Heading2"/>
      </w:pPr>
      <w:r>
        <w:t xml:space="preserve">5. Preconditions</w:t>
      </w:r>
    </w:p>
    <w:p>
      <w:pPr>
        <w:pStyle w:val="Compact"/>
        <w:numPr>
          <w:ilvl w:val="0"/>
          <w:numId w:val="1004"/>
        </w:numPr>
      </w:pPr>
      <w:r>
        <w:t xml:space="preserve">Skills held by student can be mapped to learning outcomes</w:t>
      </w:r>
    </w:p>
    <w:p>
      <w:pPr>
        <w:pStyle w:val="Compact"/>
        <w:numPr>
          <w:ilvl w:val="0"/>
          <w:numId w:val="1004"/>
        </w:numPr>
      </w:pPr>
      <w:r>
        <w:t xml:space="preserve">Previous education is accredited</w:t>
      </w:r>
    </w:p>
    <w:p>
      <w:pPr>
        <w:pStyle w:val="Compact"/>
        <w:numPr>
          <w:ilvl w:val="0"/>
          <w:numId w:val="1004"/>
        </w:numPr>
      </w:pPr>
      <w:r>
        <w:t xml:space="preserve">Previous education has been skills mapped</w:t>
      </w:r>
    </w:p>
    <w:p>
      <w:pPr>
        <w:pStyle w:val="Compact"/>
        <w:numPr>
          <w:ilvl w:val="0"/>
          <w:numId w:val="1004"/>
        </w:numPr>
      </w:pPr>
      <w:r>
        <w:t xml:space="preserve">Credit is granted in line with existing policy arrangements</w:t>
      </w:r>
    </w:p>
    <w:bookmarkEnd w:id="15"/>
    <w:bookmarkStart w:id="16" w:name="baseline-process"/>
    <w:p>
      <w:pPr>
        <w:pStyle w:val="Heading2"/>
      </w:pPr>
      <w:r>
        <w:t xml:space="preserve">6. Baseline Process</w:t>
      </w:r>
    </w:p>
    <w:p>
      <w:pPr>
        <w:pStyle w:val="Compact"/>
        <w:numPr>
          <w:ilvl w:val="0"/>
          <w:numId w:val="1005"/>
        </w:numPr>
      </w:pPr>
      <w:r>
        <w:t xml:space="preserve">Student submits transcripts/records</w:t>
      </w:r>
    </w:p>
    <w:p>
      <w:pPr>
        <w:pStyle w:val="Compact"/>
        <w:numPr>
          <w:ilvl w:val="0"/>
          <w:numId w:val="1005"/>
        </w:numPr>
      </w:pPr>
      <w:r>
        <w:t xml:space="preserve">Institution interprets equivalence manually</w:t>
      </w:r>
    </w:p>
    <w:p>
      <w:pPr>
        <w:pStyle w:val="Compact"/>
        <w:numPr>
          <w:ilvl w:val="0"/>
          <w:numId w:val="1005"/>
        </w:numPr>
      </w:pPr>
      <w:r>
        <w:t xml:space="preserve">Decision varies by assessor/institution; evidence trail is inconsistent</w:t>
      </w:r>
    </w:p>
    <w:bookmarkEnd w:id="16"/>
    <w:bookmarkStart w:id="17" w:name="basic-flow-target"/>
    <w:p>
      <w:pPr>
        <w:pStyle w:val="Heading2"/>
      </w:pPr>
      <w:r>
        <w:t xml:space="preserve">7. Basic Flow (Target)</w:t>
      </w:r>
    </w:p>
    <w:p>
      <w:pPr>
        <w:pStyle w:val="Compact"/>
        <w:numPr>
          <w:ilvl w:val="0"/>
          <w:numId w:val="1006"/>
        </w:numPr>
      </w:pPr>
      <w:r>
        <w:t xml:space="preserve">Identify the completed qualification and its learning outcomes</w:t>
      </w:r>
    </w:p>
    <w:p>
      <w:pPr>
        <w:pStyle w:val="Compact"/>
        <w:numPr>
          <w:ilvl w:val="0"/>
          <w:numId w:val="1006"/>
        </w:numPr>
      </w:pPr>
      <w:r>
        <w:t xml:space="preserve">Map learning outcomes to skill entities</w:t>
      </w:r>
    </w:p>
    <w:p>
      <w:pPr>
        <w:pStyle w:val="Compact"/>
        <w:numPr>
          <w:ilvl w:val="0"/>
          <w:numId w:val="1006"/>
        </w:numPr>
      </w:pPr>
      <w:r>
        <w:t xml:space="preserve">Compare mapped skills against the target qualification requirements</w:t>
      </w:r>
    </w:p>
    <w:p>
      <w:pPr>
        <w:pStyle w:val="Compact"/>
        <w:numPr>
          <w:ilvl w:val="0"/>
          <w:numId w:val="1006"/>
        </w:numPr>
      </w:pPr>
      <w:r>
        <w:t xml:space="preserve">Produce a credit recommendation with traceable evidence references</w:t>
      </w:r>
    </w:p>
    <w:bookmarkEnd w:id="17"/>
    <w:bookmarkStart w:id="18" w:name="alternate-flows"/>
    <w:p>
      <w:pPr>
        <w:pStyle w:val="Heading2"/>
      </w:pPr>
      <w:r>
        <w:t xml:space="preserve">8. Alternate Flows</w:t>
      </w:r>
    </w:p>
    <w:p>
      <w:pPr>
        <w:pStyle w:val="Compact"/>
        <w:numPr>
          <w:ilvl w:val="0"/>
          <w:numId w:val="1007"/>
        </w:numPr>
      </w:pPr>
      <w:r>
        <w:t xml:space="preserve">Alt 1: student does not wish to complete current qualification (partial completion evidence)</w:t>
      </w:r>
    </w:p>
    <w:p>
      <w:pPr>
        <w:pStyle w:val="Compact"/>
        <w:numPr>
          <w:ilvl w:val="0"/>
          <w:numId w:val="1007"/>
        </w:numPr>
      </w:pPr>
      <w:r>
        <w:t xml:space="preserve">Alt 2: qualification superceded/disbanded (legacy evidence sources)</w:t>
      </w:r>
    </w:p>
    <w:bookmarkEnd w:id="18"/>
    <w:bookmarkStart w:id="19" w:name="pain-points"/>
    <w:p>
      <w:pPr>
        <w:pStyle w:val="Heading2"/>
      </w:pPr>
      <w:r>
        <w:t xml:space="preserve">9. Pain Points</w:t>
      </w:r>
    </w:p>
    <w:p>
      <w:pPr>
        <w:pStyle w:val="Compact"/>
        <w:numPr>
          <w:ilvl w:val="0"/>
          <w:numId w:val="1008"/>
        </w:numPr>
      </w:pPr>
      <w:r>
        <w:t xml:space="preserve">Semantic mismatch between frameworks</w:t>
      </w:r>
    </w:p>
    <w:p>
      <w:pPr>
        <w:pStyle w:val="Compact"/>
        <w:numPr>
          <w:ilvl w:val="0"/>
          <w:numId w:val="1008"/>
        </w:numPr>
      </w:pPr>
      <w:r>
        <w:t xml:space="preserve">Manual interpretation and rework</w:t>
      </w:r>
    </w:p>
    <w:p>
      <w:pPr>
        <w:pStyle w:val="Compact"/>
        <w:numPr>
          <w:ilvl w:val="0"/>
          <w:numId w:val="1008"/>
        </w:numPr>
      </w:pPr>
      <w:r>
        <w:t xml:space="preserve">Inconsistent decision outcomes</w:t>
      </w:r>
    </w:p>
    <w:p>
      <w:pPr>
        <w:pStyle w:val="Compact"/>
        <w:numPr>
          <w:ilvl w:val="0"/>
          <w:numId w:val="1008"/>
        </w:numPr>
      </w:pPr>
      <w:r>
        <w:t xml:space="preserve">Weak traceability to evidence</w:t>
      </w:r>
    </w:p>
    <w:bookmarkEnd w:id="19"/>
    <w:bookmarkStart w:id="20" w:name="desired-capability"/>
    <w:p>
      <w:pPr>
        <w:pStyle w:val="Heading2"/>
      </w:pPr>
      <w:r>
        <w:t xml:space="preserve">10. Desired Capability</w:t>
      </w:r>
    </w:p>
    <w:p>
      <w:pPr>
        <w:pStyle w:val="FirstParagraph"/>
      </w:pPr>
      <w:r>
        <w:t xml:space="preserve">Enable evidence-based, repeatable credit transfer decisions using comparable skill concepts across education frameworks.</w:t>
      </w:r>
    </w:p>
    <w:bookmarkEnd w:id="20"/>
    <w:bookmarkStart w:id="21" w:name="information-requirements"/>
    <w:p>
      <w:pPr>
        <w:pStyle w:val="Heading2"/>
      </w:pPr>
      <w:r>
        <w:t xml:space="preserve">11. Information Requirements</w:t>
      </w:r>
    </w:p>
    <w:p>
      <w:pPr>
        <w:pStyle w:val="Compact"/>
        <w:numPr>
          <w:ilvl w:val="0"/>
          <w:numId w:val="1009"/>
        </w:numPr>
      </w:pPr>
      <w:r>
        <w:t xml:space="preserve">Identifiers for qualifications/units/courses</w:t>
      </w:r>
    </w:p>
    <w:p>
      <w:pPr>
        <w:pStyle w:val="Compact"/>
        <w:numPr>
          <w:ilvl w:val="0"/>
          <w:numId w:val="1009"/>
        </w:numPr>
      </w:pPr>
      <w:r>
        <w:t xml:space="preserve">Qualification types / levels</w:t>
      </w:r>
    </w:p>
    <w:p>
      <w:pPr>
        <w:pStyle w:val="Compact"/>
        <w:numPr>
          <w:ilvl w:val="0"/>
          <w:numId w:val="1009"/>
        </w:numPr>
      </w:pPr>
      <w:r>
        <w:t xml:space="preserve">Learning outcomes statements / descriptions</w:t>
      </w:r>
    </w:p>
    <w:p>
      <w:pPr>
        <w:pStyle w:val="Compact"/>
        <w:numPr>
          <w:ilvl w:val="0"/>
          <w:numId w:val="1009"/>
        </w:numPr>
      </w:pPr>
      <w:r>
        <w:t xml:space="preserve">Mappings from learning outcomes to skills</w:t>
      </w:r>
    </w:p>
    <w:p>
      <w:pPr>
        <w:pStyle w:val="Compact"/>
        <w:numPr>
          <w:ilvl w:val="0"/>
          <w:numId w:val="1009"/>
        </w:numPr>
      </w:pPr>
      <w:r>
        <w:t xml:space="preserve">Accreditation rules (prerequistites, qualification or work experience)</w:t>
      </w:r>
    </w:p>
    <w:bookmarkEnd w:id="21"/>
    <w:bookmarkStart w:id="22" w:name="semantic-model-requirements"/>
    <w:p>
      <w:pPr>
        <w:pStyle w:val="Heading2"/>
      </w:pPr>
      <w:r>
        <w:t xml:space="preserve">12. Semantic / Model Requirements</w:t>
      </w:r>
    </w:p>
    <w:p>
      <w:pPr>
        <w:pStyle w:val="Compact"/>
        <w:numPr>
          <w:ilvl w:val="0"/>
          <w:numId w:val="1010"/>
        </w:numPr>
      </w:pPr>
      <w:r>
        <w:t xml:space="preserve">Skills are first-class entities with stable IDs</w:t>
      </w:r>
    </w:p>
    <w:p>
      <w:pPr>
        <w:pStyle w:val="Compact"/>
        <w:numPr>
          <w:ilvl w:val="0"/>
          <w:numId w:val="1010"/>
        </w:numPr>
      </w:pPr>
      <w:r>
        <w:t xml:space="preserve">Education outcomes can be aligned to skills (mapping model + evidence)</w:t>
      </w:r>
    </w:p>
    <w:p>
      <w:pPr>
        <w:pStyle w:val="Compact"/>
        <w:numPr>
          <w:ilvl w:val="0"/>
          <w:numId w:val="1010"/>
        </w:numPr>
      </w:pPr>
      <w:r>
        <w:t xml:space="preserve">Ability to represent “covers / partially covers” relationships</w:t>
      </w:r>
    </w:p>
    <w:p>
      <w:pPr>
        <w:pStyle w:val="Compact"/>
        <w:numPr>
          <w:ilvl w:val="0"/>
          <w:numId w:val="1010"/>
        </w:numPr>
      </w:pPr>
      <w:r>
        <w:t xml:space="preserve">Evidence links to source documents (unit / course descriptions)</w:t>
      </w:r>
    </w:p>
    <w:bookmarkEnd w:id="22"/>
    <w:bookmarkStart w:id="23" w:name="enabling-assets"/>
    <w:p>
      <w:pPr>
        <w:pStyle w:val="Heading2"/>
      </w:pPr>
      <w:r>
        <w:t xml:space="preserve">13. Enabling Assets</w:t>
      </w:r>
    </w:p>
    <w:p>
      <w:pPr>
        <w:pStyle w:val="Compact"/>
        <w:numPr>
          <w:ilvl w:val="0"/>
          <w:numId w:val="1011"/>
        </w:numPr>
      </w:pPr>
      <w:r>
        <w:t xml:space="preserve">NST skills taxonomy and supporting schemes</w:t>
      </w:r>
    </w:p>
    <w:p>
      <w:pPr>
        <w:pStyle w:val="Compact"/>
        <w:numPr>
          <w:ilvl w:val="0"/>
          <w:numId w:val="1011"/>
        </w:numPr>
      </w:pPr>
      <w:r>
        <w:t xml:space="preserve">Education-aligned schemes (e.g., curriculum domains or similar bridging concepts)</w:t>
      </w:r>
    </w:p>
    <w:p>
      <w:pPr>
        <w:pStyle w:val="Compact"/>
        <w:numPr>
          <w:ilvl w:val="0"/>
          <w:numId w:val="1011"/>
        </w:numPr>
      </w:pPr>
      <w:r>
        <w:t xml:space="preserve">Citations to authoritative sources</w:t>
      </w:r>
    </w:p>
    <w:p>
      <w:pPr>
        <w:pStyle w:val="Compact"/>
        <w:numPr>
          <w:ilvl w:val="0"/>
          <w:numId w:val="1011"/>
        </w:numPr>
      </w:pPr>
      <w:r>
        <w:t xml:space="preserve">Profile to ensure mappings are structurally consistent</w:t>
      </w:r>
    </w:p>
    <w:bookmarkEnd w:id="23"/>
    <w:bookmarkStart w:id="24" w:name="success-criteria"/>
    <w:p>
      <w:pPr>
        <w:pStyle w:val="Heading2"/>
      </w:pPr>
      <w:r>
        <w:t xml:space="preserve">14. Success Criteria</w:t>
      </w:r>
    </w:p>
    <w:p>
      <w:pPr>
        <w:pStyle w:val="Compact"/>
        <w:numPr>
          <w:ilvl w:val="0"/>
          <w:numId w:val="1012"/>
        </w:numPr>
      </w:pPr>
      <w:r>
        <w:t xml:space="preserve">Reduced assessment time</w:t>
      </w:r>
    </w:p>
    <w:p>
      <w:pPr>
        <w:pStyle w:val="Compact"/>
        <w:numPr>
          <w:ilvl w:val="0"/>
          <w:numId w:val="1012"/>
        </w:numPr>
      </w:pPr>
      <w:r>
        <w:t xml:space="preserve">Increased cross-institution consistency</w:t>
      </w:r>
    </w:p>
    <w:p>
      <w:pPr>
        <w:pStyle w:val="Compact"/>
        <w:numPr>
          <w:ilvl w:val="0"/>
          <w:numId w:val="1012"/>
        </w:numPr>
      </w:pPr>
      <w:r>
        <w:t xml:space="preserve">Transparent evidence trail supporting credit decisions</w:t>
      </w:r>
    </w:p>
    <w:p>
      <w:pPr>
        <w:pStyle w:val="Compact"/>
        <w:numPr>
          <w:ilvl w:val="0"/>
          <w:numId w:val="1012"/>
        </w:numPr>
      </w:pPr>
      <w:r>
        <w:t xml:space="preserve">Focus or</w:t>
      </w:r>
      <w:r>
        <w:t xml:space="preserve"> </w:t>
      </w:r>
      <w:r>
        <w:t xml:space="preserve">‘skills gap’</w:t>
      </w:r>
      <w:r>
        <w:t xml:space="preserve"> </w:t>
      </w:r>
      <w:r>
        <w:t xml:space="preserve">industries are addressed</w:t>
      </w:r>
    </w:p>
    <w:bookmarkEnd w:id="24"/>
    <w:bookmarkStart w:id="25" w:name="out-of-scope"/>
    <w:p>
      <w:pPr>
        <w:pStyle w:val="Heading2"/>
      </w:pPr>
      <w:r>
        <w:t xml:space="preserve">15. Out of Scope</w:t>
      </w:r>
    </w:p>
    <w:p>
      <w:pPr>
        <w:pStyle w:val="Compact"/>
        <w:numPr>
          <w:ilvl w:val="0"/>
          <w:numId w:val="1013"/>
        </w:numPr>
      </w:pPr>
      <w:r>
        <w:t xml:space="preserve">Institution-specific policy rule engines</w:t>
      </w:r>
    </w:p>
    <w:p>
      <w:pPr>
        <w:pStyle w:val="Compact"/>
        <w:numPr>
          <w:ilvl w:val="0"/>
          <w:numId w:val="1013"/>
        </w:numPr>
      </w:pPr>
      <w:r>
        <w:t xml:space="preserve">Qualification equivalence checks</w:t>
      </w:r>
    </w:p>
    <w:bookmarkEnd w:id="25"/>
    <w:bookmarkStart w:id="26" w:name="traceability"/>
    <w:p>
      <w:pPr>
        <w:pStyle w:val="Heading2"/>
      </w:pPr>
      <w:r>
        <w:t xml:space="preserve">16. Traceability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Proposed representation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Comparable skills across frameworks</w:t>
            </w:r>
          </w:p>
        </w:tc>
        <w:tc>
          <w:tcPr/>
          <w:p>
            <w:pPr>
              <w:pStyle w:val="Compact"/>
            </w:pPr>
            <w:r>
              <w:t xml:space="preserve">NST skills as SKOS concepts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trail</w:t>
            </w:r>
          </w:p>
        </w:tc>
        <w:tc>
          <w:tcPr/>
          <w:p>
            <w:pPr>
              <w:pStyle w:val="Compact"/>
            </w:pPr>
            <w:r>
              <w:t xml:space="preserve">schema:citation / dcterms:source links to authoritative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Consistent mapping structure</w:t>
            </w:r>
          </w:p>
        </w:tc>
        <w:tc>
          <w:tcPr/>
          <w:p>
            <w:pPr>
              <w:pStyle w:val="Compact"/>
            </w:pPr>
            <w:r>
              <w:t xml:space="preserve">Validation against NST Profile</w:t>
            </w:r>
          </w:p>
        </w:tc>
      </w:tr>
    </w:tbl>
    <w:bookmarkEnd w:id="26"/>
    <w:bookmarkStart w:id="27" w:name="status"/>
    <w:p>
      <w:pPr>
        <w:pStyle w:val="Heading2"/>
      </w:pPr>
      <w:r>
        <w:t xml:space="preserve">17. Status</w:t>
      </w:r>
    </w:p>
    <w:p>
      <w:pPr>
        <w:pStyle w:val="FirstParagraph"/>
      </w:pPr>
      <w:r>
        <w:t xml:space="preserve">Draft</w:t>
      </w:r>
    </w:p>
    <w:bookmarkEnd w:id="27"/>
    <w:bookmarkStart w:id="28" w:name="links"/>
    <w:p>
      <w:pPr>
        <w:pStyle w:val="Heading2"/>
      </w:pPr>
      <w:r>
        <w:t xml:space="preserve">18. Links</w:t>
      </w:r>
    </w:p>
    <w:p>
      <w:pPr>
        <w:pStyle w:val="Compact"/>
        <w:numPr>
          <w:ilvl w:val="0"/>
          <w:numId w:val="1014"/>
        </w:numPr>
      </w:pPr>
      <w:r>
        <w:t xml:space="preserve">Related: UC-NSTEDU02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2026-02-18T11:14:27Z</dcterms:created>
  <dcterms:modified xsi:type="dcterms:W3CDTF">2026-02-18T11:14:27Z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