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f4a60ef4baa1530c756fbda8e3ec7a14218d1c"/>
    <w:p>
      <w:pPr>
        <w:pStyle w:val="Heading1"/>
      </w:pPr>
      <w:r>
        <w:t xml:space="preserve">UC-NSTEDU02 — Recognition of Prior Learning</w: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A prospective student seeks entry into a new qualification and credit based on existing skills obtained through work experience or non-accredited education. The use case requires validation evidence and mappings from occupational skills to learning outcomes.</w:t>
      </w:r>
    </w:p>
    <w:bookmarkEnd w:id="9"/>
    <w:bookmarkStart w:id="10" w:name="business-context"/>
    <w:p>
      <w:pPr>
        <w:pStyle w:val="Heading2"/>
      </w:pPr>
      <w:r>
        <w:t xml:space="preserve">2. Business Context</w:t>
      </w:r>
    </w:p>
    <w:p>
      <w:pPr>
        <w:pStyle w:val="Compact"/>
        <w:numPr>
          <w:ilvl w:val="0"/>
          <w:numId w:val="1001"/>
        </w:numPr>
      </w:pPr>
      <w:r>
        <w:t xml:space="preserve">Domain / policy area: Education (Tertiary Harmonisation)</w:t>
      </w:r>
    </w:p>
    <w:p>
      <w:pPr>
        <w:pStyle w:val="Compact"/>
        <w:numPr>
          <w:ilvl w:val="0"/>
          <w:numId w:val="1001"/>
        </w:numPr>
      </w:pPr>
      <w:r>
        <w:t xml:space="preserve">Institutions: VET providers, Higher Education (HE) providers, regulators; reference sources from employers</w:t>
      </w:r>
    </w:p>
    <w:p>
      <w:pPr>
        <w:pStyle w:val="Compact"/>
        <w:numPr>
          <w:ilvl w:val="0"/>
          <w:numId w:val="1001"/>
        </w:numPr>
      </w:pPr>
      <w:r>
        <w:t xml:space="preserve">Why now: need for consistent, explainable RPL decisions supported by portable evidence</w:t>
      </w:r>
    </w:p>
    <w:bookmarkEnd w:id="10"/>
    <w:bookmarkStart w:id="13" w:name="actors-and-stakeholders"/>
    <w:p>
      <w:pPr>
        <w:pStyle w:val="Heading2"/>
      </w:pPr>
      <w:r>
        <w:t xml:space="preserve">3. Actors and Stakeholders</w:t>
      </w:r>
    </w:p>
    <w:bookmarkStart w:id="11" w:name="actors"/>
    <w:p>
      <w:pPr>
        <w:pStyle w:val="Heading3"/>
      </w:pPr>
      <w:r>
        <w:t xml:space="preserve">Actors</w:t>
      </w:r>
    </w:p>
    <w:p>
      <w:pPr>
        <w:pStyle w:val="Compact"/>
        <w:numPr>
          <w:ilvl w:val="0"/>
          <w:numId w:val="1002"/>
        </w:numPr>
      </w:pPr>
      <w:r>
        <w:t xml:space="preserve">Prospective student</w:t>
      </w:r>
    </w:p>
    <w:p>
      <w:pPr>
        <w:pStyle w:val="Compact"/>
        <w:numPr>
          <w:ilvl w:val="0"/>
          <w:numId w:val="1002"/>
        </w:numPr>
      </w:pPr>
      <w:r>
        <w:t xml:space="preserve">Prospective VET or university institution (RPL assessor)</w:t>
      </w:r>
    </w:p>
    <w:bookmarkEnd w:id="11"/>
    <w:bookmarkStart w:id="12" w:name="stakeholders"/>
    <w:p>
      <w:pPr>
        <w:pStyle w:val="Heading3"/>
      </w:pPr>
      <w:r>
        <w:t xml:space="preserve">Stakeholders</w:t>
      </w:r>
    </w:p>
    <w:p>
      <w:pPr>
        <w:pStyle w:val="Compact"/>
        <w:numPr>
          <w:ilvl w:val="0"/>
          <w:numId w:val="1003"/>
        </w:numPr>
      </w:pPr>
      <w:r>
        <w:t xml:space="preserve">Student</w:t>
      </w:r>
    </w:p>
    <w:p>
      <w:pPr>
        <w:pStyle w:val="Compact"/>
        <w:numPr>
          <w:ilvl w:val="0"/>
          <w:numId w:val="1003"/>
        </w:numPr>
      </w:pPr>
      <w:r>
        <w:t xml:space="preserve">Institution administration</w:t>
      </w:r>
    </w:p>
    <w:p>
      <w:pPr>
        <w:pStyle w:val="Compact"/>
        <w:numPr>
          <w:ilvl w:val="0"/>
          <w:numId w:val="1003"/>
        </w:numPr>
      </w:pPr>
      <w:r>
        <w:t xml:space="preserve">Institution subject matter experts</w:t>
      </w:r>
    </w:p>
    <w:p>
      <w:pPr>
        <w:pStyle w:val="Compact"/>
        <w:numPr>
          <w:ilvl w:val="0"/>
          <w:numId w:val="1003"/>
        </w:numPr>
      </w:pPr>
      <w:r>
        <w:t xml:space="preserve">Regulators</w:t>
      </w:r>
    </w:p>
    <w:p>
      <w:pPr>
        <w:pStyle w:val="Compact"/>
        <w:numPr>
          <w:ilvl w:val="0"/>
          <w:numId w:val="1003"/>
        </w:numPr>
      </w:pPr>
      <w:r>
        <w:t xml:space="preserve">Previous institution (where relevant)</w:t>
      </w:r>
    </w:p>
    <w:p>
      <w:pPr>
        <w:pStyle w:val="Compact"/>
        <w:numPr>
          <w:ilvl w:val="0"/>
          <w:numId w:val="1003"/>
        </w:numPr>
      </w:pPr>
      <w:r>
        <w:t xml:space="preserve">Reference sources (employers, industry bodies, portfolios/CVs)</w:t>
      </w:r>
    </w:p>
    <w:bookmarkEnd w:id="12"/>
    <w:bookmarkEnd w:id="13"/>
    <w:bookmarkStart w:id="14" w:name="trigger"/>
    <w:p>
      <w:pPr>
        <w:pStyle w:val="Heading2"/>
      </w:pPr>
      <w:r>
        <w:t xml:space="preserve">4. Trigger</w:t>
      </w:r>
    </w:p>
    <w:p>
      <w:pPr>
        <w:pStyle w:val="FirstParagraph"/>
      </w:pPr>
      <w:r>
        <w:t xml:space="preserve">Student seeks credit for existing skills from education, employment, or otherwise.</w:t>
      </w:r>
    </w:p>
    <w:bookmarkEnd w:id="14"/>
    <w:bookmarkStart w:id="15" w:name="preconditions"/>
    <w:p>
      <w:pPr>
        <w:pStyle w:val="Heading2"/>
      </w:pPr>
      <w:r>
        <w:t xml:space="preserve">5. Preconditions</w:t>
      </w:r>
    </w:p>
    <w:p>
      <w:pPr>
        <w:pStyle w:val="Compact"/>
        <w:numPr>
          <w:ilvl w:val="0"/>
          <w:numId w:val="1004"/>
        </w:numPr>
      </w:pPr>
      <w:r>
        <w:t xml:space="preserve">Skills held by prospective student can be mapped to learning outcomes</w:t>
      </w:r>
    </w:p>
    <w:p>
      <w:pPr>
        <w:pStyle w:val="Compact"/>
        <w:numPr>
          <w:ilvl w:val="0"/>
          <w:numId w:val="1004"/>
        </w:numPr>
      </w:pPr>
      <w:r>
        <w:t xml:space="preserve">Skills can be validated</w:t>
      </w:r>
    </w:p>
    <w:p>
      <w:pPr>
        <w:pStyle w:val="Compact"/>
        <w:numPr>
          <w:ilvl w:val="0"/>
          <w:numId w:val="1004"/>
        </w:numPr>
      </w:pPr>
      <w:r>
        <w:t xml:space="preserve">Area seeking credit has already been mapped (education, occupation, or other)</w:t>
      </w:r>
    </w:p>
    <w:p>
      <w:pPr>
        <w:pStyle w:val="Compact"/>
        <w:numPr>
          <w:ilvl w:val="0"/>
          <w:numId w:val="1004"/>
        </w:numPr>
      </w:pPr>
      <w:r>
        <w:t xml:space="preserve">Credit is granted in line with existing policy arrangements</w:t>
      </w:r>
    </w:p>
    <w:bookmarkEnd w:id="15"/>
    <w:bookmarkStart w:id="16" w:name="baseline-process"/>
    <w:p>
      <w:pPr>
        <w:pStyle w:val="Heading2"/>
      </w:pPr>
      <w:r>
        <w:t xml:space="preserve">6. Baseline Process</w:t>
      </w:r>
    </w:p>
    <w:p>
      <w:pPr>
        <w:pStyle w:val="Compact"/>
        <w:numPr>
          <w:ilvl w:val="0"/>
          <w:numId w:val="1005"/>
        </w:numPr>
      </w:pPr>
      <w:r>
        <w:t xml:space="preserve">Student provides narratives/portfolios/references/resumes</w:t>
      </w:r>
    </w:p>
    <w:p>
      <w:pPr>
        <w:pStyle w:val="Compact"/>
        <w:numPr>
          <w:ilvl w:val="0"/>
          <w:numId w:val="1005"/>
        </w:numPr>
      </w:pPr>
      <w:r>
        <w:t xml:space="preserve">Assessors interpret evidence manually</w:t>
      </w:r>
    </w:p>
    <w:p>
      <w:pPr>
        <w:pStyle w:val="Compact"/>
        <w:numPr>
          <w:ilvl w:val="0"/>
          <w:numId w:val="1005"/>
        </w:numPr>
      </w:pPr>
      <w:r>
        <w:t xml:space="preserve">Outcomes vary and evidence structures are inconsistent</w:t>
      </w:r>
    </w:p>
    <w:bookmarkEnd w:id="16"/>
    <w:bookmarkStart w:id="17" w:name="basic-flow-target"/>
    <w:p>
      <w:pPr>
        <w:pStyle w:val="Heading2"/>
      </w:pPr>
      <w:r>
        <w:t xml:space="preserve">7. Basic Flow (Target)</w:t>
      </w:r>
    </w:p>
    <w:p>
      <w:pPr>
        <w:pStyle w:val="Compact"/>
        <w:numPr>
          <w:ilvl w:val="0"/>
          <w:numId w:val="1006"/>
        </w:numPr>
      </w:pPr>
      <w:r>
        <w:t xml:space="preserve">Identify claimed skills and supporting evidence sources</w:t>
      </w:r>
    </w:p>
    <w:p>
      <w:pPr>
        <w:pStyle w:val="Compact"/>
        <w:numPr>
          <w:ilvl w:val="0"/>
          <w:numId w:val="1006"/>
        </w:numPr>
      </w:pPr>
      <w:r>
        <w:t xml:space="preserve">Map claimed skills to skill concepts (taxonomy)</w:t>
      </w:r>
    </w:p>
    <w:p>
      <w:pPr>
        <w:pStyle w:val="Compact"/>
        <w:numPr>
          <w:ilvl w:val="0"/>
          <w:numId w:val="1006"/>
        </w:numPr>
      </w:pPr>
      <w:r>
        <w:t xml:space="preserve">Align mapped skills to target learning outcomes/requirements</w:t>
      </w:r>
    </w:p>
    <w:p>
      <w:pPr>
        <w:pStyle w:val="Compact"/>
        <w:numPr>
          <w:ilvl w:val="0"/>
          <w:numId w:val="1006"/>
        </w:numPr>
      </w:pPr>
      <w:r>
        <w:t xml:space="preserve">Record validation evidence and decision rationale</w:t>
      </w:r>
    </w:p>
    <w:bookmarkEnd w:id="17"/>
    <w:bookmarkStart w:id="18" w:name="alternate-flows"/>
    <w:p>
      <w:pPr>
        <w:pStyle w:val="Heading2"/>
      </w:pPr>
      <w:r>
        <w:t xml:space="preserve">8. Alternate Flows</w:t>
      </w:r>
    </w:p>
    <w:p>
      <w:pPr>
        <w:pStyle w:val="Compact"/>
        <w:numPr>
          <w:ilvl w:val="0"/>
          <w:numId w:val="1007"/>
        </w:numPr>
      </w:pPr>
      <w:r>
        <w:t xml:space="preserve">Alt 1: RPL based on occupation-based skills (work history evidence)</w:t>
      </w:r>
    </w:p>
    <w:p>
      <w:pPr>
        <w:pStyle w:val="Compact"/>
        <w:numPr>
          <w:ilvl w:val="0"/>
          <w:numId w:val="1007"/>
        </w:numPr>
      </w:pPr>
      <w:r>
        <w:t xml:space="preserve">Alt 2: RPL based on non-accredited education (course/provider evidence)</w:t>
      </w:r>
    </w:p>
    <w:bookmarkEnd w:id="18"/>
    <w:bookmarkStart w:id="19" w:name="pain-points"/>
    <w:p>
      <w:pPr>
        <w:pStyle w:val="Heading2"/>
      </w:pPr>
      <w:r>
        <w:t xml:space="preserve">9. Pain Points</w:t>
      </w:r>
    </w:p>
    <w:p>
      <w:pPr>
        <w:pStyle w:val="Compact"/>
        <w:numPr>
          <w:ilvl w:val="0"/>
          <w:numId w:val="1008"/>
        </w:numPr>
      </w:pPr>
      <w:r>
        <w:t xml:space="preserve">Evidence quality varies widely</w:t>
      </w:r>
    </w:p>
    <w:p>
      <w:pPr>
        <w:pStyle w:val="Compact"/>
        <w:numPr>
          <w:ilvl w:val="0"/>
          <w:numId w:val="1008"/>
        </w:numPr>
      </w:pPr>
      <w:r>
        <w:t xml:space="preserve">No common structure for validation</w:t>
      </w:r>
    </w:p>
    <w:p>
      <w:pPr>
        <w:pStyle w:val="Compact"/>
        <w:numPr>
          <w:ilvl w:val="0"/>
          <w:numId w:val="1008"/>
        </w:numPr>
      </w:pPr>
      <w:r>
        <w:t xml:space="preserve">Inconsistent mapping from work skills / non-accredited training to education outcomes</w:t>
      </w:r>
    </w:p>
    <w:bookmarkEnd w:id="19"/>
    <w:bookmarkStart w:id="20" w:name="desired-capability"/>
    <w:p>
      <w:pPr>
        <w:pStyle w:val="Heading2"/>
      </w:pPr>
      <w:r>
        <w:t xml:space="preserve">10. Desired Capability</w:t>
      </w:r>
    </w:p>
    <w:p>
      <w:pPr>
        <w:pStyle w:val="FirstParagraph"/>
      </w:pPr>
      <w:r>
        <w:t xml:space="preserve">Enable structured, evidence-supported RPL decisions by aligning occupational/non-accredited skill evidence to education outcomes.</w:t>
      </w:r>
    </w:p>
    <w:bookmarkEnd w:id="20"/>
    <w:bookmarkStart w:id="21" w:name="information-requirements"/>
    <w:p>
      <w:pPr>
        <w:pStyle w:val="Heading2"/>
      </w:pPr>
      <w:r>
        <w:t xml:space="preserve">11. Information Requirements</w:t>
      </w:r>
    </w:p>
    <w:p>
      <w:pPr>
        <w:pStyle w:val="Compact"/>
        <w:numPr>
          <w:ilvl w:val="0"/>
          <w:numId w:val="1009"/>
        </w:numPr>
      </w:pPr>
      <w:r>
        <w:t xml:space="preserve">Claimed skills and descriptions</w:t>
      </w:r>
    </w:p>
    <w:p>
      <w:pPr>
        <w:pStyle w:val="Compact"/>
        <w:numPr>
          <w:ilvl w:val="0"/>
          <w:numId w:val="1009"/>
        </w:numPr>
      </w:pPr>
      <w:r>
        <w:t xml:space="preserve">Evidence artefacts (portfolio items, references, statements of service)</w:t>
      </w:r>
    </w:p>
    <w:p>
      <w:pPr>
        <w:pStyle w:val="Compact"/>
        <w:numPr>
          <w:ilvl w:val="0"/>
          <w:numId w:val="1009"/>
        </w:numPr>
      </w:pPr>
      <w:r>
        <w:t xml:space="preserve">Mapping from occupational skills to learning outcomes</w:t>
      </w:r>
    </w:p>
    <w:bookmarkEnd w:id="21"/>
    <w:bookmarkStart w:id="22" w:name="semantic-model-requirements"/>
    <w:p>
      <w:pPr>
        <w:pStyle w:val="Heading2"/>
      </w:pPr>
      <w:r>
        <w:t xml:space="preserve">12. Semantic / Model Requirements</w:t>
      </w:r>
    </w:p>
    <w:p>
      <w:pPr>
        <w:pStyle w:val="Compact"/>
        <w:numPr>
          <w:ilvl w:val="0"/>
          <w:numId w:val="1010"/>
        </w:numPr>
      </w:pPr>
      <w:r>
        <w:t xml:space="preserve">Skills are first-class entities with stable IDs</w:t>
      </w:r>
    </w:p>
    <w:p>
      <w:pPr>
        <w:pStyle w:val="Compact"/>
        <w:numPr>
          <w:ilvl w:val="0"/>
          <w:numId w:val="1010"/>
        </w:numPr>
      </w:pPr>
      <w:r>
        <w:t xml:space="preserve">Ability to attach evidence statements to skill claims</w:t>
      </w:r>
    </w:p>
    <w:p>
      <w:pPr>
        <w:pStyle w:val="Compact"/>
        <w:numPr>
          <w:ilvl w:val="0"/>
          <w:numId w:val="1010"/>
        </w:numPr>
      </w:pPr>
      <w:r>
        <w:t xml:space="preserve">Representation of validation status (validated / unvalidated / partial)</w:t>
      </w:r>
    </w:p>
    <w:p>
      <w:pPr>
        <w:pStyle w:val="Compact"/>
        <w:numPr>
          <w:ilvl w:val="0"/>
          <w:numId w:val="1010"/>
        </w:numPr>
      </w:pPr>
      <w:r>
        <w:t xml:space="preserve">Provenance for mapping sources and RPL assessor decisions</w:t>
      </w:r>
    </w:p>
    <w:bookmarkEnd w:id="22"/>
    <w:bookmarkStart w:id="23" w:name="enabling-assets"/>
    <w:p>
      <w:pPr>
        <w:pStyle w:val="Heading2"/>
      </w:pPr>
      <w:r>
        <w:t xml:space="preserve">13. Enabling Assets</w:t>
      </w:r>
    </w:p>
    <w:p>
      <w:pPr>
        <w:pStyle w:val="Compact"/>
        <w:numPr>
          <w:ilvl w:val="0"/>
          <w:numId w:val="1011"/>
        </w:numPr>
      </w:pPr>
      <w:r>
        <w:t xml:space="preserve">NST skills taxonomy and supporting schemes</w:t>
      </w:r>
    </w:p>
    <w:p>
      <w:pPr>
        <w:pStyle w:val="Compact"/>
        <w:numPr>
          <w:ilvl w:val="0"/>
          <w:numId w:val="1011"/>
        </w:numPr>
      </w:pPr>
      <w:r>
        <w:t xml:space="preserve">Occupation/skills alignment artefacts (e.g., occupation classifications, qualificaiton alignments)</w:t>
      </w:r>
    </w:p>
    <w:p>
      <w:pPr>
        <w:pStyle w:val="Compact"/>
        <w:numPr>
          <w:ilvl w:val="0"/>
          <w:numId w:val="1011"/>
        </w:numPr>
      </w:pPr>
      <w:r>
        <w:t xml:space="preserve">Automated scoring of evidence quality</w:t>
      </w:r>
    </w:p>
    <w:p>
      <w:pPr>
        <w:pStyle w:val="Compact"/>
        <w:numPr>
          <w:ilvl w:val="0"/>
          <w:numId w:val="1011"/>
        </w:numPr>
      </w:pPr>
      <w:r>
        <w:t xml:space="preserve">Provenance model for evidence and mappings</w:t>
      </w:r>
    </w:p>
    <w:p>
      <w:pPr>
        <w:pStyle w:val="Compact"/>
        <w:numPr>
          <w:ilvl w:val="0"/>
          <w:numId w:val="1011"/>
        </w:numPr>
      </w:pPr>
      <w:r>
        <w:t xml:space="preserve">Profile validates model structure</w:t>
      </w:r>
    </w:p>
    <w:bookmarkEnd w:id="23"/>
    <w:bookmarkStart w:id="24" w:name="success-criteria"/>
    <w:p>
      <w:pPr>
        <w:pStyle w:val="Heading2"/>
      </w:pPr>
      <w:r>
        <w:t xml:space="preserve">14. Success Criteria</w:t>
      </w:r>
    </w:p>
    <w:p>
      <w:pPr>
        <w:pStyle w:val="Compact"/>
        <w:numPr>
          <w:ilvl w:val="0"/>
          <w:numId w:val="1012"/>
        </w:numPr>
      </w:pPr>
      <w:r>
        <w:t xml:space="preserve">More consistent outcomes across RPL assessors</w:t>
      </w:r>
    </w:p>
    <w:p>
      <w:pPr>
        <w:pStyle w:val="Compact"/>
        <w:numPr>
          <w:ilvl w:val="0"/>
          <w:numId w:val="1012"/>
        </w:numPr>
      </w:pPr>
      <w:r>
        <w:t xml:space="preserve">Improved transparency and explainability of decisions</w:t>
      </w:r>
    </w:p>
    <w:p>
      <w:pPr>
        <w:pStyle w:val="Compact"/>
        <w:numPr>
          <w:ilvl w:val="0"/>
          <w:numId w:val="1012"/>
        </w:numPr>
      </w:pPr>
      <w:r>
        <w:t xml:space="preserve">Reduced assessment time with reusable mappings</w:t>
      </w:r>
    </w:p>
    <w:bookmarkEnd w:id="24"/>
    <w:bookmarkStart w:id="25" w:name="out-of-scope"/>
    <w:p>
      <w:pPr>
        <w:pStyle w:val="Heading2"/>
      </w:pPr>
      <w:r>
        <w:t xml:space="preserve">15. Out of Scope</w:t>
      </w:r>
    </w:p>
    <w:p>
      <w:pPr>
        <w:pStyle w:val="Compact"/>
        <w:numPr>
          <w:ilvl w:val="0"/>
          <w:numId w:val="1013"/>
        </w:numPr>
      </w:pPr>
      <w:r>
        <w:t xml:space="preserve">Institution-specific policy engines</w:t>
      </w:r>
    </w:p>
    <w:bookmarkEnd w:id="25"/>
    <w:bookmarkStart w:id="26" w:name="traceability"/>
    <w:p>
      <w:pPr>
        <w:pStyle w:val="Heading2"/>
      </w:pPr>
      <w:r>
        <w:t xml:space="preserve">16.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Proposed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as reusable concepta</w:t>
            </w:r>
          </w:p>
        </w:tc>
        <w:tc>
          <w:tcPr/>
          <w:p>
            <w:pPr>
              <w:pStyle w:val="Compact"/>
            </w:pPr>
            <w:r>
              <w:t xml:space="preserve">NST skills concepts (SKOS)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attachment</w:t>
            </w:r>
          </w:p>
        </w:tc>
        <w:tc>
          <w:tcPr/>
          <w:p>
            <w:pPr>
              <w:pStyle w:val="Compact"/>
            </w:pPr>
            <w:r>
              <w:t xml:space="preserve">schema:citation / dcterms:source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status</w:t>
            </w:r>
          </w:p>
        </w:tc>
        <w:tc>
          <w:tcPr/>
          <w:p>
            <w:pPr>
              <w:pStyle w:val="Compact"/>
            </w:pPr>
            <w:r>
              <w:t xml:space="preserve">NST Profile validation</w:t>
            </w:r>
          </w:p>
        </w:tc>
      </w:tr>
    </w:tbl>
    <w:bookmarkEnd w:id="26"/>
    <w:bookmarkStart w:id="27" w:name="status"/>
    <w:p>
      <w:pPr>
        <w:pStyle w:val="Heading2"/>
      </w:pPr>
      <w:r>
        <w:t xml:space="preserve">17. Status</w:t>
      </w:r>
    </w:p>
    <w:p>
      <w:pPr>
        <w:pStyle w:val="FirstParagraph"/>
      </w:pPr>
      <w:r>
        <w:t xml:space="preserve">Draft</w:t>
      </w:r>
    </w:p>
    <w:bookmarkEnd w:id="27"/>
    <w:bookmarkStart w:id="28" w:name="links"/>
    <w:p>
      <w:pPr>
        <w:pStyle w:val="Heading2"/>
      </w:pPr>
      <w:r>
        <w:t xml:space="preserve">18. Links</w:t>
      </w:r>
    </w:p>
    <w:p>
      <w:pPr>
        <w:pStyle w:val="Compact"/>
        <w:numPr>
          <w:ilvl w:val="0"/>
          <w:numId w:val="1014"/>
        </w:numPr>
      </w:pPr>
      <w:r>
        <w:t xml:space="preserve">Related: UC-NSTEDU01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2026-02-18T11:14:27Z</dcterms:created>
  <dcterms:modified xsi:type="dcterms:W3CDTF">2026-02-18T11:14:27Z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