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Upoštevanje konteksta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prvi verziji kontekst upoštevamo tako, da pripravimo ločene modele (npr. Matrični razcep) in pred priporpčanjem uporabimo ustrezen kontekst.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Definicija konteksta iz XLSX: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Iz stolpcev C_T1, C_T2 in C_T3 sestavite kontekst z vrednostmi {‘nd’, ‘dopoldne’, ‘popoldne’, ‘zvecer’}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‘nd’ pomeni, da na kontekst ni mogoče sklepati, ostalo je razumljivo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Programiranje: pripraviti funkcijo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def get_context(c_T1, c_T2, c_T3):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c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kjer pregledate vse možne kombinacije in jih obdelate.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Kodiranje konteksta v podatkovno matriko: trojice razširimo v štirice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[uID, act_lst, r, c], kjer je c \in C string konteksta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Ovrednotenje: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Primerjamo na RMSE in MAE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Ohraite obstoječo kodo brez konteksta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ovednotenje s kontekstom pripravite novo kodo, ki v fazi vrednotenja upošteva kontekst.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