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Injection &amp; Infusion — Product Descriptions</w:t>
      </w:r>
    </w:p>
    <w:p>
      <w:pPr>
        <w:spacing w:after="300"/>
      </w:pPr>
      <w:r>
        <w:rPr>
          <w:b/>
          <w:bCs/>
          <w:color w:val="002D72"/>
        </w:rPr>
        <w:t xml:space="preserve">Biolink Solutions EA</w:t>
      </w:r>
    </w:p>
    <w:p>
      <w:pPr>
        <w:pStyle w:val="Heading2"/>
        <w:spacing w:before="300"/>
      </w:pPr>
      <w:r>
        <w:t xml:space="preserve">1. 5cc Syringe with Needle</w:t>
      </w:r>
    </w:p>
    <w:p>
      <w:pPr>
        <w:spacing w:after="200"/>
      </w:pPr>
      <w:r>
        <w:t xml:space="preserve">A single-use 5ml syringe fitted with a fixed hypodermic needle, built for accurate low-to-mid volume injections. Clear barrel markings support precise dosing, while the smooth plunger action reduces medication wastage during administration. Individually sterile-packed for safe, ready-to-use clinical handling.</w:t>
      </w:r>
    </w:p>
    <w:p>
      <w:pPr>
        <w:pStyle w:val="Heading2"/>
        <w:spacing w:before="300"/>
      </w:pPr>
      <w:r>
        <w:t xml:space="preserve">2. 10cc Syringe with Needle</w:t>
      </w:r>
    </w:p>
    <w:p>
      <w:pPr>
        <w:spacing w:after="200"/>
      </w:pPr>
      <w:r>
        <w:t xml:space="preserve">A 10ml single-use syringe with an attached needle, designed for medium-volume injections and medication delivery. The graduated barrel allows precise dose measurement, and the sterile packaging ensures it's ready for immediate clinical use without added prep time.</w:t>
      </w:r>
    </w:p>
    <w:p>
      <w:pPr>
        <w:pStyle w:val="Heading2"/>
        <w:spacing w:before="300"/>
      </w:pPr>
      <w:r>
        <w:t xml:space="preserve">3. 20cc Syringe without Needle</w:t>
      </w:r>
    </w:p>
    <w:p>
      <w:pPr>
        <w:spacing w:after="200"/>
      </w:pPr>
      <w:r>
        <w:t xml:space="preserve">A 20ml syringe supplied without a needle, ideal for larger volume tasks such as flushing, aspiration, or connecting to existing lines and cannulas. Its wide barrel and clear graduations make it easy to draw and administer accurately in high-volume procedures.</w:t>
      </w:r>
    </w:p>
    <w:p>
      <w:pPr>
        <w:pStyle w:val="Heading2"/>
        <w:spacing w:before="300"/>
      </w:pPr>
      <w:r>
        <w:t xml:space="preserve">4. Infusion Cannula</w:t>
      </w:r>
    </w:p>
    <w:p>
      <w:pPr>
        <w:spacing w:after="200"/>
      </w:pPr>
      <w:r>
        <w:t xml:space="preserve">A sterile IV cannula designed for reliable peripheral vascular access. Its sharp, precision-ground needle allows smooth, low-trauma insertion, while the flexible catheter minimizes vein irritation during extended infusion therapy. A dependable choice for routine fluid and medication administration.</w:t>
      </w:r>
    </w:p>
    <w:p>
      <w:pPr>
        <w:pStyle w:val="Heading2"/>
        <w:spacing w:before="300"/>
      </w:pPr>
      <w:r>
        <w:t xml:space="preserve">5. Burette Infusion Set</w:t>
      </w:r>
    </w:p>
    <w:p>
      <w:pPr>
        <w:spacing w:after="200"/>
      </w:pPr>
      <w:r>
        <w:t xml:space="preserve">A calibrated burette infusion set built for controlled, measured fluid or medication delivery — particularly useful in pediatric and precision-dosing cases. The graduated chamber allows accurate volume monitoring, giving clinicians tighter control over infusion rates and total dosage.</w:t>
      </w:r>
    </w:p>
    <w:p>
      <w:pPr>
        <w:pStyle w:val="Heading2"/>
        <w:spacing w:before="300"/>
      </w:pPr>
      <w:r>
        <w:t xml:space="preserve">6. Infusion Set</w:t>
      </w:r>
    </w:p>
    <w:p>
      <w:pPr>
        <w:spacing w:after="200"/>
      </w:pPr>
      <w:r>
        <w:t xml:space="preserve">A standard sterile infusion set for delivering IV fluids and medications at a controlled rate. Features a drip chamber for flow monitoring, a roller clamp for rate adjustment, and a puncture-ready spike for quick, secure connection to fluid bags.</w:t>
      </w:r>
    </w:p>
    <w:p>
      <w:pPr>
        <w:pStyle w:val="Heading2"/>
        <w:spacing w:before="300"/>
      </w:pPr>
      <w:r>
        <w:t xml:space="preserve">7. Hypodermic Needles</w:t>
      </w:r>
    </w:p>
    <w:p>
      <w:pPr>
        <w:spacing w:after="200"/>
      </w:pPr>
      <w:r>
        <w:t xml:space="preserve">Sterile, single-use hypodermic needles designed for smooth penetration and minimal patient discomfort. Available for use with standard syringes across injection, aspiration, and medication draw-up procedures — a reliable everyday essential for any clinical setting.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2026-07-14T08:59:24.983Z</dcterms:created>
  <dcterms:modified xsi:type="dcterms:W3CDTF">2026-07-14T08:59:24.996Z</dcterms:modified>
</cp:coreProperties>
</file>

<file path=docProps/custom.xml><?xml version="1.0" encoding="utf-8"?>
<Properties xmlns="http://schemas.openxmlformats.org/officeDocument/2006/custom-properties" xmlns:vt="http://schemas.openxmlformats.org/officeDocument/2006/docPropsVTypes"/>
</file>