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A365D"/>
            <w:tcMar>
              <w:top w:w="200" w:type="dxa"/>
              <w:bottom w:w="200" w:type="dxa"/>
              <w:left w:w="200" w:type="dxa"/>
              <w:right w:w="200" w:type="dxa"/>
            </w:tcMar>
          </w:tcPr>
          <w:p>
            <w:pPr>
              <w:jc w:val="left"/>
            </w:pPr>
            <w:r>
              <w:rPr>
                <w:rFonts w:ascii="Arial" w:hAnsi="Arial"/>
                <w:b/>
                <w:color w:val="FFFFFF"/>
                <w:sz w:val="36"/>
              </w:rPr>
              <w:t>Lab Supplies Description</w:t>
            </w:r>
          </w:p>
        </w:tc>
      </w:tr>
    </w:tbl>
    <w:p/>
    <w:tbl>
      <w:tblPr>
        <w:tblW w:type="auto" w:w="0"/>
        <w:jc w:val="center"/>
        <w:tblLook w:firstColumn="1" w:firstRow="1" w:lastColumn="0" w:lastRow="0" w:noHBand="0" w:noVBand="1" w:val="04A0"/>
      </w:tblPr>
      <w:tblGrid>
        <w:gridCol w:w="9360"/>
      </w:tblGrid>
      <w:tr>
        <w:tc>
          <w:tcPr>
            <w:tcW w:type="dxa" w:w="9360"/>
            <w:shd w:fill="F7FAFC"/>
            <w:tcMar>
              <w:top w:w="150" w:type="dxa"/>
              <w:bottom w:w="150" w:type="dxa"/>
              <w:left w:w="200" w:type="dxa"/>
              <w:right w:w="200" w:type="dxa"/>
            </w:tcMar>
            <w:tcBorders>
              <w:left w:val="single" w:sz="24" w:space="0" w:color="2B6CB0"/>
              <w:top w:val="none"/>
              <w:right w:val="none"/>
              <w:bottom w:val="none"/>
            </w:tcBorders>
          </w:tcPr>
          <w:p>
            <w:r>
              <w:rPr>
                <w:rFonts w:ascii="Arial" w:hAnsi="Arial"/>
                <w:color w:val="4A5568"/>
                <w:sz w:val="21"/>
              </w:rPr>
              <w:t>Professional-grade diagnostic and laboratory consumables engineered for accuracy, reliability, and ease of clinical handling in busy healthcare settings.</w:t>
            </w:r>
          </w:p>
        </w:tc>
      </w:tr>
    </w:tbl>
    <w:p/>
    <w:p>
      <w:pPr>
        <w:keepNext/>
        <w:spacing w:before="240" w:after="60"/>
      </w:pPr>
      <w:r>
        <w:rPr>
          <w:rFonts w:ascii="Arial" w:hAnsi="Arial"/>
          <w:b/>
          <w:color w:val="1A365D"/>
          <w:sz w:val="24"/>
        </w:rPr>
        <w:t>1. H. Pylori Test Strips</w:t>
      </w:r>
    </w:p>
    <w:p>
      <w:pPr>
        <w:spacing w:before="0" w:after="160" w:line="276" w:lineRule="auto"/>
      </w:pPr>
      <w:r>
        <w:rPr>
          <w:rFonts w:ascii="Arial" w:hAnsi="Arial"/>
          <w:color w:val="4A5568"/>
          <w:sz w:val="21"/>
        </w:rPr>
        <w:t>Rapid chromatographic immunoassay for the qualitative detection of Helicobacter pylori antibodies in human serum, plasma, or whole blood. Designed for fast, reliable point-of-care screening with clear, easy-to-read indicator lines supporting confident clinical decision-making.</w:t>
      </w:r>
    </w:p>
    <w:p>
      <w:pPr>
        <w:keepNext/>
        <w:spacing w:before="240" w:after="60"/>
      </w:pPr>
      <w:r>
        <w:rPr>
          <w:rFonts w:ascii="Arial" w:hAnsi="Arial"/>
          <w:b/>
          <w:color w:val="1A365D"/>
          <w:sz w:val="24"/>
        </w:rPr>
        <w:t>2. HIV Rapid Test Strips</w:t>
      </w:r>
    </w:p>
    <w:p>
      <w:pPr>
        <w:spacing w:before="0" w:after="160" w:line="276" w:lineRule="auto"/>
      </w:pPr>
      <w:r>
        <w:rPr>
          <w:rFonts w:ascii="Arial" w:hAnsi="Arial"/>
          <w:color w:val="4A5568"/>
          <w:sz w:val="21"/>
        </w:rPr>
        <w:t>High-sensitivity single-use immunoassay strips for the qualitative detection of antibodies to Human Immunodeficiency Virus types 1 and 2. Features clear control lines and rapid results development to support effective screening and counseling workflows in clinical environments.</w:t>
      </w:r>
    </w:p>
    <w:p>
      <w:pPr>
        <w:keepNext/>
        <w:spacing w:before="240" w:after="60"/>
      </w:pPr>
      <w:r>
        <w:rPr>
          <w:rFonts w:ascii="Arial" w:hAnsi="Arial"/>
          <w:b/>
          <w:color w:val="1A365D"/>
          <w:sz w:val="24"/>
        </w:rPr>
        <w:t>3. Hepatitis Test Strips</w:t>
      </w:r>
    </w:p>
    <w:p>
      <w:pPr>
        <w:spacing w:before="0" w:after="160" w:line="276" w:lineRule="auto"/>
      </w:pPr>
      <w:r>
        <w:rPr>
          <w:rFonts w:ascii="Arial" w:hAnsi="Arial"/>
          <w:color w:val="4A5568"/>
          <w:sz w:val="21"/>
        </w:rPr>
        <w:t>Reliable diagnostic screening strips configured for the detection of Hepatitis markers (such as Hepatitis B surface antigen or Hepatitis C antibodies). Engineered for high specificity and fast turnaround times, ensuring safe and efficient infection control screening.</w:t>
      </w:r>
    </w:p>
    <w:p>
      <w:pPr>
        <w:keepNext/>
        <w:spacing w:before="240" w:after="60"/>
      </w:pPr>
      <w:r>
        <w:rPr>
          <w:rFonts w:ascii="Arial" w:hAnsi="Arial"/>
          <w:b/>
          <w:color w:val="1A365D"/>
          <w:sz w:val="24"/>
        </w:rPr>
        <w:t>4. Syphilis Rapid Test Strips</w:t>
      </w:r>
    </w:p>
    <w:p>
      <w:pPr>
        <w:spacing w:before="0" w:after="160" w:line="276" w:lineRule="auto"/>
      </w:pPr>
      <w:r>
        <w:rPr>
          <w:rFonts w:ascii="Arial" w:hAnsi="Arial"/>
          <w:color w:val="4A5568"/>
          <w:sz w:val="21"/>
        </w:rPr>
        <w:t>A dependable point-of-care assay strip designed for the qualitative detection of Treponema pallidum antibodies. Provides sharp, clear visual interpretations to assist clinicians in prompt diagnosis and management in routine screening programs.</w:t>
      </w:r>
    </w:p>
    <w:p>
      <w:pPr>
        <w:keepNext/>
        <w:spacing w:before="240" w:after="60"/>
      </w:pPr>
      <w:r>
        <w:rPr>
          <w:rFonts w:ascii="Arial" w:hAnsi="Arial"/>
          <w:b/>
          <w:color w:val="1A365D"/>
          <w:sz w:val="24"/>
        </w:rPr>
        <w:t>5. Urinalysis Test Strips (10-Parameter)</w:t>
      </w:r>
    </w:p>
    <w:p>
      <w:pPr>
        <w:spacing w:before="0" w:after="160" w:line="276" w:lineRule="auto"/>
      </w:pPr>
      <w:r>
        <w:rPr>
          <w:rFonts w:ascii="Arial" w:hAnsi="Arial"/>
          <w:color w:val="4A5568"/>
          <w:sz w:val="21"/>
        </w:rPr>
        <w:t>Multi-parameter reagent strips for urinalysis, testing key markers including glucose, protein, pH, ketones, blood, and leukocytes. Provides rapid semi-quantitative chemical analysis to assist in screening for metabolic, renal, and urinary tract conditions.</w:t>
      </w:r>
    </w:p>
    <w:p>
      <w:pPr>
        <w:keepNext/>
        <w:spacing w:before="240" w:after="60"/>
      </w:pPr>
      <w:r>
        <w:rPr>
          <w:rFonts w:ascii="Arial" w:hAnsi="Arial"/>
          <w:b/>
          <w:color w:val="1A365D"/>
          <w:sz w:val="24"/>
        </w:rPr>
        <w:t>6. PDT / hCG Pregnancy Test Strips</w:t>
      </w:r>
    </w:p>
    <w:p>
      <w:pPr>
        <w:spacing w:before="0" w:after="160" w:line="276" w:lineRule="auto"/>
      </w:pPr>
      <w:r>
        <w:rPr>
          <w:rFonts w:ascii="Arial" w:hAnsi="Arial"/>
          <w:color w:val="4A5568"/>
          <w:sz w:val="21"/>
        </w:rPr>
        <w:t>Fast, highly sensitive one-step immunoassay strips for the qualitative detection of human chorionic gonadotropin (hCG) in urine specimens. Designed for early detection of pregnancy with distinct, clear line differentiation for unambiguous results.</w:t>
      </w:r>
    </w:p>
    <w:p>
      <w:pPr>
        <w:keepNext/>
        <w:spacing w:before="240" w:after="60"/>
      </w:pPr>
      <w:r>
        <w:rPr>
          <w:rFonts w:ascii="Arial" w:hAnsi="Arial"/>
          <w:b/>
          <w:color w:val="1A365D"/>
          <w:sz w:val="24"/>
        </w:rPr>
        <w:t>7. Mission Hb Plus Hemoglobin Test Strips</w:t>
      </w:r>
    </w:p>
    <w:p>
      <w:pPr>
        <w:spacing w:before="0" w:after="160" w:line="276" w:lineRule="auto"/>
      </w:pPr>
      <w:r>
        <w:rPr>
          <w:rFonts w:ascii="Arial" w:hAnsi="Arial"/>
          <w:color w:val="4A5568"/>
          <w:sz w:val="21"/>
        </w:rPr>
        <w:t>Advanced diagnostic strips designed for use with hemoglobin meters to provide quantitative, accurate measurement of capillary and venous whole blood hemoglobin. Essential for fast anemia screening and routine clinical wellness monitoring.</w:t>
      </w:r>
    </w:p>
    <w:p>
      <w:pPr>
        <w:keepNext/>
        <w:spacing w:before="240" w:after="60"/>
      </w:pPr>
      <w:r>
        <w:rPr>
          <w:rFonts w:ascii="Arial" w:hAnsi="Arial"/>
          <w:b/>
          <w:color w:val="1A365D"/>
          <w:sz w:val="24"/>
        </w:rPr>
        <w:t>8. Microscope Slides</w:t>
      </w:r>
    </w:p>
    <w:p>
      <w:pPr>
        <w:spacing w:before="0" w:after="160" w:line="276" w:lineRule="auto"/>
      </w:pPr>
      <w:r>
        <w:rPr>
          <w:rFonts w:ascii="Arial" w:hAnsi="Arial"/>
          <w:color w:val="4A5568"/>
          <w:sz w:val="21"/>
        </w:rPr>
        <w:t>Standard pre-cleaned glass microscope slides manufactured from high-grade clear optical glass with uniform thickness. Ideal for routine cytology, hematology, and general laboratory microscopy, offering distortion-free viewing and reliable sample mounting.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