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120000" cy="2325600"/>
            <wp:docPr id="1" name="Picture 1"/>
            <wp:cNvGraphicFramePr>
              <a:graphicFrameLocks noChangeAspect="1"/>
            </wp:cNvGraphicFramePr>
            <a:graphic>
              <a:graphicData uri="http://schemas.openxmlformats.org/drawingml/2006/picture">
                <pic:pic>
                  <pic:nvPicPr>
                    <pic:cNvPr id="0" name="bandeau.png"/>
                    <pic:cNvPicPr/>
                  </pic:nvPicPr>
                  <pic:blipFill>
                    <a:blip r:embed="rId9"/>
                    <a:stretch>
                      <a:fillRect/>
                    </a:stretch>
                  </pic:blipFill>
                  <pic:spPr>
                    <a:xfrm>
                      <a:off x="0" y="0"/>
                      <a:ext cx="6120000" cy="2325600"/>
                    </a:xfrm>
                    <a:prstGeom prst="rect"/>
                  </pic:spPr>
                </pic:pic>
              </a:graphicData>
            </a:graphic>
          </wp:inline>
        </w:drawing>
      </w:r>
    </w:p>
    <w:p>
      <w:pPr>
        <w:keepNext/>
      </w:pPr>
      <w:r>
        <w:rPr>
          <w:b/>
          <w:color w:val="FF8A00"/>
          <w:sz w:val="23"/>
        </w:rPr>
        <w:t>3e assises nationales sur l'intelligence artificielle · 8, 9 et 10 septembre 2027 · Abidjan</w:t>
      </w:r>
    </w:p>
    <w:p>
      <w:r>
        <w:rPr/>
        <w:t>Ministère de la Transition Numérique et de l'Innovation Technologique. Conception et organisation : Mstudio.</w:t>
      </w:r>
    </w:p>
    <w:p>
      <w:pPr>
        <w:keepNext/>
        <w:spacing w:before="320"/>
        <w:pBdr>
          <w:bottom w:val="single" w:sz="12" w:space="3" w:color="FF8A00"/>
        </w:pBdr>
      </w:pPr>
      <w:r>
        <w:rPr>
          <w:b/>
          <w:color w:val="008F7A"/>
          <w:sz w:val="30"/>
        </w:rPr>
        <w:t>En bref</w:t>
      </w:r>
    </w:p>
    <w:tbl>
      <w:tblPr>
        <w:tblStyle w:val="TableGrid"/>
        <w:tblW w:type="auto" w:w="0"/>
        <w:tblLayout w:type="fixed"/>
        <w:tblLook w:firstColumn="1" w:firstRow="1" w:lastColumn="0" w:lastRow="0" w:noHBand="0" w:noVBand="1" w:val="04A0"/>
        <w:tblLayout w:type="fixed"/>
      </w:tblPr>
      <w:tblGrid>
        <w:gridCol w:w="2268"/>
        <w:gridCol w:w="7370"/>
      </w:tblGrid>
      <w:tr>
        <w:tc>
          <w:tcPr>
            <w:tcW w:type="dxa" w:w="2268"/>
            <w:shd w:val="clear" w:color="auto" w:fill="062A26"/>
          </w:tcPr>
          <w:p>
            <w:pPr>
              <w:spacing w:after="40"/>
            </w:pPr>
            <w:r>
              <w:rPr>
                <w:b/>
                <w:color w:val="FFFFFF"/>
                <w:sz w:val="20"/>
              </w:rPr>
              <w:t>L'événement</w:t>
            </w:r>
          </w:p>
        </w:tc>
        <w:tc>
          <w:tcPr>
            <w:tcW w:type="dxa" w:w="7370"/>
          </w:tcPr>
          <w:p>
            <w:pPr>
              <w:spacing w:after="40"/>
            </w:pPr>
            <w:r>
              <w:rPr>
                <w:sz w:val="19"/>
              </w:rPr>
              <w:t>Les 3e assises nationales sur l'intelligence artificielle, un an après IMPACT IA 2026</w:t>
            </w:r>
          </w:p>
        </w:tc>
      </w:tr>
      <w:tr>
        <w:tc>
          <w:tcPr>
            <w:tcW w:type="dxa" w:w="2268"/>
            <w:shd w:val="clear" w:color="auto" w:fill="062A26"/>
          </w:tcPr>
          <w:p>
            <w:pPr>
              <w:spacing w:after="40"/>
            </w:pPr>
            <w:r>
              <w:rPr>
                <w:b/>
                <w:color w:val="FFFFFF"/>
                <w:sz w:val="20"/>
              </w:rPr>
              <w:t>Le thème</w:t>
            </w:r>
          </w:p>
        </w:tc>
        <w:tc>
          <w:tcPr>
            <w:tcW w:type="dxa" w:w="7370"/>
          </w:tcPr>
          <w:p>
            <w:pPr>
              <w:spacing w:after="40"/>
            </w:pPr>
            <w:r>
              <w:rPr>
                <w:sz w:val="19"/>
              </w:rPr>
              <w:t>Des cas d'usage au déploiement : accélérer l'IA au service des Ivoiriens</w:t>
            </w:r>
          </w:p>
        </w:tc>
      </w:tr>
      <w:tr>
        <w:tc>
          <w:tcPr>
            <w:tcW w:type="dxa" w:w="2268"/>
            <w:shd w:val="clear" w:color="auto" w:fill="062A26"/>
          </w:tcPr>
          <w:p>
            <w:pPr>
              <w:spacing w:after="40"/>
            </w:pPr>
            <w:r>
              <w:rPr>
                <w:b/>
                <w:color w:val="FFFFFF"/>
                <w:sz w:val="20"/>
              </w:rPr>
              <w:t>Dates et lieu</w:t>
            </w:r>
          </w:p>
        </w:tc>
        <w:tc>
          <w:tcPr>
            <w:tcW w:type="dxa" w:w="7370"/>
          </w:tcPr>
          <w:p>
            <w:pPr>
              <w:spacing w:after="40"/>
            </w:pPr>
            <w:r>
              <w:rPr>
                <w:sz w:val="19"/>
              </w:rPr>
              <w:t>8, 9 et 10 septembre 2027, Abidjan</w:t>
            </w:r>
          </w:p>
        </w:tc>
      </w:tr>
      <w:tr>
        <w:tc>
          <w:tcPr>
            <w:tcW w:type="dxa" w:w="2268"/>
            <w:shd w:val="clear" w:color="auto" w:fill="062A26"/>
          </w:tcPr>
          <w:p>
            <w:pPr>
              <w:spacing w:after="40"/>
            </w:pPr>
            <w:r>
              <w:rPr>
                <w:b/>
                <w:color w:val="FFFFFF"/>
                <w:sz w:val="20"/>
              </w:rPr>
              <w:t>Format</w:t>
            </w:r>
          </w:p>
        </w:tc>
        <w:tc>
          <w:tcPr>
            <w:tcW w:type="dxa" w:w="7370"/>
          </w:tcPr>
          <w:p>
            <w:pPr>
              <w:spacing w:after="40"/>
            </w:pPr>
            <w:r>
              <w:rPr>
                <w:sz w:val="19"/>
              </w:rPr>
              <w:t>Une journée de travail à huis clos, deux journées ouvertes au public</w:t>
            </w:r>
          </w:p>
        </w:tc>
      </w:tr>
      <w:tr>
        <w:tc>
          <w:tcPr>
            <w:tcW w:type="dxa" w:w="2268"/>
            <w:shd w:val="clear" w:color="auto" w:fill="062A26"/>
          </w:tcPr>
          <w:p>
            <w:pPr>
              <w:spacing w:after="40"/>
            </w:pPr>
            <w:r>
              <w:rPr>
                <w:b/>
                <w:color w:val="FFFFFF"/>
                <w:sz w:val="20"/>
              </w:rPr>
              <w:t>Ce qu'on y verra</w:t>
            </w:r>
          </w:p>
        </w:tc>
        <w:tc>
          <w:tcPr>
            <w:tcW w:type="dxa" w:w="7370"/>
          </w:tcPr>
          <w:p>
            <w:pPr>
              <w:spacing w:after="40"/>
            </w:pPr>
            <w:r>
              <w:rPr>
                <w:sz w:val="19"/>
              </w:rPr>
              <w:t>Le Bilan des 77 cas d'usage, la Clinique IA (démonstrations), le Prix ACCELERATE IA, le Mur des engagements</w:t>
            </w:r>
          </w:p>
        </w:tc>
      </w:tr>
      <w:tr>
        <w:tc>
          <w:tcPr>
            <w:tcW w:type="dxa" w:w="2268"/>
            <w:shd w:val="clear" w:color="auto" w:fill="062A26"/>
          </w:tcPr>
          <w:p>
            <w:pPr>
              <w:spacing w:after="40"/>
            </w:pPr>
            <w:r>
              <w:rPr>
                <w:b/>
                <w:color w:val="FFFFFF"/>
                <w:sz w:val="20"/>
              </w:rPr>
              <w:t>Ce que l'on attend des partenaires</w:t>
            </w:r>
          </w:p>
        </w:tc>
        <w:tc>
          <w:tcPr>
            <w:tcW w:type="dxa" w:w="7370"/>
          </w:tcPr>
          <w:p>
            <w:pPr>
              <w:spacing w:after="40"/>
            </w:pPr>
            <w:r>
              <w:rPr>
                <w:sz w:val="19"/>
              </w:rPr>
              <w:t>Un soutien financier, technique ou en nature, et si possible un engagement de déploiement annoncé sur place</w:t>
            </w:r>
          </w:p>
        </w:tc>
      </w:tr>
    </w:tbl>
    <w:p/>
    <w:p>
      <w:pPr>
        <w:jc w:val="center"/>
      </w:pPr>
      <w:r>
        <w:drawing>
          <wp:inline xmlns:a="http://schemas.openxmlformats.org/drawingml/2006/main" xmlns:pic="http://schemas.openxmlformats.org/drawingml/2006/picture">
            <wp:extent cx="6120000" cy="2351829"/>
            <wp:docPr id="2" name="Picture 2"/>
            <wp:cNvGraphicFramePr>
              <a:graphicFrameLocks noChangeAspect="1"/>
            </wp:cNvGraphicFramePr>
            <a:graphic>
              <a:graphicData uri="http://schemas.openxmlformats.org/drawingml/2006/picture">
                <pic:pic>
                  <pic:nvPicPr>
                    <pic:cNvPr id="0" name="doc_conf.jpg"/>
                    <pic:cNvPicPr/>
                  </pic:nvPicPr>
                  <pic:blipFill>
                    <a:blip r:embed="rId12"/>
                    <a:stretch>
                      <a:fillRect/>
                    </a:stretch>
                  </pic:blipFill>
                  <pic:spPr>
                    <a:xfrm>
                      <a:off x="0" y="0"/>
                      <a:ext cx="6120000" cy="2351829"/>
                    </a:xfrm>
                    <a:prstGeom prst="rect"/>
                  </pic:spPr>
                </pic:pic>
              </a:graphicData>
            </a:graphic>
          </wp:inline>
        </w:drawing>
      </w:r>
    </w:p>
    <w:p>
      <w:pPr>
        <w:keepNext/>
        <w:spacing w:before="320"/>
        <w:pBdr>
          <w:bottom w:val="single" w:sz="12" w:space="3" w:color="FF8A00"/>
        </w:pBdr>
      </w:pPr>
      <w:r>
        <w:rPr>
          <w:b/>
          <w:color w:val="008F7A"/>
          <w:sz w:val="30"/>
        </w:rPr>
        <w:t>1. Pourquoi ACCELERATE IA</w:t>
      </w:r>
    </w:p>
    <w:p>
      <w:r>
        <w:rPr/>
        <w:t>En septembre 2026, IMPACT IA, la 2e édition des assises nationales, a réuni pendant trois jours l'État, les entreprises, les chercheurs et les partenaires techniques. Deux résultats en sont sortis :</w:t>
      </w:r>
    </w:p>
    <w:p>
      <w:pPr>
        <w:pStyle w:val="ListBullet"/>
      </w:pPr>
      <w:r>
        <w:rPr>
          <w:b/>
        </w:rPr>
        <w:t>77 cas d'usage prioritaires</w:t>
      </w:r>
      <w:r>
        <w:rPr/>
        <w:t xml:space="preserve"> de l'intelligence artificielle, dans l'administration publique, l'agriculture, la santé, l'éducation et les services aux populations ;</w:t>
      </w:r>
    </w:p>
    <w:p>
      <w:pPr>
        <w:pStyle w:val="ListBullet"/>
      </w:pPr>
      <w:r>
        <w:rPr>
          <w:b/>
        </w:rPr>
        <w:t>le Pacte de l'Alliance nationale pour l'intelligence artificielle</w:t>
      </w:r>
      <w:r>
        <w:rPr/>
        <w:t>, signé par le Ministre de la Transition Numérique et de l'Innovation Technologique, la CGECI et la Chambre de commerce et d'industrie de Côte d'Ivoire. Il porte sur l'accès aux données, les infrastructures, la formation, la recherche et un usage éthique de l'IA.</w:t>
      </w:r>
    </w:p>
    <w:p>
      <w:r>
        <w:rPr/>
        <w:t>Le Ministre l'a résumé à la clôture : il faut maintenant accélérer l'adoption et passer à des résultats mesurables. ACCELERATE IA est le rendez-vous où ces résultats se montrent, et où les moyens de les étendre s'engagent.</w:t>
      </w:r>
    </w:p>
    <w:p>
      <w:r>
        <w:rPr/>
        <w:t>Le cadre est posé : la Stratégie nationale de l'intelligence artificielle adoptée en 2025, et le Plan d'accélération 2026-2028 du Ministère, dont un pilier est consacré à l'IA.</w:t>
      </w:r>
    </w:p>
    <w:p>
      <w:pPr>
        <w:keepNext/>
        <w:spacing w:before="320"/>
        <w:pBdr>
          <w:bottom w:val="single" w:sz="12" w:space="3" w:color="FF8A00"/>
        </w:pBdr>
      </w:pPr>
      <w:r>
        <w:rPr>
          <w:b/>
          <w:color w:val="008F7A"/>
          <w:sz w:val="30"/>
        </w:rPr>
        <w:t>2. Ce que l'événement change</w:t>
      </w:r>
    </w:p>
    <w:p>
      <w:r>
        <w:rPr>
          <w:b/>
        </w:rPr>
        <w:t>Rendre des comptes.</w:t>
      </w:r>
      <w:r>
        <w:rPr/>
        <w:t xml:space="preserve"> Le Bilan des 77 présente publiquement, dès l'ouverture, où en est chacun des cas d'usage retenus en 2026 : déployé, en test, en attente de financement ou abandonné.</w:t>
      </w:r>
    </w:p>
    <w:p>
      <w:r>
        <w:rPr>
          <w:b/>
        </w:rPr>
        <w:t>Montrer.</w:t>
      </w:r>
      <w:r>
        <w:rPr/>
        <w:t xml:space="preserve"> À la Clinique IA, chaque solution est présentée par ceux qui l'utilisent : un agent de l'administration, un producteur, un soignant, un enseignant.</w:t>
      </w:r>
    </w:p>
    <w:p>
      <w:r>
        <w:rPr>
          <w:b/>
        </w:rPr>
        <w:t>S'engager.</w:t>
      </w:r>
      <w:r>
        <w:rPr/>
        <w:t xml:space="preserve"> Chaque partenaire, public ou privé, est invité à annoncer un engagement daté : un déploiement, un financement, un programme de formation. Les engagements s'affichent sur le Mur des engagements et sont suivis après l'événement.</w:t>
      </w:r>
    </w:p>
    <w:p>
      <w:pPr>
        <w:keepNext/>
        <w:spacing w:before="320"/>
        <w:pBdr>
          <w:bottom w:val="single" w:sz="12" w:space="3" w:color="FF8A00"/>
        </w:pBdr>
      </w:pPr>
      <w:r>
        <w:rPr>
          <w:b/>
          <w:color w:val="008F7A"/>
          <w:sz w:val="30"/>
        </w:rPr>
        <w:t>3. Le programme</w:t>
      </w:r>
    </w:p>
    <w:tbl>
      <w:tblPr>
        <w:tblStyle w:val="TableGrid"/>
        <w:tblW w:type="auto" w:w="0"/>
        <w:tblLayout w:type="fixed"/>
        <w:tblLook w:firstColumn="1" w:firstRow="1" w:lastColumn="0" w:lastRow="0" w:noHBand="0" w:noVBand="1" w:val="04A0"/>
        <w:tblLayout w:type="fixed"/>
      </w:tblPr>
      <w:tblGrid>
        <w:gridCol w:w="3213"/>
        <w:gridCol w:w="3213"/>
        <w:gridCol w:w="3213"/>
      </w:tblGrid>
      <w:tr>
        <w:tc>
          <w:tcPr>
            <w:tcW w:type="dxa" w:w="3213"/>
            <w:shd w:val="clear" w:color="auto" w:fill="062A26"/>
          </w:tcPr>
          <w:p>
            <w:pPr>
              <w:spacing w:after="40"/>
            </w:pPr>
            <w:r>
              <w:rPr>
                <w:b/>
                <w:color w:val="FFFFFF"/>
                <w:sz w:val="20"/>
              </w:rPr>
              <w:t>Jour</w:t>
            </w:r>
          </w:p>
        </w:tc>
        <w:tc>
          <w:tcPr>
            <w:tcW w:type="dxa" w:w="3213"/>
            <w:shd w:val="clear" w:color="auto" w:fill="062A26"/>
          </w:tcPr>
          <w:p>
            <w:pPr>
              <w:spacing w:after="40"/>
            </w:pPr>
            <w:r>
              <w:rPr>
                <w:b/>
                <w:color w:val="FFFFFF"/>
                <w:sz w:val="20"/>
              </w:rPr>
              <w:t>Contenu</w:t>
            </w:r>
          </w:p>
        </w:tc>
        <w:tc>
          <w:tcPr>
            <w:tcW w:type="dxa" w:w="3213"/>
            <w:shd w:val="clear" w:color="auto" w:fill="062A26"/>
          </w:tcPr>
          <w:p>
            <w:pPr>
              <w:spacing w:after="40"/>
            </w:pPr>
            <w:r>
              <w:rPr>
                <w:b/>
                <w:color w:val="FFFFFF"/>
                <w:sz w:val="20"/>
              </w:rPr>
              <w:t>Public</w:t>
            </w:r>
          </w:p>
        </w:tc>
      </w:tr>
      <w:tr>
        <w:tc>
          <w:tcPr>
            <w:tcW w:type="dxa" w:w="3213"/>
          </w:tcPr>
          <w:p>
            <w:pPr>
              <w:spacing w:after="40"/>
            </w:pPr>
            <w:r>
              <w:rPr>
                <w:b/>
                <w:sz w:val="19"/>
              </w:rPr>
              <w:t>Mercredi 8 septembre</w:t>
            </w:r>
          </w:p>
        </w:tc>
        <w:tc>
          <w:tcPr>
            <w:tcW w:type="dxa" w:w="3213"/>
          </w:tcPr>
          <w:p>
            <w:pPr>
              <w:spacing w:after="40"/>
            </w:pPr>
            <w:r>
              <w:rPr>
                <w:sz w:val="19"/>
              </w:rPr>
              <w:t>Revue des 77 cas d'usage par secteur, séance de financement entre porteurs de projets, bailleurs et investisseurs</w:t>
            </w:r>
          </w:p>
        </w:tc>
        <w:tc>
          <w:tcPr>
            <w:tcW w:type="dxa" w:w="3213"/>
          </w:tcPr>
          <w:p>
            <w:pPr>
              <w:spacing w:after="40"/>
            </w:pPr>
            <w:r>
              <w:rPr>
                <w:sz w:val="19"/>
              </w:rPr>
              <w:t>Sur invitation</w:t>
            </w:r>
          </w:p>
        </w:tc>
      </w:tr>
      <w:tr>
        <w:tc>
          <w:tcPr>
            <w:tcW w:type="dxa" w:w="3213"/>
            <w:shd w:val="clear" w:color="auto" w:fill="E6F4EF"/>
          </w:tcPr>
          <w:p>
            <w:pPr>
              <w:spacing w:after="40"/>
            </w:pPr>
            <w:r>
              <w:rPr>
                <w:b/>
                <w:sz w:val="19"/>
              </w:rPr>
              <w:t>Jeudi 9 septembre</w:t>
            </w:r>
          </w:p>
        </w:tc>
        <w:tc>
          <w:tcPr>
            <w:tcW w:type="dxa" w:w="3213"/>
            <w:shd w:val="clear" w:color="auto" w:fill="E6F4EF"/>
          </w:tcPr>
          <w:p>
            <w:pPr>
              <w:spacing w:after="40"/>
            </w:pPr>
            <w:r>
              <w:rPr>
                <w:sz w:val="19"/>
              </w:rPr>
              <w:t>Cérémonie officielle d'ouverture, Bilan des 77, panels, ouverture de la Clinique IA, masterclasses</w:t>
            </w:r>
          </w:p>
        </w:tc>
        <w:tc>
          <w:tcPr>
            <w:tcW w:type="dxa" w:w="3213"/>
            <w:shd w:val="clear" w:color="auto" w:fill="E6F4EF"/>
          </w:tcPr>
          <w:p>
            <w:pPr>
              <w:spacing w:after="40"/>
            </w:pPr>
            <w:r>
              <w:rPr>
                <w:sz w:val="19"/>
              </w:rPr>
              <w:t>Ouvert sur inscription</w:t>
            </w:r>
          </w:p>
        </w:tc>
      </w:tr>
      <w:tr>
        <w:tc>
          <w:tcPr>
            <w:tcW w:type="dxa" w:w="3213"/>
          </w:tcPr>
          <w:p>
            <w:pPr>
              <w:spacing w:after="40"/>
            </w:pPr>
            <w:r>
              <w:rPr>
                <w:b/>
                <w:sz w:val="19"/>
              </w:rPr>
              <w:t>Vendredi 10 septembre</w:t>
            </w:r>
          </w:p>
        </w:tc>
        <w:tc>
          <w:tcPr>
            <w:tcW w:type="dxa" w:w="3213"/>
          </w:tcPr>
          <w:p>
            <w:pPr>
              <w:spacing w:after="40"/>
            </w:pPr>
            <w:r>
              <w:rPr>
                <w:sz w:val="19"/>
              </w:rPr>
              <w:t>Panels, finale du Prix ACCELERATE IA, signature des engagements, clôture</w:t>
            </w:r>
          </w:p>
        </w:tc>
        <w:tc>
          <w:tcPr>
            <w:tcW w:type="dxa" w:w="3213"/>
          </w:tcPr>
          <w:p>
            <w:pPr>
              <w:spacing w:after="40"/>
            </w:pPr>
            <w:r>
              <w:rPr>
                <w:sz w:val="19"/>
              </w:rPr>
              <w:t>Ouvert sur inscription</w:t>
            </w:r>
          </w:p>
        </w:tc>
      </w:tr>
    </w:tbl>
    <w:p/>
    <w:p>
      <w:pPr>
        <w:jc w:val="center"/>
      </w:pPr>
      <w:r>
        <w:drawing>
          <wp:inline xmlns:a="http://schemas.openxmlformats.org/drawingml/2006/main" xmlns:pic="http://schemas.openxmlformats.org/drawingml/2006/picture">
            <wp:extent cx="6120000" cy="2351829"/>
            <wp:docPr id="3" name="Picture 3"/>
            <wp:cNvGraphicFramePr>
              <a:graphicFrameLocks noChangeAspect="1"/>
            </wp:cNvGraphicFramePr>
            <a:graphic>
              <a:graphicData uri="http://schemas.openxmlformats.org/drawingml/2006/picture">
                <pic:pic>
                  <pic:nvPicPr>
                    <pic:cNvPr id="0" name="doc_expo.jpg"/>
                    <pic:cNvPicPr/>
                  </pic:nvPicPr>
                  <pic:blipFill>
                    <a:blip r:embed="rId13"/>
                    <a:stretch>
                      <a:fillRect/>
                    </a:stretch>
                  </pic:blipFill>
                  <pic:spPr>
                    <a:xfrm>
                      <a:off x="0" y="0"/>
                      <a:ext cx="6120000" cy="2351829"/>
                    </a:xfrm>
                    <a:prstGeom prst="rect"/>
                  </pic:spPr>
                </pic:pic>
              </a:graphicData>
            </a:graphic>
          </wp:inline>
        </w:drawing>
      </w:r>
    </w:p>
    <w:p>
      <w:pPr>
        <w:keepNext/>
        <w:spacing w:before="320"/>
        <w:pBdr>
          <w:bottom w:val="single" w:sz="12" w:space="3" w:color="FF8A00"/>
        </w:pBdr>
      </w:pPr>
      <w:r>
        <w:rPr>
          <w:b/>
          <w:color w:val="008F7A"/>
          <w:sz w:val="30"/>
        </w:rPr>
        <w:t>4. Qui sera présent</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062A26"/>
          </w:tcPr>
          <w:p>
            <w:pPr>
              <w:spacing w:after="40"/>
            </w:pPr>
            <w:r>
              <w:rPr>
                <w:b/>
                <w:color w:val="FFFFFF"/>
                <w:sz w:val="20"/>
              </w:rPr>
              <w:t>Public</w:t>
            </w:r>
          </w:p>
        </w:tc>
        <w:tc>
          <w:tcPr>
            <w:tcW w:type="dxa" w:w="7087"/>
            <w:shd w:val="clear" w:color="auto" w:fill="062A26"/>
          </w:tcPr>
          <w:p>
            <w:pPr>
              <w:spacing w:after="40"/>
            </w:pPr>
            <w:r>
              <w:rPr>
                <w:b/>
                <w:color w:val="FFFFFF"/>
                <w:sz w:val="20"/>
              </w:rPr>
              <w:t>Ce qu'il vient chercher</w:t>
            </w:r>
          </w:p>
        </w:tc>
      </w:tr>
      <w:tr>
        <w:tc>
          <w:tcPr>
            <w:tcW w:type="dxa" w:w="2551"/>
          </w:tcPr>
          <w:p>
            <w:pPr>
              <w:spacing w:after="40"/>
            </w:pPr>
            <w:r>
              <w:rPr>
                <w:b/>
                <w:sz w:val="19"/>
              </w:rPr>
              <w:t>Décideurs publics</w:t>
            </w:r>
            <w:r>
              <w:rPr>
                <w:sz w:val="19"/>
              </w:rPr>
              <w:t xml:space="preserve"> : ministères, agences, collectivités</w:t>
            </w:r>
          </w:p>
        </w:tc>
        <w:tc>
          <w:tcPr>
            <w:tcW w:type="dxa" w:w="7087"/>
          </w:tcPr>
          <w:p>
            <w:pPr>
              <w:spacing w:after="40"/>
            </w:pPr>
            <w:r>
              <w:rPr>
                <w:sz w:val="19"/>
              </w:rPr>
              <w:t>Des solutions éprouvées à déployer dans leurs services</w:t>
            </w:r>
          </w:p>
        </w:tc>
      </w:tr>
      <w:tr>
        <w:tc>
          <w:tcPr>
            <w:tcW w:type="dxa" w:w="2551"/>
            <w:shd w:val="clear" w:color="auto" w:fill="E6F4EF"/>
          </w:tcPr>
          <w:p>
            <w:pPr>
              <w:spacing w:after="40"/>
            </w:pPr>
            <w:r>
              <w:rPr>
                <w:b/>
                <w:sz w:val="19"/>
              </w:rPr>
              <w:t>Entreprises</w:t>
            </w:r>
            <w:r>
              <w:rPr>
                <w:sz w:val="19"/>
              </w:rPr>
              <w:t xml:space="preserve"> : grands groupes, PME, opérateurs</w:t>
            </w:r>
          </w:p>
        </w:tc>
        <w:tc>
          <w:tcPr>
            <w:tcW w:type="dxa" w:w="7087"/>
            <w:shd w:val="clear" w:color="auto" w:fill="E6F4EF"/>
          </w:tcPr>
          <w:p>
            <w:pPr>
              <w:spacing w:after="40"/>
            </w:pPr>
            <w:r>
              <w:rPr>
                <w:sz w:val="19"/>
              </w:rPr>
              <w:t>Des cas d'usage rentables, des partenaires, des talents</w:t>
            </w:r>
          </w:p>
        </w:tc>
      </w:tr>
      <w:tr>
        <w:tc>
          <w:tcPr>
            <w:tcW w:type="dxa" w:w="2551"/>
          </w:tcPr>
          <w:p>
            <w:pPr>
              <w:spacing w:after="40"/>
            </w:pPr>
            <w:r>
              <w:rPr>
                <w:b/>
                <w:sz w:val="19"/>
              </w:rPr>
              <w:t>Partenaires techniques et financiers</w:t>
            </w:r>
          </w:p>
        </w:tc>
        <w:tc>
          <w:tcPr>
            <w:tcW w:type="dxa" w:w="7087"/>
          </w:tcPr>
          <w:p>
            <w:pPr>
              <w:spacing w:after="40"/>
            </w:pPr>
            <w:r>
              <w:rPr>
                <w:sz w:val="19"/>
              </w:rPr>
              <w:t>Des projets prêts à financer, suivis et mesurés</w:t>
            </w:r>
          </w:p>
        </w:tc>
      </w:tr>
      <w:tr>
        <w:tc>
          <w:tcPr>
            <w:tcW w:type="dxa" w:w="2551"/>
            <w:shd w:val="clear" w:color="auto" w:fill="E6F4EF"/>
          </w:tcPr>
          <w:p>
            <w:pPr>
              <w:spacing w:after="40"/>
            </w:pPr>
            <w:r>
              <w:rPr>
                <w:b/>
                <w:sz w:val="19"/>
              </w:rPr>
              <w:t>Startups et chercheurs</w:t>
            </w:r>
          </w:p>
        </w:tc>
        <w:tc>
          <w:tcPr>
            <w:tcW w:type="dxa" w:w="7087"/>
            <w:shd w:val="clear" w:color="auto" w:fill="E6F4EF"/>
          </w:tcPr>
          <w:p>
            <w:pPr>
              <w:spacing w:after="40"/>
            </w:pPr>
            <w:r>
              <w:rPr>
                <w:sz w:val="19"/>
              </w:rPr>
              <w:t>Des clients, des financements, de la visibilité</w:t>
            </w:r>
          </w:p>
        </w:tc>
      </w:tr>
      <w:tr>
        <w:tc>
          <w:tcPr>
            <w:tcW w:type="dxa" w:w="2551"/>
          </w:tcPr>
          <w:p>
            <w:pPr>
              <w:spacing w:after="40"/>
            </w:pPr>
            <w:r>
              <w:rPr>
                <w:b/>
                <w:sz w:val="19"/>
              </w:rPr>
              <w:t>Étudiants et grand public</w:t>
            </w:r>
          </w:p>
        </w:tc>
        <w:tc>
          <w:tcPr>
            <w:tcW w:type="dxa" w:w="7087"/>
          </w:tcPr>
          <w:p>
            <w:pPr>
              <w:spacing w:after="40"/>
            </w:pPr>
            <w:r>
              <w:rPr>
                <w:sz w:val="19"/>
              </w:rPr>
              <w:t>Comprendre l'IA, se former, trouver un emploi</w:t>
            </w:r>
          </w:p>
        </w:tc>
      </w:tr>
      <w:tr>
        <w:tc>
          <w:tcPr>
            <w:tcW w:type="dxa" w:w="2551"/>
            <w:shd w:val="clear" w:color="auto" w:fill="E6F4EF"/>
          </w:tcPr>
          <w:p>
            <w:pPr>
              <w:spacing w:after="40"/>
            </w:pPr>
            <w:r>
              <w:rPr>
                <w:b/>
                <w:sz w:val="19"/>
              </w:rPr>
              <w:t>Presse</w:t>
            </w:r>
            <w:r>
              <w:rPr>
                <w:sz w:val="19"/>
              </w:rPr>
              <w:t xml:space="preserve"> nationale et internationale</w:t>
            </w:r>
          </w:p>
        </w:tc>
        <w:tc>
          <w:tcPr>
            <w:tcW w:type="dxa" w:w="7087"/>
            <w:shd w:val="clear" w:color="auto" w:fill="E6F4EF"/>
          </w:tcPr>
          <w:p>
            <w:pPr>
              <w:spacing w:after="40"/>
            </w:pPr>
            <w:r>
              <w:rPr>
                <w:sz w:val="19"/>
              </w:rPr>
              <w:t>Des annonces, des chiffres, des témoignages</w:t>
            </w:r>
          </w:p>
        </w:tc>
      </w:tr>
    </w:tbl>
    <w:p/>
    <w:p>
      <w:r>
        <w:rPr/>
        <w:t>Objectif de fréquentation : un ordre de grandeur comparable à IMPACT IA 2026, à confirmer avec le Ministère.</w:t>
      </w:r>
    </w:p>
    <w:p>
      <w:pPr>
        <w:keepNext/>
        <w:spacing w:before="320"/>
        <w:pBdr>
          <w:bottom w:val="single" w:sz="12" w:space="3" w:color="FF8A00"/>
        </w:pBdr>
      </w:pPr>
      <w:r>
        <w:rPr>
          <w:b/>
          <w:color w:val="008F7A"/>
          <w:sz w:val="30"/>
        </w:rPr>
        <w:t>5. Les formes de partenariat</w:t>
      </w:r>
    </w:p>
    <w:tbl>
      <w:tblPr>
        <w:tblStyle w:val="TableGrid"/>
        <w:tblW w:type="auto" w:w="0"/>
        <w:tblLayout w:type="fixed"/>
        <w:tblLook w:firstColumn="1" w:firstRow="1" w:lastColumn="0" w:lastRow="0" w:noHBand="0" w:noVBand="1" w:val="04A0"/>
        <w:tblLayout w:type="fixed"/>
      </w:tblPr>
      <w:tblGrid>
        <w:gridCol w:w="3213"/>
        <w:gridCol w:w="3213"/>
        <w:gridCol w:w="3213"/>
      </w:tblGrid>
      <w:tr>
        <w:tc>
          <w:tcPr>
            <w:tcW w:type="dxa" w:w="3213"/>
            <w:shd w:val="clear" w:color="auto" w:fill="062A26"/>
          </w:tcPr>
          <w:p>
            <w:pPr>
              <w:spacing w:after="40"/>
            </w:pPr>
            <w:r>
              <w:rPr>
                <w:b/>
                <w:color w:val="FFFFFF"/>
                <w:sz w:val="20"/>
              </w:rPr>
              <w:t>Niveau</w:t>
            </w:r>
          </w:p>
        </w:tc>
        <w:tc>
          <w:tcPr>
            <w:tcW w:type="dxa" w:w="3213"/>
            <w:shd w:val="clear" w:color="auto" w:fill="062A26"/>
          </w:tcPr>
          <w:p>
            <w:pPr>
              <w:spacing w:after="40"/>
            </w:pPr>
            <w:r>
              <w:rPr>
                <w:b/>
                <w:color w:val="FFFFFF"/>
                <w:sz w:val="20"/>
              </w:rPr>
              <w:t>Pour qui</w:t>
            </w:r>
          </w:p>
        </w:tc>
        <w:tc>
          <w:tcPr>
            <w:tcW w:type="dxa" w:w="3213"/>
            <w:shd w:val="clear" w:color="auto" w:fill="062A26"/>
          </w:tcPr>
          <w:p>
            <w:pPr>
              <w:spacing w:after="40"/>
            </w:pPr>
            <w:r>
              <w:rPr>
                <w:b/>
                <w:color w:val="FFFFFF"/>
                <w:sz w:val="20"/>
              </w:rPr>
              <w:t>Contreparties principales</w:t>
            </w:r>
          </w:p>
        </w:tc>
      </w:tr>
      <w:tr>
        <w:tc>
          <w:tcPr>
            <w:tcW w:type="dxa" w:w="3213"/>
          </w:tcPr>
          <w:p>
            <w:pPr>
              <w:spacing w:after="40"/>
            </w:pPr>
            <w:r>
              <w:rPr>
                <w:b/>
                <w:sz w:val="19"/>
              </w:rPr>
              <w:t>Partenaire stratégique</w:t>
            </w:r>
          </w:p>
        </w:tc>
        <w:tc>
          <w:tcPr>
            <w:tcW w:type="dxa" w:w="3213"/>
          </w:tcPr>
          <w:p>
            <w:pPr>
              <w:spacing w:after="40"/>
            </w:pPr>
            <w:r>
              <w:rPr>
                <w:sz w:val="19"/>
              </w:rPr>
              <w:t>Un à trois partenaires de premier plan</w:t>
            </w:r>
          </w:p>
        </w:tc>
        <w:tc>
          <w:tcPr>
            <w:tcW w:type="dxa" w:w="3213"/>
          </w:tcPr>
          <w:p>
            <w:pPr>
              <w:spacing w:after="40"/>
            </w:pPr>
            <w:r>
              <w:rPr>
                <w:sz w:val="19"/>
              </w:rPr>
              <w:t>Prise de parole en plénière le jour de l'ouverture, logo sur tous les supports, stand de 36 m² en tête de la Clinique IA, engagement annoncé en cérémonie, 20 invitations à la cérémonie</w:t>
            </w:r>
          </w:p>
        </w:tc>
      </w:tr>
      <w:tr>
        <w:tc>
          <w:tcPr>
            <w:tcW w:type="dxa" w:w="3213"/>
            <w:shd w:val="clear" w:color="auto" w:fill="E6F4EF"/>
          </w:tcPr>
          <w:p>
            <w:pPr>
              <w:spacing w:after="40"/>
            </w:pPr>
            <w:r>
              <w:rPr>
                <w:b/>
                <w:sz w:val="19"/>
              </w:rPr>
              <w:t>Partenaire officiel</w:t>
            </w:r>
          </w:p>
        </w:tc>
        <w:tc>
          <w:tcPr>
            <w:tcW w:type="dxa" w:w="3213"/>
            <w:shd w:val="clear" w:color="auto" w:fill="E6F4EF"/>
          </w:tcPr>
          <w:p>
            <w:pPr>
              <w:spacing w:after="40"/>
            </w:pPr>
            <w:r>
              <w:rPr>
                <w:sz w:val="19"/>
              </w:rPr>
              <w:t>Entreprises et institutions engagées</w:t>
            </w:r>
          </w:p>
        </w:tc>
        <w:tc>
          <w:tcPr>
            <w:tcW w:type="dxa" w:w="3213"/>
            <w:shd w:val="clear" w:color="auto" w:fill="E6F4EF"/>
          </w:tcPr>
          <w:p>
            <w:pPr>
              <w:spacing w:after="40"/>
            </w:pPr>
            <w:r>
              <w:rPr>
                <w:sz w:val="19"/>
              </w:rPr>
              <w:t>Intervention dans un panel, stand de 18 m², logo sur la scène et les supports, 10 invitations</w:t>
            </w:r>
          </w:p>
        </w:tc>
      </w:tr>
      <w:tr>
        <w:tc>
          <w:tcPr>
            <w:tcW w:type="dxa" w:w="3213"/>
          </w:tcPr>
          <w:p>
            <w:pPr>
              <w:spacing w:after="40"/>
            </w:pPr>
            <w:r>
              <w:rPr>
                <w:b/>
                <w:sz w:val="19"/>
              </w:rPr>
              <w:t>Partenaire associé</w:t>
            </w:r>
          </w:p>
        </w:tc>
        <w:tc>
          <w:tcPr>
            <w:tcW w:type="dxa" w:w="3213"/>
          </w:tcPr>
          <w:p>
            <w:pPr>
              <w:spacing w:after="40"/>
            </w:pPr>
            <w:r>
              <w:rPr>
                <w:sz w:val="19"/>
              </w:rPr>
              <w:t>Organisations qui veulent être présentes</w:t>
            </w:r>
          </w:p>
        </w:tc>
        <w:tc>
          <w:tcPr>
            <w:tcW w:type="dxa" w:w="3213"/>
          </w:tcPr>
          <w:p>
            <w:pPr>
              <w:spacing w:after="40"/>
            </w:pPr>
            <w:r>
              <w:rPr>
                <w:sz w:val="19"/>
              </w:rPr>
              <w:t>Stand de 9 m², logo sur le site et le programme, 5 invitations</w:t>
            </w:r>
          </w:p>
        </w:tc>
      </w:tr>
      <w:tr>
        <w:tc>
          <w:tcPr>
            <w:tcW w:type="dxa" w:w="3213"/>
            <w:shd w:val="clear" w:color="auto" w:fill="E6F4EF"/>
          </w:tcPr>
          <w:p>
            <w:pPr>
              <w:spacing w:after="40"/>
            </w:pPr>
            <w:r>
              <w:rPr>
                <w:b/>
                <w:sz w:val="19"/>
              </w:rPr>
              <w:t>Partenaire de la Clinique IA ou du Prix</w:t>
            </w:r>
          </w:p>
        </w:tc>
        <w:tc>
          <w:tcPr>
            <w:tcW w:type="dxa" w:w="3213"/>
            <w:shd w:val="clear" w:color="auto" w:fill="E6F4EF"/>
          </w:tcPr>
          <w:p>
            <w:pPr>
              <w:spacing w:after="40"/>
            </w:pPr>
            <w:r>
              <w:rPr>
                <w:sz w:val="19"/>
              </w:rPr>
              <w:t>Un acteur qui porte un dispositif</w:t>
            </w:r>
          </w:p>
        </w:tc>
        <w:tc>
          <w:tcPr>
            <w:tcW w:type="dxa" w:w="3213"/>
            <w:shd w:val="clear" w:color="auto" w:fill="E6F4EF"/>
          </w:tcPr>
          <w:p>
            <w:pPr>
              <w:spacing w:after="40"/>
            </w:pPr>
            <w:r>
              <w:rPr>
                <w:sz w:val="19"/>
              </w:rPr>
              <w:t>Dispositif à son nom (« Prix ACCELERATE IA avec… »), remise du prix sur scène, communication dédiée</w:t>
            </w:r>
          </w:p>
        </w:tc>
      </w:tr>
      <w:tr>
        <w:tc>
          <w:tcPr>
            <w:tcW w:type="dxa" w:w="3213"/>
          </w:tcPr>
          <w:p>
            <w:pPr>
              <w:spacing w:after="40"/>
            </w:pPr>
            <w:r>
              <w:rPr>
                <w:b/>
                <w:sz w:val="19"/>
              </w:rPr>
              <w:t>Partenaire en nature</w:t>
            </w:r>
          </w:p>
        </w:tc>
        <w:tc>
          <w:tcPr>
            <w:tcW w:type="dxa" w:w="3213"/>
          </w:tcPr>
          <w:p>
            <w:pPr>
              <w:spacing w:after="40"/>
            </w:pPr>
            <w:r>
              <w:rPr>
                <w:sz w:val="19"/>
              </w:rPr>
              <w:t>Infrastructure, connectivité, médias, transport</w:t>
            </w:r>
          </w:p>
        </w:tc>
        <w:tc>
          <w:tcPr>
            <w:tcW w:type="dxa" w:w="3213"/>
          </w:tcPr>
          <w:p>
            <w:pPr>
              <w:spacing w:after="40"/>
            </w:pPr>
            <w:r>
              <w:rPr>
                <w:sz w:val="19"/>
              </w:rPr>
              <w:t>Contreparties ajustées à la valeur apportée</w:t>
            </w:r>
          </w:p>
        </w:tc>
      </w:tr>
    </w:tbl>
    <w:p/>
    <w:p>
      <w:r>
        <w:rPr/>
        <w:t xml:space="preserve">Chaque partenaire peut en plus annoncer </w:t>
      </w:r>
      <w:r>
        <w:rPr>
          <w:b/>
        </w:rPr>
        <w:t>un engagement</w:t>
      </w:r>
      <w:r>
        <w:rPr/>
        <w:t xml:space="preserve"> (déploiement, financement, formation), affiché sur le Mur des engagements et repris dans le bilan public.</w:t>
      </w:r>
    </w:p>
    <w:p>
      <w:pPr>
        <w:keepNext/>
        <w:spacing w:before="320"/>
        <w:pBdr>
          <w:bottom w:val="single" w:sz="12" w:space="3" w:color="FF8A00"/>
        </w:pBdr>
      </w:pPr>
      <w:r>
        <w:rPr>
          <w:b/>
          <w:color w:val="008F7A"/>
          <w:sz w:val="30"/>
        </w:rPr>
        <w:t>6. La visibilité offerte</w:t>
      </w:r>
    </w:p>
    <w:p>
      <w:pPr>
        <w:pStyle w:val="ListBullet"/>
      </w:pPr>
      <w:r>
        <w:rPr>
          <w:b/>
        </w:rPr>
        <w:t>Avant l'événement</w:t>
      </w:r>
      <w:r>
        <w:rPr/>
        <w:t xml:space="preserve"> : présence dans la campagne de lancement sur LinkedIn, Facebook, Instagram, X et WhatsApp, à partir de janvier 2027 ; logo sur le site, le flyer et l'invitation numérique.</w:t>
      </w:r>
    </w:p>
    <w:p>
      <w:pPr>
        <w:pStyle w:val="ListBullet"/>
      </w:pPr>
      <w:r>
        <w:rPr>
          <w:b/>
        </w:rPr>
        <w:t>Pendant</w:t>
      </w:r>
      <w:r>
        <w:rPr/>
        <w:t xml:space="preserve"> : logo sur la scène, les écrans, les badges et la signalétique ; stand à la Clinique IA ; prise de parole selon le niveau ; présence dans la retransmission en direct.</w:t>
      </w:r>
    </w:p>
    <w:p>
      <w:pPr>
        <w:pStyle w:val="ListBullet"/>
      </w:pPr>
      <w:r>
        <w:rPr>
          <w:b/>
        </w:rPr>
        <w:t>Après</w:t>
      </w:r>
      <w:r>
        <w:rPr/>
        <w:t xml:space="preserve"> : mention dans le bilan public, la vidéo de clôture et le suivi des engagements à six mois.</w:t>
      </w:r>
    </w:p>
    <w:p>
      <w:pPr>
        <w:keepNext/>
        <w:spacing w:before="320"/>
        <w:pBdr>
          <w:bottom w:val="single" w:sz="12" w:space="3" w:color="FF8A00"/>
        </w:pBdr>
      </w:pPr>
      <w:r>
        <w:rPr>
          <w:b/>
          <w:color w:val="008F7A"/>
          <w:sz w:val="30"/>
        </w:rPr>
        <w:t>7. Calendrier pour les partenaires</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062A26"/>
          </w:tcPr>
          <w:p>
            <w:pPr>
              <w:spacing w:after="40"/>
            </w:pPr>
            <w:r>
              <w:rPr>
                <w:b/>
                <w:color w:val="FFFFFF"/>
                <w:sz w:val="20"/>
              </w:rPr>
              <w:t>Date</w:t>
            </w:r>
          </w:p>
        </w:tc>
        <w:tc>
          <w:tcPr>
            <w:tcW w:type="dxa" w:w="7087"/>
            <w:shd w:val="clear" w:color="auto" w:fill="062A26"/>
          </w:tcPr>
          <w:p>
            <w:pPr>
              <w:spacing w:after="40"/>
            </w:pPr>
            <w:r>
              <w:rPr>
                <w:b/>
                <w:color w:val="FFFFFF"/>
                <w:sz w:val="20"/>
              </w:rPr>
              <w:t>Étape</w:t>
            </w:r>
          </w:p>
        </w:tc>
      </w:tr>
      <w:tr>
        <w:tc>
          <w:tcPr>
            <w:tcW w:type="dxa" w:w="2551"/>
          </w:tcPr>
          <w:p>
            <w:pPr>
              <w:spacing w:after="40"/>
            </w:pPr>
            <w:r>
              <w:rPr>
                <w:b/>
                <w:sz w:val="19"/>
              </w:rPr>
              <w:t>Novembre et décembre 2026</w:t>
            </w:r>
          </w:p>
        </w:tc>
        <w:tc>
          <w:tcPr>
            <w:tcW w:type="dxa" w:w="7087"/>
          </w:tcPr>
          <w:p>
            <w:pPr>
              <w:spacing w:after="40"/>
            </w:pPr>
            <w:r>
              <w:rPr>
                <w:sz w:val="19"/>
              </w:rPr>
              <w:t>Premiers échanges, choix du niveau de partenariat</w:t>
            </w:r>
          </w:p>
        </w:tc>
      </w:tr>
      <w:tr>
        <w:tc>
          <w:tcPr>
            <w:tcW w:type="dxa" w:w="2551"/>
            <w:shd w:val="clear" w:color="auto" w:fill="E6F4EF"/>
          </w:tcPr>
          <w:p>
            <w:pPr>
              <w:spacing w:after="40"/>
            </w:pPr>
            <w:r>
              <w:rPr>
                <w:b/>
                <w:sz w:val="19"/>
              </w:rPr>
              <w:t>12 janvier 2027</w:t>
            </w:r>
          </w:p>
        </w:tc>
        <w:tc>
          <w:tcPr>
            <w:tcW w:type="dxa" w:w="7087"/>
            <w:shd w:val="clear" w:color="auto" w:fill="E6F4EF"/>
          </w:tcPr>
          <w:p>
            <w:pPr>
              <w:spacing w:after="40"/>
            </w:pPr>
            <w:r>
              <w:rPr>
                <w:sz w:val="19"/>
              </w:rPr>
              <w:t>Annonce publique d'ACCELERATE IA : les partenaires stratégiques confirmés y sont cités</w:t>
            </w:r>
          </w:p>
        </w:tc>
      </w:tr>
      <w:tr>
        <w:tc>
          <w:tcPr>
            <w:tcW w:type="dxa" w:w="2551"/>
          </w:tcPr>
          <w:p>
            <w:pPr>
              <w:spacing w:after="40"/>
            </w:pPr>
            <w:r>
              <w:rPr>
                <w:b/>
                <w:sz w:val="19"/>
              </w:rPr>
              <w:t>Mars à mai 2027</w:t>
            </w:r>
          </w:p>
        </w:tc>
        <w:tc>
          <w:tcPr>
            <w:tcW w:type="dxa" w:w="7087"/>
          </w:tcPr>
          <w:p>
            <w:pPr>
              <w:spacing w:after="40"/>
            </w:pPr>
            <w:r>
              <w:rPr>
                <w:sz w:val="19"/>
              </w:rPr>
              <w:t>Signature des conventions, choix des stands</w:t>
            </w:r>
          </w:p>
        </w:tc>
      </w:tr>
      <w:tr>
        <w:tc>
          <w:tcPr>
            <w:tcW w:type="dxa" w:w="2551"/>
            <w:shd w:val="clear" w:color="auto" w:fill="E6F4EF"/>
          </w:tcPr>
          <w:p>
            <w:pPr>
              <w:spacing w:after="40"/>
            </w:pPr>
            <w:r>
              <w:rPr>
                <w:b/>
                <w:sz w:val="19"/>
              </w:rPr>
              <w:t>30 juin 2027</w:t>
            </w:r>
          </w:p>
        </w:tc>
        <w:tc>
          <w:tcPr>
            <w:tcW w:type="dxa" w:w="7087"/>
            <w:shd w:val="clear" w:color="auto" w:fill="E6F4EF"/>
          </w:tcPr>
          <w:p>
            <w:pPr>
              <w:spacing w:after="40"/>
            </w:pPr>
            <w:r>
              <w:rPr>
                <w:sz w:val="19"/>
              </w:rPr>
              <w:t>Clôture des candidatures au Prix</w:t>
            </w:r>
          </w:p>
        </w:tc>
      </w:tr>
      <w:tr>
        <w:tc>
          <w:tcPr>
            <w:tcW w:type="dxa" w:w="2551"/>
          </w:tcPr>
          <w:p>
            <w:pPr>
              <w:spacing w:after="40"/>
            </w:pPr>
            <w:r>
              <w:rPr>
                <w:b/>
                <w:sz w:val="19"/>
              </w:rPr>
              <w:t>Juillet 2027</w:t>
            </w:r>
          </w:p>
        </w:tc>
        <w:tc>
          <w:tcPr>
            <w:tcW w:type="dxa" w:w="7087"/>
          </w:tcPr>
          <w:p>
            <w:pPr>
              <w:spacing w:after="40"/>
            </w:pPr>
            <w:r>
              <w:rPr>
                <w:sz w:val="19"/>
              </w:rPr>
              <w:t>Remise des logos, des intervenants et des engagements annoncés</w:t>
            </w:r>
          </w:p>
        </w:tc>
      </w:tr>
      <w:tr>
        <w:tc>
          <w:tcPr>
            <w:tcW w:type="dxa" w:w="2551"/>
            <w:shd w:val="clear" w:color="auto" w:fill="E6F4EF"/>
          </w:tcPr>
          <w:p>
            <w:pPr>
              <w:spacing w:after="40"/>
            </w:pPr>
            <w:r>
              <w:rPr>
                <w:b/>
                <w:sz w:val="19"/>
              </w:rPr>
              <w:t>8 au 10 septembre 2027</w:t>
            </w:r>
          </w:p>
        </w:tc>
        <w:tc>
          <w:tcPr>
            <w:tcW w:type="dxa" w:w="7087"/>
            <w:shd w:val="clear" w:color="auto" w:fill="E6F4EF"/>
          </w:tcPr>
          <w:p>
            <w:pPr>
              <w:spacing w:after="40"/>
            </w:pPr>
            <w:r>
              <w:rPr>
                <w:sz w:val="19"/>
              </w:rPr>
              <w:t>ACCELERATE IA</w:t>
            </w:r>
          </w:p>
        </w:tc>
      </w:tr>
      <w:tr>
        <w:tc>
          <w:tcPr>
            <w:tcW w:type="dxa" w:w="2551"/>
          </w:tcPr>
          <w:p>
            <w:pPr>
              <w:spacing w:after="40"/>
            </w:pPr>
            <w:r>
              <w:rPr>
                <w:b/>
                <w:sz w:val="19"/>
              </w:rPr>
              <w:t>Mars 2028</w:t>
            </w:r>
          </w:p>
        </w:tc>
        <w:tc>
          <w:tcPr>
            <w:tcW w:type="dxa" w:w="7087"/>
          </w:tcPr>
          <w:p>
            <w:pPr>
              <w:spacing w:after="40"/>
            </w:pPr>
            <w:r>
              <w:rPr>
                <w:sz w:val="19"/>
              </w:rPr>
              <w:t>Point public sur les engagements, six mois après</w:t>
            </w:r>
          </w:p>
        </w:tc>
      </w:tr>
    </w:tbl>
    <w:p/>
    <w:p>
      <w:pPr>
        <w:keepNext/>
        <w:spacing w:before="320"/>
        <w:pBdr>
          <w:bottom w:val="single" w:sz="12" w:space="3" w:color="FF8A00"/>
        </w:pBdr>
      </w:pPr>
      <w:r>
        <w:rPr>
          <w:b/>
          <w:color w:val="008F7A"/>
          <w:sz w:val="30"/>
        </w:rPr>
        <w:t>8. Contact</w:t>
      </w:r>
    </w:p>
    <w:p>
      <w:r>
        <w:rPr/>
        <w:t>Comité d'organisation d'ACCELERATE IA, Ministère de la Transition Numérique et de l'Innovation Technologique, avec Mstudio, prestataire chargé de la conception et de l'organisation.</w:t>
      </w:r>
    </w:p>
    <w:sectPr w:rsidR="00FC693F" w:rsidRPr="0006063C" w:rsidSect="00034616">
      <w:headerReference w:type="default" r:id="rId10"/>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62A26"/>
        <w:sz w:val="17"/>
      </w:rPr>
      <w:t xml:space="preserve">ACCELERATE IA 2027 · Note de concept pour les partenaires   ·   </w:t>
    </w:r>
    <w:r>
      <w:fldChar w:fldCharType="begin"/>
    </w:r>
    <w:r>
      <w:instrText xml:space="preserve">PAGE</w:instrText>
    </w:r>
    <w:r>
      <w:fldChar w:fldCharType="end"/>
    </w:r>
    <w:r>
      <w:t xml:space="preserve"> / </w:t>
    </w:r>
    <w:r>
      <w:fldChar w:fldCharType="begin"/>
    </w:r>
    <w:r>
      <w:instrText xml:space="preserve">NUMPAGES</w:instrText>
    </w:r>
    <w:r>
      <w:fldChar w:fldCharType="end"/>
    </w:r>
    <w:r>
      <w:rPr>
        <w:color w:val="008F7A"/>
        <w:sz w:val="16"/>
      </w:rPr>
      <w:t>ACCELERATE IA 2027 · Ministère de la Transition Numérique et de l'Innovation Technologique · Mstudio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1072" cy="324000"/>
          <wp:docPr id="1" name="Picture 1"/>
          <wp:cNvGraphicFramePr>
            <a:graphicFrameLocks noChangeAspect="1"/>
          </wp:cNvGraphicFramePr>
          <a:graphic>
            <a:graphicData uri="http://schemas.openxmlformats.org/drawingml/2006/picture">
              <pic:pic>
                <pic:nvPicPr>
                  <pic:cNvPr id="0" name="logo-ministere.jpg"/>
                  <pic:cNvPicPr/>
                </pic:nvPicPr>
                <pic:blipFill>
                  <a:blip r:embed="rId1"/>
                  <a:stretch>
                    <a:fillRect/>
                  </a:stretch>
                </pic:blipFill>
                <pic:spPr>
                  <a:xfrm>
                    <a:off x="0" y="0"/>
                    <a:ext cx="1091072" cy="324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Inter" w:hAnsi="Inter" w:eastAsia="Inter"/>
      <w:color w:val="06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jpg"/><Relationship Id="rId13"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