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20000" cy="23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e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color w:val="FF8A00"/>
          <w:sz w:val="23"/>
        </w:rPr>
        <w:t>3e édition des assises nationales sur l'intelligence artificielle, dans la continuité d'IMPACT IA 2026</w:t>
      </w:r>
    </w:p>
    <w:p>
      <w:r>
        <w:rPr/>
        <w:t>Ministère de la Transition Numérique et de l'Innovation Technologique. Conception et organisation : Mstudio. Version de travail du 24 octobre 2026.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Synthèse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370"/>
      </w:tblGrid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L'idée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En 2026, IMPACT IA a fait passer le pays « de la vision aux cas d'usage » : 77 cas d'usage prioritaires retenus et le Pacte de l'Alliance nationale pour l'IA signé. En 2027, ACCELERATE IA fait passer ces cas d'usage au déploiement, et montre ce qui tourne déjà.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Thème proposé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« Des cas d'usage au déploiement : accélérer l'IA au service des Ivoiriens »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Trois jours, en septembre 2027, même ampleur qu'IMPACT IA : une journée de travail à huis clos, deux journées ouvertes avec cérémonie, panels, masterclasses et exposition.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Promesse au public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Venir voir des solutions qui fonctionnent, rencontrer ceux qui les financent et repartir avec un projet engagé.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Preuve centrale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Le « Bilan des 77 » : un état public, cas par cas, de l'avancement des cas d'usage retenus en 2026, présenté le jour de l'ouverture.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Communication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Une campagne en quatre temps sur 11 mois : annonce, mobilisation, montée en puissance, puis exploitation des résultats jusqu'à fin novembre 2027.</w:t>
            </w:r>
          </w:p>
        </w:tc>
      </w:tr>
    </w:tbl>
    <w:p/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Sommaire</w:t>
      </w:r>
    </w:p>
    <w:p>
      <w:pPr>
        <w:pStyle w:val="ListNumber"/>
      </w:pPr>
      <w:r>
        <w:rPr/>
        <w:t>Point de départ : ce qu'IMPACT IA 2026 a laissé</w:t>
      </w:r>
    </w:p>
    <w:p>
      <w:pPr>
        <w:pStyle w:val="ListNumber"/>
      </w:pPr>
      <w:r>
        <w:rPr/>
        <w:t>Positionnement d'ACCELERATE IA 2027</w:t>
      </w:r>
    </w:p>
    <w:p>
      <w:pPr>
        <w:pStyle w:val="ListNumber"/>
      </w:pPr>
      <w:r>
        <w:rPr/>
        <w:t>Objectifs et indicateurs de réussite</w:t>
      </w:r>
    </w:p>
    <w:p>
      <w:pPr>
        <w:pStyle w:val="ListNumber"/>
      </w:pPr>
      <w:r>
        <w:rPr/>
        <w:t>Les publics et ce que chacun vient chercher</w:t>
      </w:r>
    </w:p>
    <w:p>
      <w:pPr>
        <w:pStyle w:val="ListNumber"/>
      </w:pPr>
      <w:r>
        <w:rPr/>
        <w:t>Le format et le programme type</w:t>
      </w:r>
    </w:p>
    <w:p>
      <w:pPr>
        <w:pStyle w:val="ListNumber"/>
      </w:pPr>
      <w:r>
        <w:rPr/>
        <w:t>Les dispositifs signature</w:t>
      </w:r>
    </w:p>
    <w:p>
      <w:pPr>
        <w:pStyle w:val="ListNumber"/>
      </w:pPr>
      <w:r>
        <w:rPr/>
        <w:t>Identité et ton</w:t>
      </w:r>
    </w:p>
    <w:p>
      <w:pPr>
        <w:pStyle w:val="ListNumber"/>
      </w:pPr>
      <w:r>
        <w:rPr/>
        <w:t>Plan de communication : avant, pendant, après</w:t>
      </w:r>
    </w:p>
    <w:p>
      <w:pPr>
        <w:pStyle w:val="ListNumber"/>
      </w:pPr>
      <w:r>
        <w:rPr/>
        <w:t>Dispositif canal par canal</w:t>
      </w:r>
    </w:p>
    <w:p>
      <w:pPr>
        <w:pStyle w:val="ListNumber"/>
      </w:pPr>
      <w:r>
        <w:rPr/>
        <w:t>Partenaires et sponsoring</w:t>
      </w:r>
    </w:p>
    <w:p>
      <w:pPr>
        <w:pStyle w:val="ListNumber"/>
      </w:pPr>
      <w:r>
        <w:rPr/>
        <w:t>Rétroplanning</w:t>
      </w:r>
    </w:p>
    <w:p>
      <w:pPr>
        <w:pStyle w:val="ListNumber"/>
      </w:pPr>
      <w:r>
        <w:rPr/>
        <w:t>Risques et parades</w:t>
      </w:r>
    </w:p>
    <w:p>
      <w:pPr>
        <w:pStyle w:val="ListNumber"/>
      </w:pPr>
      <w:r>
        <w:rPr/>
        <w:t>Prochaines étapes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51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farm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1. Point de départ : ce qu'IMPACT IA 2026 a laissé</w:t>
      </w:r>
    </w:p>
    <w:p>
      <w:r>
        <w:rPr/>
        <w:t>IMPACT IA, 2e édition des assises nationales sur l'IA, s'est tenue du 9 au 11 septembre 2026 à Latrille Events (Deux Plateaux, Abidjan), sous le haut patronage du Premier Ministre Robert Beugré Mambé, sur le thème « De la vision aux cas d'usage : structurer l'IA nationale pour résoudre nos défis prioritaires ».</w:t>
      </w:r>
    </w:p>
    <w:p>
      <w:pPr>
        <w:keepNext/>
      </w:pPr>
      <w:r>
        <w:rPr>
          <w:b/>
          <w:color w:val="FF8A00"/>
          <w:sz w:val="23"/>
        </w:rPr>
        <w:t>Ce que l'édition 2026 a produit</w:t>
      </w:r>
    </w:p>
    <w:p>
      <w:pPr>
        <w:pStyle w:val="ListBullet"/>
      </w:pPr>
      <w:r>
        <w:rPr/>
        <w:t>77 cas d'usage prioritaires identifiés dans l'administration publique, l'agriculture, la santé, l'éducation et les services aux populations.</w:t>
      </w:r>
    </w:p>
    <w:p>
      <w:pPr>
        <w:pStyle w:val="ListBullet"/>
      </w:pPr>
      <w:r>
        <w:rPr/>
        <w:t>Le Pacte de l'Alliance nationale pour l'IA, signé par le Ministère, la CGECI et la Chambre de commerce et d'industrie : données, infrastructures, formation, recherche, usage éthique.</w:t>
      </w:r>
    </w:p>
    <w:p>
      <w:pPr>
        <w:pStyle w:val="ListBullet"/>
      </w:pPr>
      <w:r>
        <w:rPr/>
        <w:t>La présentation du Plan d'accélération 2026-2028 du Ministère : 40 projets prioritaires sur sept piliers, dont cinq initiatives consacrées à l'IA.</w:t>
      </w:r>
    </w:p>
    <w:p>
      <w:pPr>
        <w:pStyle w:val="ListBullet"/>
      </w:pPr>
      <w:r>
        <w:rPr/>
        <w:t>Un format qui a fonctionné : un jour d'ateliers par secteur à huis clos, deux jours ouverts, une exposition de 600 m² (la Clinique IA), cinq ministres co-parrains.</w:t>
      </w:r>
    </w:p>
    <w:p>
      <w:pPr>
        <w:keepNext/>
      </w:pPr>
      <w:r>
        <w:rPr>
          <w:b/>
          <w:color w:val="FF8A00"/>
          <w:sz w:val="23"/>
        </w:rPr>
        <w:t>Ce que la 3e édition doit régler</w:t>
      </w:r>
    </w:p>
    <w:p>
      <w:pPr>
        <w:pStyle w:val="ListBullet"/>
      </w:pPr>
      <w:r>
        <w:rPr/>
        <w:t>Le message du Ministère à la clôture était clair : passer aux résultats mesurables. Une 3e édition qui redécouvrirait des cas d'usage décevrait. Elle doit rendre des comptes et montrer des déploiements.</w:t>
      </w:r>
    </w:p>
    <w:p>
      <w:pPr>
        <w:pStyle w:val="ListBullet"/>
      </w:pPr>
      <w:r>
        <w:rPr/>
        <w:t>Le grand public a peu de prise sur une conférence de décideurs. Pour que l'IA « au service des Ivoiriens » se voie, il faut des preuves visibles : un agent public qui gagne du temps, un planteur qui reçoit une alerte, un centre de santé qui ne manque plus de médicaments.</w:t>
      </w:r>
    </w:p>
    <w:p>
      <w:pPr>
        <w:pStyle w:val="ListBullet"/>
      </w:pPr>
      <w:r>
        <w:rPr/>
        <w:t>Le nom change. « ACCELERATE IA » doit être présenté dès la première prise de parole comme la suite directe d'IMPACT IA, pour garder l'acquis de deux éditions.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2. Positionnement d'ACCELERATE IA 2027</w:t>
      </w:r>
    </w:p>
    <w:p>
      <w:pPr>
        <w:keepNext/>
      </w:pPr>
      <w:r>
        <w:rPr>
          <w:b/>
          <w:color w:val="FF8A00"/>
          <w:sz w:val="23"/>
        </w:rPr>
        <w:t>La progression des trois éditions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Édition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qu'elle a fait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1re assises nationales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2025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Poser la vision et la Stratégie nationale de l'IA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IMPACT IA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2026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Passer de la vision aux cas d'usage (77 retenus)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ACCELERATE IA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2027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Passer des cas d'usage au déploiement et au financement</w:t>
            </w:r>
          </w:p>
        </w:tc>
      </w:tr>
    </w:tbl>
    <w:p/>
    <w:p>
      <w:pPr>
        <w:keepNext/>
      </w:pPr>
      <w:r>
        <w:rPr>
          <w:b/>
          <w:color w:val="FF8A00"/>
          <w:sz w:val="23"/>
        </w:rPr>
        <w:t>Le positionnement en une phrase</w:t>
      </w:r>
    </w:p>
    <w:p>
      <w:r>
        <w:rPr/>
        <w:t>ACCELERATE IA est le rendez-vous où la Côte d'Ivoire montre l'IA qui fonctionne déjà chez elle et engage les moyens pour la déployer partout.</w:t>
      </w:r>
    </w:p>
    <w:p>
      <w:pPr>
        <w:keepNext/>
      </w:pPr>
      <w:r>
        <w:rPr>
          <w:b/>
          <w:color w:val="FF8A00"/>
          <w:sz w:val="23"/>
        </w:rPr>
        <w:t>Trois partis pris</w:t>
      </w:r>
    </w:p>
    <w:p>
      <w:pPr>
        <w:pStyle w:val="ListNumber"/>
      </w:pPr>
      <w:r>
        <w:rPr>
          <w:b/>
        </w:rPr>
        <w:t>Rendre des comptes.</w:t>
      </w:r>
      <w:r>
        <w:rPr/>
        <w:t xml:space="preserve"> L'événement s'ouvre sur l'état d'avancement des 77 cas d'usage. C'est ce qui le rend crédible auprès des partenaires et de la presse.</w:t>
      </w:r>
    </w:p>
    <w:p>
      <w:pPr>
        <w:pStyle w:val="ListNumber"/>
      </w:pPr>
      <w:r>
        <w:rPr>
          <w:b/>
        </w:rPr>
        <w:t>Montrer plutôt que dire.</w:t>
      </w:r>
      <w:r>
        <w:rPr/>
        <w:t xml:space="preserve"> Chaque panel s'appuie sur un déploiement réel, présenté par ceux qui l'utilisent, et pas seulement par ceux qui le vendent.</w:t>
      </w:r>
    </w:p>
    <w:p>
      <w:pPr>
        <w:pStyle w:val="ListNumber"/>
      </w:pPr>
      <w:r>
        <w:rPr>
          <w:b/>
        </w:rPr>
        <w:t>Faire repartir avec un engagement.</w:t>
      </w:r>
      <w:r>
        <w:rPr/>
        <w:t xml:space="preserve"> Financement, convention, recrutement, pilote : chaque participant clé quitte ACCELERATE IA avec un acte signé ou daté.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3. Objectifs et indicateurs de réussite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Cible proposée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Rendre visible l'avancement des 77 cas d'usage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Part des cas d'usage dont l'état est publié avant l'ouverture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100 %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Engager des déploiements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Conventions, pilotes ou financements annoncés pendant l'événement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15 engagements signés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Mobiliser l'écosystème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Participants inscrits et présents sur les deux journées ouvertes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Au moins le niveau de 2026, chiffré avec le bilan IMPACT IA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Associer le secteur privé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Entreprises signataires de l'Alliance présentes avec un projet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Toutes les organisations signataires représentées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Faire émerger les solutions locales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Startups et laboratoires ivoiriens présents en exposition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40 exposants, dont la moitié de structures ivoiriennes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Toucher le grand public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Personnes atteintes en ligne pendant la campagne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2 millions de personnes uniques sur les réseaux du Ministère et des partenaires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Installer la marque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Retombées presse nationales et panafricaines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150 articles et reportages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Prolonger après l'événement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Livre blanc publié et feuille de route 2028 diffusée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Publication avant le 15 octobre 2027</w:t>
            </w:r>
          </w:p>
        </w:tc>
      </w:tr>
    </w:tbl>
    <w:p/>
    <w:p>
      <w:r>
        <w:rPr/>
        <w:t>Ces cibles se fixent définitivement avec le Ministère, une fois connus les chiffres réels de fréquentation et de retombées d'IMPACT IA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51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tea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4. Les publics et ce que chacun vient chercher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Public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qu'il vient chercher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lui demande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Comment on le touche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Gouvernement et administrations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Montrer les résultats, trouver des solutions à déployer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Présenter l'état de ses cas d'usage, signer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Invitation officielle, réunions préparatoires, cabinets des ministres co-parrains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Grandes entreprises (CGECI, CCI)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Gagner en productivité, être vues comme moteurs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Venir avec un projet, cofinancer, sponsoriser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CGECI, CCI, rendez-vous individuels, offre de partenariat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Partenaires techniques et financiers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Projets prêts à financer, cadre fiable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Annoncer des financements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Note de concept dédiée, rencontres en amont, séance de financement à huis clos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Startups et intégrateurs ivoiriens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Clients, visibilité, financement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Exposer, candidater au Prix ACCELERATE IA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Appel à candidatures, incubateurs, réseaux tech, LinkedIn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Universités et chercheurs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Données, partenariats, débouchés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Présenter des travaux appliqués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Universités, grandes écoles, laboratoires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Étudiants et jeunes talents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Compétences, emplois, inspiration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S'inscrire aux masterclasses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Facebook, TikTok, Instagram, clubs étudiants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Presse et médias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Annonces, chiffres, témoignages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Couvrir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Dossier de presse, accréditations, espace presse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Grand public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Comprendre ce que l'IA change dans sa vie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Suivre, partager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Facebook, WhatsApp, radio, vidéos courtes de témoins</w:t>
            </w:r>
          </w:p>
        </w:tc>
      </w:tr>
    </w:tbl>
    <w:p/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5. Le format et le programme type</w:t>
      </w:r>
    </w:p>
    <w:p>
      <w:r>
        <w:rPr>
          <w:b/>
        </w:rPr>
        <w:t>Hypothèse de date et de lieu.</w:t>
      </w:r>
      <w:r>
        <w:rPr/>
        <w:t xml:space="preserve"> Du mercredi 8 au vendredi 10 septembre 2027, soit le même calendrier qu'IMPACT IA, un an après. Lieu de même capacité que Latrille Events, avec un espace d'exposition d'au moins 600 m².</w:t>
      </w:r>
    </w:p>
    <w:p>
      <w:pPr>
        <w:keepNext/>
      </w:pPr>
      <w:r>
        <w:rPr>
          <w:b/>
          <w:color w:val="FF8A00"/>
          <w:sz w:val="23"/>
        </w:rPr>
        <w:t>Jour 1, mercredi : « Revue des 77 » (huis clos)</w:t>
      </w:r>
    </w:p>
    <w:p>
      <w:pPr>
        <w:pStyle w:val="ListBullet"/>
      </w:pPr>
      <w:r>
        <w:rPr/>
        <w:t>Accueil des ministères sectoriels, des signataires de l'Alliance et des partenaires financiers.</w:t>
      </w:r>
    </w:p>
    <w:p>
      <w:pPr>
        <w:pStyle w:val="ListBullet"/>
      </w:pPr>
      <w:r>
        <w:rPr/>
        <w:t>Ateliers par secteur : pour chaque cas d'usage, ce qui est déployé, ce qui bloque, ce qu'il faut pour passer à l'échelle.</w:t>
      </w:r>
    </w:p>
    <w:p>
      <w:pPr>
        <w:pStyle w:val="ListBullet"/>
      </w:pPr>
      <w:r>
        <w:rPr/>
        <w:t>Séance de financement : présentation des projets prêts aux partenaires financiers.</w:t>
      </w:r>
    </w:p>
    <w:p>
      <w:pPr>
        <w:pStyle w:val="ListBullet"/>
      </w:pPr>
      <w:r>
        <w:rPr/>
        <w:t>Atelier secteur privé : un an d'Alliance nationale, bilan et engagements 2028.</w:t>
      </w:r>
    </w:p>
    <w:p>
      <w:pPr>
        <w:keepNext/>
      </w:pPr>
      <w:r>
        <w:rPr>
          <w:b/>
          <w:color w:val="FF8A00"/>
          <w:sz w:val="23"/>
        </w:rPr>
        <w:t>Jour 2, jeudi : cérémonie officielle et ouverture au public</w:t>
      </w:r>
    </w:p>
    <w:p>
      <w:pPr>
        <w:pStyle w:val="ListBullet"/>
      </w:pPr>
      <w:r>
        <w:rPr/>
        <w:t>Cérémonie d'ouverture sous haut patronage, présentation publique du Bilan des 77.</w:t>
      </w:r>
    </w:p>
    <w:p>
      <w:pPr>
        <w:pStyle w:val="ListBullet"/>
      </w:pPr>
      <w:r>
        <w:rPr/>
        <w:t>Panel ministériel : « Ce que l'IA a changé dans nos services en un an ».</w:t>
      </w:r>
    </w:p>
    <w:p>
      <w:pPr>
        <w:pStyle w:val="ListBullet"/>
      </w:pPr>
      <w:r>
        <w:rPr/>
        <w:t>Ouverture de l'exposition et des démonstrations en direct.</w:t>
      </w:r>
    </w:p>
    <w:p>
      <w:pPr>
        <w:pStyle w:val="ListBullet"/>
      </w:pPr>
      <w:r>
        <w:rPr/>
        <w:t>Masterclasses en parallèle (données, IA dans l'administration, IA agricole, santé numérique, compétences).</w:t>
      </w:r>
    </w:p>
    <w:p>
      <w:pPr>
        <w:pStyle w:val="ListBullet"/>
      </w:pPr>
      <w:r>
        <w:rPr/>
        <w:t>Demi-finale du Prix ACCELERATE IA.</w:t>
      </w:r>
    </w:p>
    <w:p>
      <w:pPr>
        <w:keepNext/>
      </w:pPr>
      <w:r>
        <w:rPr>
          <w:b/>
          <w:color w:val="FF8A00"/>
          <w:sz w:val="23"/>
        </w:rPr>
        <w:t>Jour 3, vendredi : engagements et clôture</w:t>
      </w:r>
    </w:p>
    <w:p>
      <w:pPr>
        <w:pStyle w:val="ListBullet"/>
      </w:pPr>
      <w:r>
        <w:rPr/>
        <w:t>Table ronde des décideurs : financer et déployer à l'échelle nationale.</w:t>
      </w:r>
    </w:p>
    <w:p>
      <w:pPr>
        <w:pStyle w:val="ListBullet"/>
      </w:pPr>
      <w:r>
        <w:rPr/>
        <w:t>Séance de signatures : conventions, pilotes, financements.</w:t>
      </w:r>
    </w:p>
    <w:p>
      <w:pPr>
        <w:pStyle w:val="ListBullet"/>
      </w:pPr>
      <w:r>
        <w:rPr/>
        <w:t>Finale et remise du Prix ACCELERATE IA.</w:t>
      </w:r>
    </w:p>
    <w:p>
      <w:pPr>
        <w:pStyle w:val="ListBullet"/>
      </w:pPr>
      <w:r>
        <w:rPr/>
        <w:t>Annonce de la feuille de route 2028, cérémonie et cocktail de clôture.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6. Les dispositifs signature</w:t>
      </w:r>
    </w:p>
    <w:p>
      <w:r>
        <w:rPr>
          <w:b/>
        </w:rPr>
        <w:t>Le Bilan des 77.</w:t>
      </w:r>
      <w:r>
        <w:rPr/>
        <w:t xml:space="preserve"> Une fiche par cas d'usage (secteur, porteur, état d'avancement, prochaine étape), compilée avec les ministères sectoriels de mars à juin 2027, publiée en ligne et présentée à l'ouverture. Un affichage sur l'espace d'exposition donne la progression d'ensemble.</w:t>
      </w:r>
    </w:p>
    <w:p>
      <w:r>
        <w:rPr>
          <w:b/>
        </w:rPr>
        <w:t>La Clinique IA, version déploiement.</w:t>
      </w:r>
      <w:r>
        <w:rPr/>
        <w:t xml:space="preserve"> L'exposition est organisée par secteur, et chaque stand associe une solution et son utilisateur réel. Le visiteur voit le même parcours dans chaque allée : le problème, la solution, le résultat mesuré.</w:t>
      </w:r>
    </w:p>
    <w:p>
      <w:r>
        <w:rPr>
          <w:b/>
        </w:rPr>
        <w:t>Le Prix ACCELERATE IA.</w:t>
      </w:r>
      <w:r>
        <w:rPr/>
        <w:t xml:space="preserve"> Un appel à candidatures ouvert de mars à juin 2027 aux startups, laboratoires et équipes publiques qui ont déployé une solution d'IA en Côte d'Ivoire. Une catégorie par secteur prioritaire et un prix « administration ». Les finalistes nourrissent la campagne pendant tout l'été.</w:t>
      </w:r>
    </w:p>
    <w:p>
      <w:r>
        <w:rPr>
          <w:b/>
        </w:rPr>
        <w:t>Les Témoins de l'IA.</w:t>
      </w:r>
      <w:r>
        <w:rPr/>
        <w:t xml:space="preserve"> Une série de portraits vidéo courts tournés sur le terrain : un agent public, une infirmière, un planteur, un enseignant, un dirigeant de PME. C'est le cœur de la communication grand public.</w:t>
      </w:r>
    </w:p>
    <w:p>
      <w:r>
        <w:rPr>
          <w:b/>
        </w:rPr>
        <w:t>Le Mur des engagements.</w:t>
      </w:r>
      <w:r>
        <w:rPr/>
        <w:t xml:space="preserve"> Chaque engagement signé pendant les trois jours s'affiche sur un écran dans le hall et en ligne. Il sert de base au communiqué de clôture.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51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han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7. Identité et ton</w:t>
      </w:r>
    </w:p>
    <w:p>
      <w:r>
        <w:rPr>
          <w:b/>
        </w:rPr>
        <w:t>Identité visuelle.</w:t>
      </w:r>
      <w:r>
        <w:rPr/>
        <w:t xml:space="preserve"> ACCELERATE IA reprend la famille de couleurs d'IMPACT IA (vert et orange, à l'image des couleurs nationales) pour que le lien entre les éditions se voie au premier regard. On y ajoute un signe graphique de vitesse ou de progression : flèche, trajectoire, jauge qui monte. Le logo, la déclinaison graphique et le kit visuel font l'objet d'une proposition dédiée.</w:t>
      </w:r>
    </w:p>
    <w:p>
      <w:r>
        <w:rPr>
          <w:b/>
        </w:rPr>
        <w:t>Ton.</w:t>
      </w:r>
      <w:r>
        <w:rPr/>
        <w:t xml:space="preserve"> Sobre, concret, chiffré. On cite un résultat avant une ambition, un témoin avant un expert, et chaque message dit ce qui a été fait, par qui et pour qui.</w:t>
      </w:r>
    </w:p>
    <w:p>
      <w:r>
        <w:rPr>
          <w:b/>
        </w:rPr>
        <w:t>Signature proposée.</w:t>
      </w:r>
      <w:r>
        <w:rPr/>
        <w:t xml:space="preserve"> « ACCELERATE IA : l'IA ivoirienne passe à l'échelle. »</w:t>
      </w:r>
    </w:p>
    <w:p>
      <w:r>
        <w:rPr>
          <w:b/>
        </w:rPr>
        <w:t>Mots à privilégier</w:t>
      </w:r>
      <w:r>
        <w:rPr/>
        <w:t xml:space="preserve"> : déployé, en service, mesuré, financé, signé, à l'échelle.</w:t>
      </w:r>
    </w:p>
    <w:p>
      <w:r>
        <w:rPr>
          <w:b/>
        </w:rPr>
        <w:t>Mots à éviter</w:t>
      </w:r>
      <w:r>
        <w:rPr/>
        <w:t xml:space="preserve"> : révolution, futur, disruption, et les promesses sans date.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8. Plan de communication : avant, pendant, après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Période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Temps forts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1. Annonce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Janvier à février 2027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Installer le nom et la date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 officielle du Ministère, lancement du site, « Réservez la date », note de concept aux partenaires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2. Mobilisation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Mars à juin 2027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Recruter les participants clés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Ouverture des inscriptions, appel à candidatures du Prix, appel à exposants, offre de partenariat, premiers intervenants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3. Montée en puissance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Juillet au 7 septembre 2027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Remplir la salle et faire monter l'attente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Programme complet, finalistes du Prix, Témoins de l'IA, conférence de presse à J-10, accréditations presse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4. Jours J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8 au 10 septembre 2027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Faire vivre l'événement au-delà de la salle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Retransmission en direct, publications en temps réel, Mur des engagements, points presse quotidiens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5. Exploitation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11 septembre à fin novembre 2027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Transformer l'événement en résultats durables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Communiqué de clôture à J+1, vidéo bilan à J+7, livre blanc et feuille de route 2028, suivi public des engagements</w:t>
            </w:r>
          </w:p>
        </w:tc>
      </w:tr>
    </w:tbl>
    <w:p/>
    <w:p>
      <w:pPr>
        <w:keepNext/>
      </w:pPr>
      <w:r>
        <w:rPr>
          <w:b/>
          <w:color w:val="FF8A00"/>
          <w:sz w:val="23"/>
        </w:rPr>
        <w:t>Les messages par phase</w:t>
      </w:r>
    </w:p>
    <w:p>
      <w:pPr>
        <w:pStyle w:val="ListBullet"/>
      </w:pPr>
      <w:r>
        <w:rPr>
          <w:b/>
        </w:rPr>
        <w:t>Annonce</w:t>
      </w:r>
      <w:r>
        <w:rPr/>
        <w:t xml:space="preserve"> : « Un an après IMPACT IA, rendez-vous pour accélérer. »</w:t>
      </w:r>
    </w:p>
    <w:p>
      <w:pPr>
        <w:pStyle w:val="ListBullet"/>
      </w:pPr>
      <w:r>
        <w:rPr>
          <w:b/>
        </w:rPr>
        <w:t>Mobilisation</w:t>
      </w:r>
      <w:r>
        <w:rPr/>
        <w:t xml:space="preserve"> : « Vous avez déployé l'IA ? Venez le montrer. »</w:t>
      </w:r>
    </w:p>
    <w:p>
      <w:pPr>
        <w:pStyle w:val="ListBullet"/>
      </w:pPr>
      <w:r>
        <w:rPr>
          <w:b/>
        </w:rPr>
        <w:t>Montée en puissance</w:t>
      </w:r>
      <w:r>
        <w:rPr/>
        <w:t xml:space="preserve"> : « 77 cas d'usage : venez voir où ils en sont. »</w:t>
      </w:r>
    </w:p>
    <w:p>
      <w:pPr>
        <w:pStyle w:val="ListBullet"/>
      </w:pPr>
      <w:r>
        <w:rPr>
          <w:b/>
        </w:rPr>
        <w:t>Jours J</w:t>
      </w:r>
      <w:r>
        <w:rPr/>
        <w:t xml:space="preserve"> : « En direct d'ACCELERATE IA : ce qui a été signé aujourd'hui. »</w:t>
      </w:r>
    </w:p>
    <w:p>
      <w:pPr>
        <w:pStyle w:val="ListBullet"/>
      </w:pPr>
      <w:r>
        <w:rPr>
          <w:b/>
        </w:rPr>
        <w:t>Exploitation</w:t>
      </w:r>
      <w:r>
        <w:rPr/>
        <w:t xml:space="preserve"> : « Ce que nous avons engagé ensemble, et comment nous le suivrons. »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9. Dispositif canal par canal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Contenus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Rythme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Site de l'événement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Référence et inscriptions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Programme, intervenants, Bilan des 77, inscriptions, accréditations, partenaires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Ouvert dès l'annonce, mis à jour chaque semaine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LinkedIn (Ministère, partenaires, intervenants)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Décideurs, entreprises, partenaires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Annonces, portraits d'intervenants, fiches de cas d'usage, appels à candidatures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3 publications par semaine, 1 par jour le dernier mois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Facebook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Grand public et jeunes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Témoins de l'IA, vidéos courtes, jeux de questions, directs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3 par semaine, directs pendant l'événement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Instagram et TikTok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Étudiants et jeunes talents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Formats verticaux, coulisses, masterclasses, finalistes du Prix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2 à 3 par semaine à partir de juillet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X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Presse et institutions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Annonces officielles, citations, fil en direct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Aux temps forts et en continu les trois jours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WhatsApp (chaîne du Ministère)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Relais rapide et grand public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Rappels, programme du jour, liens des directs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1 message par semaine, 1 par jour pendant l'événement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YouTube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Archive et direct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Retransmissions, masterclasses, vidéo bilan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Directs des jours 2 et 3, puis replays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E-mail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Invités et inscrits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Invitations, confirmations, programme, liens utiles, remerciements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Selon les étapes d'inscription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Presse nationale (télévision, radio, quotidiens, sites)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Crédibilité et grand public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Communiqués, conférence de presse, interviews, reportages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Aux quatre temps forts, puis quotidien pendant l'événement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Médias tech panafricains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Rayonnement régional et partenaires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Annonces, tribunes, bilan chiffré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Annonce, J-30, clôture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Affichage et radio de proximité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Notoriété grand public à Abidjan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Visuel de l'événement, date, message central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Les 3 dernières semaines</w:t>
            </w:r>
          </w:p>
        </w:tc>
      </w:tr>
    </w:tbl>
    <w:p/>
    <w:p>
      <w:r>
        <w:rPr>
          <w:b/>
        </w:rPr>
        <w:t>Un point d'attention.</w:t>
      </w:r>
      <w:r>
        <w:rPr/>
        <w:t xml:space="preserve"> Toutes les publications passent par le Ministère, qui valide avant diffusion. Mstudio prépare les contenus et le calendrier ; aucune publication ne part au nom du Ministère sans son accord.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10. Partenaires et sponsoring</w:t>
      </w:r>
    </w:p>
    <w:p>
      <w:pPr>
        <w:pStyle w:val="ListBullet"/>
      </w:pPr>
      <w:r>
        <w:rPr>
          <w:b/>
        </w:rPr>
        <w:t>Partenaires institutionnels</w:t>
      </w:r>
      <w:r>
        <w:rPr/>
        <w:t xml:space="preserve"> : ministères co-parrains, signataires de l'Alliance (CGECI, CCI), agences publiques concernées.</w:t>
      </w:r>
    </w:p>
    <w:p>
      <w:pPr>
        <w:pStyle w:val="ListBullet"/>
      </w:pPr>
      <w:r>
        <w:rPr>
          <w:b/>
        </w:rPr>
        <w:t>Partenaires financiers</w:t>
      </w:r>
      <w:r>
        <w:rPr/>
        <w:t xml:space="preserve"> : bailleurs et banques de développement, invités à la séance de financement à huis clos.</w:t>
      </w:r>
    </w:p>
    <w:p>
      <w:pPr>
        <w:pStyle w:val="ListBullet"/>
      </w:pPr>
      <w:r>
        <w:rPr>
          <w:b/>
        </w:rPr>
        <w:t>Sponsors</w:t>
      </w:r>
      <w:r>
        <w:rPr/>
        <w:t xml:space="preserve"> : quatre niveaux, du Bronze au Platine, comme en 2026. Les contreparties sont liées au positionnement : présence dans le Bilan des 77, parrainage d'une catégorie du Prix, stand de démonstration avec un utilisateur réel, prise de parole sur un déploiement.</w:t>
      </w:r>
    </w:p>
    <w:p>
      <w:pPr>
        <w:pStyle w:val="ListBullet"/>
      </w:pPr>
      <w:r>
        <w:rPr>
          <w:b/>
        </w:rPr>
        <w:t>Partenaires médias</w:t>
      </w:r>
      <w:r>
        <w:rPr/>
        <w:t xml:space="preserve"> : une télévision, une radio, un quotidien national et un média tech panafricain, avec un accord d'échange de visibilité.</w:t>
      </w:r>
    </w:p>
    <w:p>
      <w:r>
        <w:rPr>
          <w:b/>
        </w:rPr>
        <w:t>Budget.</w:t>
      </w:r>
      <w:r>
        <w:rPr/>
        <w:t xml:space="preserve"> La ventilation proposée pour la communication : 35 % pour la production de contenus (vidéos des Témoins de l'IA, photo, kit visuel), 30 % pour la diffusion payante en ligne, 20 % pour les relations presse et les partenariats médias, 15 % pour l'affichage et la radio de proximité. Les montants se chiffrent dans un second document dès que l'enveloppe est connue.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11. Rétroplanning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Échéance</w:t>
            </w:r>
          </w:p>
        </w:tc>
        <w:tc>
          <w:tcPr>
            <w:tcW w:type="dxa" w:w="7087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Étape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Novembre 2026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Validation de la stratégie, du thème et des dates par le Ministère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Décembre 2026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Identité visuelle et logo, site, réservation du lieu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Janvier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Annonce officielle, « Réservez la date », note de concept aux partenaires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Mars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Ouverture des inscriptions, de l'appel à candidatures du Prix et de l'appel à exposants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Mars à juin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Compilation du Bilan des 77 avec les ministères sectoriels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Juin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Clôture des candidatures, sélection des finalistes, tournage des Témoins de l'IA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Juillet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Programme complet et intervenants confirmés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Fin août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Conférence de presse, ouverture des accréditations presse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8 au 10 septembre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ACCELERATE IA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11 septembre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Communiqué de clôture et bilan chiffré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Octobre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Livre blanc et feuille de route 2028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Novembre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Premier point public sur les engagements signés</w:t>
            </w:r>
          </w:p>
        </w:tc>
      </w:tr>
    </w:tbl>
    <w:p/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12. Risques et parades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Effet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Parade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Le Bilan des 77 révèle peu d'avancées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Message « accélération » fragilisé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Présenter honnêtement l'état de chaque cas, mettre en avant ceux qui avancent, et faire de l'événement le moment où l'on débloque les autres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Confusion entre IMPACT IA et ACCELERATE IA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Perte de l'acquis des éditions passées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Mention « 3e édition des assises nationales sur l'IA » sur tous les supports, rappel d'IMPACT IA dans chaque annonce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Calendrier officiel modifié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Report, intervenants indisponibles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Dates fixées avec les cabinets dès novembre 2026, une date de repli identifiée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Engagements annoncés sans suite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Crédibilité de l'édition 2028 entamée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Suivi public des engagements, premier point en novembre 2027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Événement perçu comme réservé à l'élite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Faible écho grand public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Témoins de l'IA, directs sur Facebook, masterclasses ouvertes aux étudiants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Contenus diffusés sans validation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Risque d'image pour le Ministère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Circuit de validation unique et calendrier partagé, validé chaque semaine</w:t>
            </w:r>
          </w:p>
        </w:tc>
      </w:tr>
    </w:tbl>
    <w:p/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13. Prochaines étapes</w:t>
      </w:r>
    </w:p>
    <w:p>
      <w:pPr>
        <w:pStyle w:val="ListNumber"/>
      </w:pPr>
      <w:r>
        <w:rPr/>
        <w:t>Réunion de cadrage avec le Ministère : valider le positionnement, le thème, les dates et les cibles.</w:t>
      </w:r>
    </w:p>
    <w:p>
      <w:pPr>
        <w:pStyle w:val="ListNumber"/>
      </w:pPr>
      <w:r>
        <w:rPr/>
        <w:t>Obtenir le bilan chiffré d'IMPACT IA 2026 (fréquentation, retombées, audiences) pour caler les objectifs.</w:t>
      </w:r>
    </w:p>
    <w:p>
      <w:pPr>
        <w:pStyle w:val="ListNumber"/>
      </w:pPr>
      <w:r>
        <w:rPr/>
        <w:t>Produire l'identité visuelle d'ACCELERATE IA et le kit de lancement.</w:t>
      </w:r>
    </w:p>
    <w:p>
      <w:pPr>
        <w:pStyle w:val="ListNumber"/>
      </w:pPr>
      <w:r>
        <w:rPr/>
        <w:t>Construire le calendrier éditorial détaillé de la phase d'annonce (janvier à février 2027).</w:t>
      </w:r>
    </w:p>
    <w:p>
      <w:pPr>
        <w:pStyle w:val="ListNumber"/>
      </w:pPr>
      <w:r>
        <w:rPr/>
        <w:t>Préparer la note de concept destinée aux partenaires et sponsors.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62A26"/>
        <w:sz w:val="17"/>
      </w:rPr>
      <w:t xml:space="preserve">ACCELERATE IA 2027 · Stratégie de l'événement et de sa communication   ·   </w:t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  <w:r>
      <w:rPr>
        <w:color w:val="008F7A"/>
        <w:sz w:val="16"/>
      </w:rPr>
      <w:t>ACCELERATE IA 2027 · Ministère de la Transition Numérique et de l'Innovation Technologique · Mstudio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1072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inister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1072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Inter" w:hAnsi="Inter" w:eastAsia="Inter"/>
      <w:color w:val="062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