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20000" cy="700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aj-se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0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 w:after="80" w:line="264" w:lineRule="auto"/>
        <w:jc w:val="center"/>
      </w:pPr>
      <w:r>
        <w:rPr>
          <w:rFonts w:ascii="Arial" w:hAnsi="Arial"/>
          <w:b/>
          <w:i w:val="0"/>
          <w:color w:val="E84E0E"/>
          <w:sz w:val="52"/>
        </w:rPr>
        <w:t>Plan de campagne</w:t>
      </w:r>
    </w:p>
    <w:p>
      <w:pPr>
        <w:spacing w:before="0" w:after="80" w:line="264" w:lineRule="auto"/>
        <w:jc w:val="center"/>
      </w:pPr>
      <w:r>
        <w:rPr>
          <w:rFonts w:ascii="Arial" w:hAnsi="Arial"/>
          <w:b/>
          <w:i w:val="0"/>
          <w:color w:val="159641"/>
          <w:sz w:val="30"/>
        </w:rPr>
        <w:t>Salon professionnel de l’industrie · Abidjan</w:t>
      </w:r>
    </w:p>
    <w:p>
      <w:pPr>
        <w:spacing w:before="0" w:after="600" w:line="264" w:lineRule="auto"/>
        <w:jc w:val="center"/>
      </w:pPr>
      <w:r>
        <w:rPr>
          <w:rFonts w:ascii="Arial" w:hAnsi="Arial"/>
          <w:b w:val="0"/>
          <w:i w:val="0"/>
          <w:color w:val="666666"/>
          <w:sz w:val="22"/>
        </w:rPr>
        <w:t>Avant, pendant et après le salon · rétroplanning en tableau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W w:w="8504" w:type="dxa"/>
      </w:tblPr>
      <w:tblGrid>
        <w:gridCol w:w="8504"/>
      </w:tblGrid>
      <w:tr>
        <w:tc>
          <w:tcPr>
            <w:tcW w:type="dxa" w:w="8504"/>
            <w:shd w:val="clear" w:color="auto" w:fill="F6F6F4"/>
            <w:tcMar>
              <w:top w:w="160" w:type="dxa"/>
              <w:bottom w:w="160" w:type="dxa"/>
              <w:start w:w="220" w:type="dxa"/>
              <w:end w:w="220" w:type="dxa"/>
            </w:tcMar>
          </w:tcPr>
          <w:p>
            <w:r>
              <w:rPr>
                <w:rFonts w:ascii="Arial" w:hAnsi="Arial"/>
                <w:b/>
                <w:i w:val="0"/>
                <w:color w:val="E84E0E"/>
                <w:sz w:val="20"/>
              </w:rPr>
              <w:t>En une phrase</w:t>
            </w:r>
          </w:p>
          <w:p>
            <w:pPr>
              <w:spacing w:after="80"/>
            </w:pPr>
            <w:r>
              <w:rPr>
                <w:rFonts w:ascii="Arial" w:hAnsi="Arial"/>
                <w:b w:val="0"/>
                <w:i w:val="0"/>
                <w:color w:val="1A1A1A"/>
                <w:sz w:val="21"/>
              </w:rPr>
              <w:t>Le salon ne sert pas à remplir le stand : il sert à repartir avec des acheteurs professionnels qualifiés, à les relancer dans la semaine et à mesurer, trois mois plus tard, les commandes qu’il a vraiment apportées.</w:t>
            </w:r>
          </w:p>
          <w:p>
            <w:r>
              <w:rPr>
                <w:rFonts w:ascii="Arial" w:hAnsi="Arial"/>
                <w:b/>
                <w:i w:val="0"/>
                <w:color w:val="666666"/>
                <w:sz w:val="18"/>
              </w:rPr>
              <w:t xml:space="preserve">Comment lire le rétroplanning : </w:t>
            </w: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J = premier jour du salon. J-60 = 60 jours avant. J+7 = 7 jours après la fermeture. Les dates réelles se calent dès que le salon est confirmé.</w:t>
            </w:r>
          </w:p>
        </w:tc>
      </w:tr>
    </w:tbl>
    <w:p>
      <w:pPr>
        <w:spacing w:before="520" w:after="60" w:line="264" w:lineRule="auto"/>
      </w:pPr>
      <w:r>
        <w:rPr>
          <w:rFonts w:ascii="Arial" w:hAnsi="Arial"/>
          <w:b/>
          <w:i w:val="0"/>
          <w:color w:val="E84E0E"/>
          <w:sz w:val="24"/>
        </w:rPr>
        <w:t>Sommaire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1   </w:t>
      </w:r>
      <w:r>
        <w:rPr>
          <w:rFonts w:ascii="Arial" w:hAnsi="Arial"/>
          <w:b w:val="0"/>
          <w:i w:val="0"/>
          <w:color w:val="1A1A1A"/>
          <w:sz w:val="21"/>
        </w:rPr>
        <w:t>Objectifs et mesure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2   </w:t>
      </w:r>
      <w:r>
        <w:rPr>
          <w:rFonts w:ascii="Arial" w:hAnsi="Arial"/>
          <w:b w:val="0"/>
          <w:i w:val="0"/>
          <w:color w:val="1A1A1A"/>
          <w:sz w:val="21"/>
        </w:rPr>
        <w:t>Les visiteurs à attirer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3   </w:t>
      </w:r>
      <w:r>
        <w:rPr>
          <w:rFonts w:ascii="Arial" w:hAnsi="Arial"/>
          <w:b w:val="0"/>
          <w:i w:val="0"/>
          <w:color w:val="1A1A1A"/>
          <w:sz w:val="21"/>
        </w:rPr>
        <w:t>Avant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4   </w:t>
      </w:r>
      <w:r>
        <w:rPr>
          <w:rFonts w:ascii="Arial" w:hAnsi="Arial"/>
          <w:b w:val="0"/>
          <w:i w:val="0"/>
          <w:color w:val="1A1A1A"/>
          <w:sz w:val="21"/>
        </w:rPr>
        <w:t>Pendant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5   </w:t>
      </w:r>
      <w:r>
        <w:rPr>
          <w:rFonts w:ascii="Arial" w:hAnsi="Arial"/>
          <w:b w:val="0"/>
          <w:i w:val="0"/>
          <w:color w:val="1A1A1A"/>
          <w:sz w:val="21"/>
        </w:rPr>
        <w:t>Après le salon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6   </w:t>
      </w:r>
      <w:r>
        <w:rPr>
          <w:rFonts w:ascii="Arial" w:hAnsi="Arial"/>
          <w:b w:val="0"/>
          <w:i w:val="0"/>
          <w:color w:val="1A1A1A"/>
          <w:sz w:val="21"/>
        </w:rPr>
        <w:t>Rétroplanning</w:t>
      </w:r>
    </w:p>
    <w:p>
      <w:pPr>
        <w:spacing w:before="0" w:after="40" w:line="264" w:lineRule="auto"/>
      </w:pPr>
      <w:r>
        <w:rPr>
          <w:rFonts w:ascii="Arial" w:hAnsi="Arial"/>
          <w:b/>
          <w:i w:val="0"/>
          <w:color w:val="159641"/>
          <w:sz w:val="21"/>
        </w:rPr>
        <w:t xml:space="preserve">7   </w:t>
      </w:r>
      <w:r>
        <w:rPr>
          <w:rFonts w:ascii="Arial" w:hAnsi="Arial"/>
          <w:b w:val="0"/>
          <w:i w:val="0"/>
          <w:color w:val="1A1A1A"/>
          <w:sz w:val="21"/>
        </w:rPr>
        <w:t>Budget, risques et points à confirmer</w:t>
      </w: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1  </w:t>
      </w:r>
      <w:r>
        <w:rPr>
          <w:rFonts w:ascii="Arial" w:hAnsi="Arial"/>
          <w:b/>
          <w:i w:val="0"/>
          <w:color w:val="E84E0E"/>
          <w:sz w:val="30"/>
        </w:rPr>
        <w:t>Objectifs et mesure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TAJ PLAST vend surtout par le bouche-à-oreille. Le salon est l’occasion de faire l’inverse : aller chercher, en trois jours, des acheteurs qu’aucun client actuel ne nous aurait présentés. Un seul objectif principal, deux objectifs secondaires.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608"/>
        <w:gridCol w:w="4309"/>
        <w:gridCol w:w="2721"/>
      </w:tblGrid>
      <w:tr>
        <w:trPr>
          <w:tblHeader w:val="true"/>
        </w:trPr>
        <w:tc>
          <w:tcPr>
            <w:tcW w:type="dxa" w:w="260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Objectif</w:t>
            </w:r>
          </w:p>
        </w:tc>
        <w:tc>
          <w:tcPr>
            <w:tcW w:type="dxa" w:w="4309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Ce qui le mesure</w:t>
            </w:r>
          </w:p>
        </w:tc>
        <w:tc>
          <w:tcPr>
            <w:tcW w:type="dxa" w:w="272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Cible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Principal : contacts qualifiés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Fiches remplies au stand avec besoin, volume et échéance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Rendez-vous pris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Visites d’usine ou rendez-vous commerciaux datés dans les 30 jours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Commandes issues du salon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acceptés et commandes à J+90, source « salon » notée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À fixer par Kevin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Secondaire : veille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Fiche par concurrent présent : produits, prix affichés, discours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1 fiche par stand concurrent</w:t>
            </w:r>
          </w:p>
        </w:tc>
      </w:tr>
      <w:tr>
        <w:tc>
          <w:tcPr>
            <w:tcW w:type="dxa" w:w="260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Secondaire : visibilité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Abonnés gagnés sur LinkedIn et Facebook, visites du site pendant la période</w:t>
            </w:r>
          </w:p>
        </w:tc>
        <w:tc>
          <w:tcPr>
            <w:tcW w:type="dxa" w:w="272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Mesuré, sans cible</w:t>
            </w:r>
          </w:p>
        </w:tc>
      </w:tr>
    </w:tbl>
    <w:p>
      <w:pPr>
        <w:spacing w:before="0" w:after="80" w:line="264" w:lineRule="auto"/>
      </w:pP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9"/>
        </w:rPr>
        <w:t>Deux chiffres à ne jamais confondre : la fréquentation annoncée par l’organisateur, et les visiteurs réellement passés au stand, comptés par l’équipe. Seul le second sert à juger le salon.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2  </w:t>
      </w:r>
      <w:r>
        <w:rPr>
          <w:rFonts w:ascii="Arial" w:hAnsi="Arial"/>
          <w:b/>
          <w:i w:val="0"/>
          <w:color w:val="E84E0E"/>
          <w:sz w:val="30"/>
        </w:rPr>
        <w:t>Les visiteurs à attirer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Un salon de l’industrie réunit des profils très différents. L’équipe les reconnaît en deux questions (« Vous êtes dans quelle activité ? » et « Vous achetez du plastique pour quel usage ? ») et adapte son discours.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041"/>
        <w:gridCol w:w="2438"/>
        <w:gridCol w:w="2778"/>
        <w:gridCol w:w="2381"/>
      </w:tblGrid>
      <w:tr>
        <w:trPr>
          <w:tblHeader w:val="true"/>
        </w:trPr>
        <w:tc>
          <w:tcPr>
            <w:tcW w:type="dxa" w:w="204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Profil</w:t>
            </w:r>
          </w:p>
        </w:tc>
        <w:tc>
          <w:tcPr>
            <w:tcW w:type="dxa" w:w="243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Ce qu’il cherche</w:t>
            </w:r>
          </w:p>
        </w:tc>
        <w:tc>
          <w:tcPr>
            <w:tcW w:type="dxa" w:w="277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Ce qu’on lui dit</w:t>
            </w:r>
          </w:p>
        </w:tc>
        <w:tc>
          <w:tcPr>
            <w:tcW w:type="dxa" w:w="238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Suite à proposer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Acheteur industriel (agroalimentaire, boissons, chimie)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Emballages, bidons, bouteilles, préformes, bouchons ; régularité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Fabrication locale par injection et soufflage, interlocuteur direct à l’usine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Visite d’usine, devis sur cahier des charges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Distributeur, grossiste, quincaillerie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Une gamme qui tourne, des marges, du réassort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Articles de ménage produits à Abidjan, réassort sans arrivage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Rendez-vous commercial, catalogue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Grande distribution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Une marque locale fiable, un test en magasin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Argumentaire supermarchés déjà prêt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Test sur quelques références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Entreprise, institution, projet (BTP, collectivités)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Produits d’assainissement, volumes ponctuels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Gamme assainissement, capacité à répondre à un appel d’offres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Contact du décideur, calendrier du projet</w:t>
            </w:r>
          </w:p>
        </w:tc>
      </w:tr>
      <w:tr>
        <w:tc>
          <w:tcPr>
            <w:tcW w:type="dxa" w:w="204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Concurrent, curieux, demandeur d’emploi</w:t>
            </w:r>
          </w:p>
        </w:tc>
        <w:tc>
          <w:tcPr>
            <w:tcW w:type="dxa" w:w="243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—</w:t>
            </w:r>
          </w:p>
        </w:tc>
        <w:tc>
          <w:tcPr>
            <w:tcW w:type="dxa" w:w="277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Accueil poli, rien de stratégique (prix, clients, capacités)</w:t>
            </w:r>
          </w:p>
        </w:tc>
        <w:tc>
          <w:tcPr>
            <w:tcW w:type="dxa" w:w="238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Carte de visite, pas de fiche</w:t>
            </w:r>
          </w:p>
        </w:tc>
      </w:tr>
    </w:tbl>
    <w:p>
      <w:pPr>
        <w:spacing w:before="0" w:after="80" w:line="264" w:lineRule="auto"/>
      </w:pPr>
    </w:p>
    <w:p>
      <w:pPr>
        <w:keepNext/>
        <w:pageBreakBefore/>
        <w:spacing w:before="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3  </w:t>
      </w:r>
      <w:r>
        <w:rPr>
          <w:rFonts w:ascii="Arial" w:hAnsi="Arial"/>
          <w:b/>
          <w:i w:val="0"/>
          <w:color w:val="E84E0E"/>
          <w:sz w:val="30"/>
        </w:rPr>
        <w:t>Avant le salon : préparer et faire venir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Préparer l’offre et le stand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Choisir ce qu’on montre. </w:t>
      </w:r>
      <w:r>
        <w:rPr>
          <w:rFonts w:ascii="Arial" w:hAnsi="Arial"/>
          <w:b w:val="0"/>
          <w:i w:val="0"/>
          <w:color w:val="1A1A1A"/>
          <w:sz w:val="20"/>
        </w:rPr>
        <w:t>Une sélection courte par famille (ménage, emballage, assainissement) plutôt que tout le catalogue ; un produit « star » mis en avant.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Montrer l’usine. </w:t>
      </w:r>
      <w:r>
        <w:rPr>
          <w:rFonts w:ascii="Arial" w:hAnsi="Arial"/>
          <w:b w:val="0"/>
          <w:i w:val="0"/>
          <w:color w:val="1A1A1A"/>
          <w:sz w:val="20"/>
        </w:rPr>
        <w:t>Une vidéo courte filmée à l’usine, en boucle sur un écran : machines, étapes de fabrication, produits finis. C’est le meilleur argument d’un fabricant face à un revendeur.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Habiller le stand aux couleurs TAJ PLAST. </w:t>
      </w:r>
      <w:r>
        <w:rPr>
          <w:rFonts w:ascii="Arial" w:hAnsi="Arial"/>
          <w:b w:val="0"/>
          <w:i w:val="0"/>
          <w:color w:val="1A1A1A"/>
          <w:sz w:val="20"/>
        </w:rPr>
        <w:t>Kakémono, fond de stand, comptoir, nappes : noir, orange et vert, logo lisible de loin, une seule phrase : ce que fait TAJ PLAST.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Imprimer à temps. </w:t>
      </w:r>
      <w:r>
        <w:rPr>
          <w:rFonts w:ascii="Arial" w:hAnsi="Arial"/>
          <w:b w:val="0"/>
          <w:i w:val="0"/>
          <w:color w:val="1A1A1A"/>
          <w:sz w:val="20"/>
        </w:rPr>
        <w:t>Catalogue, fiches produits, cartes de visite, fiche de collecte : bon à tirer validé à J-21, livraison à J-7 au plus tard.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Prévoir la logistique. </w:t>
      </w:r>
      <w:r>
        <w:rPr>
          <w:rFonts w:ascii="Arial" w:hAnsi="Arial"/>
          <w:b w:val="0"/>
          <w:i w:val="0"/>
          <w:color w:val="1A1A1A"/>
          <w:sz w:val="20"/>
        </w:rPr>
        <w:t>Transport des produits, rallonges et multiprises, batterie de secours, eau, présentoirs, sacs pour les échantillons ; trajet vers le site testé à l’heure d’installation.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Faire venir les bons visiteurs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Inviter nos clients et prospects. </w:t>
      </w:r>
      <w:r>
        <w:rPr>
          <w:rFonts w:ascii="Arial" w:hAnsi="Arial"/>
          <w:b w:val="0"/>
          <w:i w:val="0"/>
          <w:color w:val="1A1A1A"/>
          <w:sz w:val="20"/>
        </w:rPr>
        <w:t>Message WhatsApp personnel aux clients actuels (« venez nous voir, stand n° … ») : ils viennent avec des contacts, c’est le bouche-à-oreille en direct.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Prendre des rendez-vous avant le salon. </w:t>
      </w:r>
      <w:r>
        <w:rPr>
          <w:rFonts w:ascii="Arial" w:hAnsi="Arial"/>
          <w:b w:val="0"/>
          <w:i w:val="0"/>
          <w:color w:val="1A1A1A"/>
          <w:sz w:val="20"/>
        </w:rPr>
        <w:t>Kevin et l’équipe appellent une liste courte d’acheteurs visés pour fixer un créneau au stand.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Annoncer sur les réseaux. </w:t>
      </w:r>
      <w:r>
        <w:rPr>
          <w:rFonts w:ascii="Arial" w:hAnsi="Arial"/>
          <w:b w:val="0"/>
          <w:i w:val="0"/>
          <w:color w:val="1A1A1A"/>
          <w:sz w:val="20"/>
        </w:rPr>
        <w:t>Trois publications LinkedIn et Facebook : l’annonce (J-21), les coulisses de la préparation (J-10), le rappel du stand (J-2).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Signature e-mail et statut WhatsApp. </w:t>
      </w:r>
      <w:r>
        <w:rPr>
          <w:rFonts w:ascii="Arial" w:hAnsi="Arial"/>
          <w:b w:val="0"/>
          <w:i w:val="0"/>
          <w:color w:val="1A1A1A"/>
          <w:sz w:val="20"/>
        </w:rPr>
        <w:t>Bandeau « Retrouvez-nous au salon, stand n° … » sur les e-mails et le statut WhatsApp Business de l’équipe.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Utiliser l’organisateur. </w:t>
      </w:r>
      <w:r>
        <w:rPr>
          <w:rFonts w:ascii="Arial" w:hAnsi="Arial"/>
          <w:b w:val="0"/>
          <w:i w:val="0"/>
          <w:color w:val="1A1A1A"/>
          <w:sz w:val="20"/>
        </w:rPr>
        <w:t>Demander la liste des exposants et le plan du salon, et voir si la fiche exposant du catalogue officiel peut porter notre logo et nos produits.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Préparer l’équipe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Rôles écrits. </w:t>
      </w:r>
      <w:r>
        <w:rPr>
          <w:rFonts w:ascii="Arial" w:hAnsi="Arial"/>
          <w:b w:val="0"/>
          <w:i w:val="0"/>
          <w:color w:val="1A1A1A"/>
          <w:sz w:val="20"/>
        </w:rPr>
        <w:t>Accueil, qualification, démonstration, gestion des fiches et des stocks, réseaux sociaux ; un responsable du stand par 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Répétition à J-5. </w:t>
      </w:r>
      <w:r>
        <w:rPr>
          <w:rFonts w:ascii="Arial" w:hAnsi="Arial"/>
          <w:b w:val="0"/>
          <w:i w:val="0"/>
          <w:color w:val="1A1A1A"/>
          <w:sz w:val="20"/>
        </w:rPr>
        <w:t>Les deux questions d’identification, le message de 30 secondes, les réponses aux objections (argumentaire supermarchés), et ce qu’on ne promet pas en séance : prix, délais, remises, quantités non validés.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4  </w:t>
      </w:r>
      <w:r>
        <w:rPr>
          <w:rFonts w:ascii="Arial" w:hAnsi="Arial"/>
          <w:b/>
          <w:i w:val="0"/>
          <w:color w:val="E84E0E"/>
          <w:sz w:val="30"/>
        </w:rPr>
        <w:t>Pendant le salon : qualifier chaque contact</w:t>
      </w:r>
    </w:p>
    <w:p>
      <w:pPr>
        <w:spacing w:before="0" w:after="8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Règle unique : rien ne se qualifie « plus tard ». Chaque échange utile se termine par une fiche remplie sur le moment, papier ou téléphone.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Champ de la fiche de collecte</w:t>
            </w:r>
          </w:p>
        </w:tc>
        <w:tc>
          <w:tcPr>
            <w:tcW w:type="dxa" w:w="5953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Exemple de réponse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Nom, entreprise, fonction, téléphone WhatsApp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Coordonnées complètes, canal préféré noté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Profil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Industriel, distributeur, grande distribution, projet, autre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Besoin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Famille de produits, usage, référence vue au stand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Volume et fréquence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Ordre de grandeur donné par le visiteur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Échéance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Immédiat, dans 3 mois, plus tard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Température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Chaud, tiède ou froid, noté par l’équipe pendant l’échange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Prochaine étape promise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Devis, visite d’usine, envoi du catalogue, rappel à date</w:t>
            </w:r>
          </w:p>
        </w:tc>
      </w:tr>
      <w:tr>
        <w:tc>
          <w:tcPr>
            <w:tcW w:type="dxa" w:w="368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Accord pour être recontacté</w:t>
            </w:r>
          </w:p>
        </w:tc>
        <w:tc>
          <w:tcPr>
            <w:tcW w:type="dxa" w:w="5953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 / non, et par quel canal</w:t>
            </w:r>
          </w:p>
        </w:tc>
      </w:tr>
    </w:tbl>
    <w:p>
      <w:pPr>
        <w:spacing w:before="0" w:after="80" w:line="264" w:lineRule="auto"/>
      </w:pP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Compter les passages. </w:t>
      </w:r>
      <w:r>
        <w:rPr>
          <w:rFonts w:ascii="Arial" w:hAnsi="Arial"/>
          <w:b w:val="0"/>
          <w:i w:val="0"/>
          <w:color w:val="1A1A1A"/>
          <w:sz w:val="20"/>
        </w:rPr>
        <w:t>Un compteur simple au stand : visiteurs arrêtés, fiches remplies, rendez-vous pris, par demi-journée.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Publier en direct. </w:t>
      </w:r>
      <w:r>
        <w:rPr>
          <w:rFonts w:ascii="Arial" w:hAnsi="Arial"/>
          <w:b w:val="0"/>
          <w:i w:val="0"/>
          <w:color w:val="1A1A1A"/>
          <w:sz w:val="20"/>
        </w:rPr>
        <w:t>Une publication par jour sur LinkedIn et Facebook (photo réelle du stand, d’un échange ou d’une démonstration, avec l’accord des personnes visibles) et des stories.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Visiter les concurrents. </w:t>
      </w:r>
      <w:r>
        <w:rPr>
          <w:rFonts w:ascii="Arial" w:hAnsi="Arial"/>
          <w:b w:val="0"/>
          <w:i w:val="0"/>
          <w:color w:val="1A1A1A"/>
          <w:sz w:val="20"/>
        </w:rPr>
        <w:t>Pendant les heures creuses, une personne fait le tour des stands concurrents et remplit une fiche de veille.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Point de fin de journée. </w:t>
      </w:r>
      <w:r>
        <w:rPr>
          <w:rFonts w:ascii="Arial" w:hAnsi="Arial"/>
          <w:b w:val="0"/>
          <w:i w:val="0"/>
          <w:color w:val="1A1A1A"/>
          <w:sz w:val="20"/>
        </w:rPr>
        <w:t>Quinze minutes : fiches du jour comptées et rangées, ce qui a marché, ce qu’on change demain. Les contacts chauds du jour reçoivent un message de remerciement le soir même.</w:t>
      </w: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5  </w:t>
      </w:r>
      <w:r>
        <w:rPr>
          <w:rFonts w:ascii="Arial" w:hAnsi="Arial"/>
          <w:b/>
          <w:i w:val="0"/>
          <w:color w:val="E84E0E"/>
          <w:sz w:val="30"/>
        </w:rPr>
        <w:t>Après le salon : relancer vite et mesurer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7" w:type="dxa"/>
      </w:tblPr>
      <w:tblGrid>
        <w:gridCol w:w="1247"/>
        <w:gridCol w:w="3061"/>
        <w:gridCol w:w="2835"/>
        <w:gridCol w:w="2494"/>
      </w:tblGrid>
      <w:tr>
        <w:trPr>
          <w:tblHeader w:val="true"/>
        </w:trPr>
        <w:tc>
          <w:tcPr>
            <w:tcW w:type="dxa" w:w="1247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Quand</w:t>
            </w:r>
          </w:p>
        </w:tc>
        <w:tc>
          <w:tcPr>
            <w:tcW w:type="dxa" w:w="306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chauds</w:t>
            </w:r>
          </w:p>
        </w:tc>
        <w:tc>
          <w:tcPr>
            <w:tcW w:type="dxa" w:w="2835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tièdes</w:t>
            </w:r>
          </w:p>
        </w:tc>
        <w:tc>
          <w:tcPr>
            <w:tcW w:type="dxa" w:w="2494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Contacts froids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WhatsApp ou appel de Kevin : remerciement et prochaine étape promise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de remerciement avec le catalogue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Ajout à la liste de suivi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J+2 à J+7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Devis envoyé, visite d’usine ou rendez-vous fixé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Appel pour préciser le besoin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J+15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Point sur le devis ; relance si pas de réponse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Deuxième message avec une information utile (produit, usine)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Message de suivi groupé, avec accord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J+30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Commande, test ou refus noté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Proposition de rendez-vous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Bulletin ou publication à partager</w:t>
            </w:r>
          </w:p>
        </w:tc>
      </w:tr>
      <w:tr>
        <w:tc>
          <w:tcPr>
            <w:tcW w:type="dxa" w:w="1247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7"/>
              </w:rPr>
              <w:t>J+90</w:t>
            </w:r>
          </w:p>
        </w:tc>
        <w:tc>
          <w:tcPr>
            <w:tcW w:type="dxa" w:w="3061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Bilan : chiffre d’affaires réalisé avec ce contact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Requalification : chaud, tiède ou perdu</w:t>
            </w:r>
          </w:p>
        </w:tc>
        <w:tc>
          <w:tcPr>
            <w:tcW w:type="dxa" w:w="249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7"/>
              </w:rPr>
              <w:t>Requalification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Le bilan à J+30 puis à J+90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Coût complet. </w:t>
      </w:r>
      <w:r>
        <w:rPr>
          <w:rFonts w:ascii="Arial" w:hAnsi="Arial"/>
          <w:b w:val="0"/>
          <w:i w:val="0"/>
          <w:color w:val="1A1A1A"/>
          <w:sz w:val="20"/>
        </w:rPr>
        <w:t>Stand, aménagement, impressions, transport, échantillons, repas, et journées de l’équipe passées hors de leur poste.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Résultats. </w:t>
      </w:r>
      <w:r>
        <w:rPr>
          <w:rFonts w:ascii="Arial" w:hAnsi="Arial"/>
          <w:b w:val="0"/>
          <w:i w:val="0"/>
          <w:color w:val="1A1A1A"/>
          <w:sz w:val="20"/>
        </w:rPr>
        <w:t>Visiteurs au stand, fiches qualifiées, rendez-vous tenus, devis envoyés, commandes et chiffre d’affaires à J+90.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Décision. </w:t>
      </w:r>
      <w:r>
        <w:rPr>
          <w:rFonts w:ascii="Arial" w:hAnsi="Arial"/>
          <w:b w:val="0"/>
          <w:i w:val="0"/>
          <w:color w:val="1A1A1A"/>
          <w:sz w:val="20"/>
        </w:rPr>
        <w:t>Revenir l’an prochain, changer de salon ou de stand, ou investir ailleurs : la décision se prend sur ces chiffres, pas sur l’impression d’un stand plein.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Prolonger sur les réseaux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Publication bilan à J+3 (photos réelles, remerciements, sans chiffre non vérifié), puis une publication par rencontre utile si le client accepte d’être cité.</w:t>
      </w:r>
    </w:p>
    <w:p>
      <w:pPr>
        <w:sectPr>
          <w:headerReference w:type="default" r:id="rId9"/>
          <w:footerReference w:type="default" r:id="rId10"/>
          <w:pgSz w:w="11906" w:h="16838"/>
          <w:pgMar w:top="1247" w:right="1134" w:bottom="1020" w:left="1134" w:header="454" w:footer="454" w:gutter="0"/>
          <w:cols w:space="720"/>
          <w:docGrid w:linePitch="360"/>
        </w:sectPr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6  </w:t>
      </w:r>
      <w:r>
        <w:rPr>
          <w:rFonts w:ascii="Arial" w:hAnsi="Arial"/>
          <w:b/>
          <w:i w:val="0"/>
          <w:color w:val="E84E0E"/>
          <w:sz w:val="30"/>
        </w:rPr>
        <w:t>Rétroplanning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15024" w:type="dxa"/>
      </w:tblPr>
      <w:tblGrid>
        <w:gridCol w:w="1361"/>
        <w:gridCol w:w="7597"/>
        <w:gridCol w:w="2835"/>
        <w:gridCol w:w="3231"/>
      </w:tblGrid>
      <w:tr>
        <w:trPr>
          <w:tblHeader w:val="true"/>
        </w:trPr>
        <w:tc>
          <w:tcPr>
            <w:tcW w:type="dxa" w:w="1361"/>
            <w:shd w:val="clear" w:color="auto" w:fill="1A1A1A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Quand</w:t>
            </w:r>
          </w:p>
        </w:tc>
        <w:tc>
          <w:tcPr>
            <w:tcW w:type="dxa" w:w="7597"/>
            <w:shd w:val="clear" w:color="auto" w:fill="1A1A1A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Action</w:t>
            </w:r>
          </w:p>
        </w:tc>
        <w:tc>
          <w:tcPr>
            <w:tcW w:type="dxa" w:w="2835"/>
            <w:shd w:val="clear" w:color="auto" w:fill="1A1A1A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Qui</w:t>
            </w:r>
          </w:p>
        </w:tc>
        <w:tc>
          <w:tcPr>
            <w:tcW w:type="dxa" w:w="3231"/>
            <w:shd w:val="clear" w:color="auto" w:fill="1A1A1A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Livrable / preuve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AVANT LE SALON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J-60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Confirmer le salon : dates, lieu, emplacement et prix du stand, dossier exposant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Direction, Kevin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Contrat exposant signé par la direction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J-45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Fixer les objectifs chiffrés et le budget ; choisir les produits exposés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Direction, Kevin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Objectifs et budget écrits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J-40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Lister les acheteurs et clients à inviter ; demander à l’organisateur la liste des exposants et le plan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équipe commerciale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Liste d’invités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J-35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Concevoir le stand, le kakémono, la fiche produits et la fiche de collecte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Fatima, Koffi (design)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Maquettes à valider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J-30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Tourner la vidéo de l’usine ; prendre les photos des produits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Équipe usine, Fatima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Vidéo de 60 à 90 secondes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J-21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Valider les bons à tirer et lancer l’impression ; publication « annonce » ; invitations WhatsApp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imprimeur, Fatima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Commande imprimeur, publication validée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J-14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Prendre les rendez-vous au stand ; préparer échantillons et stock à exposer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usine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Agenda des rendez-vous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J-10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Publication « coulisses » ; bandeau sur les e-mails et statut WhatsApp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Fatima, équipe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Publication validée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J-7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Réception et contrôle des impressions ; logistique et transport réservés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logistique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Liste de contrôle cochée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J-5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Répétition de l’équipe : questions, message, objections, rôles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équipe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Planning des rôles par journée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J-2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Rappel aux invités ; publication « rappel du stand »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Équipe, Fatima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Messages envoyés après accord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J-1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Installation du stand ; test de l’écran, de l’électricité et de la connexion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Équipe, logistique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Stand prêt, photo de contrôle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PENDANT LE SALON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 à J+2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Accueil, qualification, fiches remplies sur le moment, comptage des passages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Équipe du stand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Fiches et compteur par demi-journée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Chaque jour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Une publication et des stories ; visite des stands concurrents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Fatima, une personne de l’équipe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Publications validées, fiches de veille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Chaque soir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Point d’équipe de 15 minutes ; remerciement aux contacts chauds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Responsable du stand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Fiches du jour rangées</w:t>
            </w:r>
          </w:p>
        </w:tc>
      </w:tr>
      <w:tr>
        <w:tc>
          <w:tcPr>
            <w:tcW w:type="dxa" w:w="3231"/>
            <w:gridSpan w:val="4"/>
            <w:shd w:val="clear" w:color="auto" w:fill="E84E0E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APRÈS LE SALON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J+1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Tri des fiches : chaud, tiède, froid ; premiers messages aux contacts chauds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Fichier des contacts du salon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J+3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Publication bilan avec photos réelles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Fatima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Publication validée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J+7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Devis et visites d’usine fixés pour les contacts chauds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équipe commerciale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Devis envoyés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J+15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Relance des devis sans réponse ; deuxième message aux tièdes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Équipe commerciale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Relances notées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J+30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Bilan d’étape : coût complet, rendez-vous, devis, premières commandes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Kevin, Fatima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Note de bilan</w:t>
            </w:r>
          </w:p>
        </w:tc>
      </w:tr>
      <w:tr>
        <w:tc>
          <w:tcPr>
            <w:tcW w:type="dxa" w:w="136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6"/>
              </w:rPr>
              <w:t>J+90</w:t>
            </w:r>
          </w:p>
        </w:tc>
        <w:tc>
          <w:tcPr>
            <w:tcW w:type="dxa" w:w="7597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Bilan final : chiffre d’affaires issu du salon ; décision pour l’édition suivante</w:t>
            </w:r>
          </w:p>
        </w:tc>
        <w:tc>
          <w:tcPr>
            <w:tcW w:type="dxa" w:w="2835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Direction, Kevin</w:t>
            </w:r>
          </w:p>
        </w:tc>
        <w:tc>
          <w:tcPr>
            <w:tcW w:type="dxa" w:w="3231"/>
            <w:tcMar>
              <w:top w:w="25" w:type="dxa"/>
              <w:bottom w:w="25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6"/>
              </w:rPr>
              <w:t>Décision écrite</w:t>
            </w:r>
          </w:p>
        </w:tc>
      </w:tr>
    </w:tbl>
    <w:p>
      <w:pPr>
        <w:spacing w:before="0" w:after="80" w:line="264" w:lineRule="auto"/>
      </w:pPr>
    </w:p>
    <w:p>
      <w:pPr>
        <w:sectPr>
          <w:headerReference w:type="default" r:id="rId12"/>
          <w:footerReference w:type="default" r:id="rId13"/>
          <w:pgSz w:w="16838" w:h="11906" w:orient="landscape"/>
          <w:pgMar w:top="1020" w:right="907" w:bottom="737" w:left="907" w:header="454" w:footer="454" w:gutter="0"/>
          <w:cols w:space="720"/>
          <w:docGrid w:linePitch="360"/>
        </w:sectPr>
      </w:pPr>
    </w:p>
    <w:p>
      <w:pPr>
        <w:keepNext/>
        <w:spacing w:before="280" w:after="120" w:line="264" w:lineRule="auto"/>
      </w:pPr>
      <w:r>
        <w:rPr>
          <w:rFonts w:ascii="Arial" w:hAnsi="Arial"/>
          <w:b/>
          <w:i w:val="0"/>
          <w:color w:val="159641"/>
          <w:sz w:val="30"/>
        </w:rPr>
        <w:t xml:space="preserve">7  </w:t>
      </w:r>
      <w:r>
        <w:rPr>
          <w:rFonts w:ascii="Arial" w:hAnsi="Arial"/>
          <w:b/>
          <w:i w:val="0"/>
          <w:color w:val="E84E0E"/>
          <w:sz w:val="30"/>
        </w:rPr>
        <w:t>Budget, risques et points à confirmer</w:t>
      </w: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Les postes de budget à chiffrer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268"/>
        <w:gridCol w:w="5102"/>
        <w:gridCol w:w="2268"/>
      </w:tblGrid>
      <w:tr>
        <w:trPr>
          <w:tblHeader w:val="true"/>
        </w:trPr>
        <w:tc>
          <w:tcPr>
            <w:tcW w:type="dxa" w:w="226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Poste</w:t>
            </w:r>
          </w:p>
        </w:tc>
        <w:tc>
          <w:tcPr>
            <w:tcW w:type="dxa" w:w="5102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Contenu</w:t>
            </w:r>
          </w:p>
        </w:tc>
        <w:tc>
          <w:tcPr>
            <w:tcW w:type="dxa" w:w="2268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Montant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Stand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Location de l’emplacement, frais d’inscription de l’organisateur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organisateur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Aménagement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Fond de stand, kakémono, comptoir, présentoirs, écran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prestataire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Impressions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Catalogue, fiches produits, cartes de visite, fiches de collecte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imprimeur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Contenus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Vidéo de l’usine, photos produits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Interne ou devis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Logistique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Transport des produits, installation, démontage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Devis transport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Échantillons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Produits offerts ou exposés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Coût de revient usine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Équipe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Repas, déplacements, journées passées au salon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Interne</w:t>
            </w:r>
          </w:p>
        </w:tc>
      </w:tr>
      <w:tr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Sponsoring réseaux (option)</w:t>
            </w:r>
          </w:p>
        </w:tc>
        <w:tc>
          <w:tcPr>
            <w:tcW w:type="dxa" w:w="51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Mise en avant des publications auprès des acheteurs d’Abidjan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Sur accord écrit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Risques et parades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3402"/>
        <w:gridCol w:w="6236"/>
      </w:tblGrid>
      <w:tr>
        <w:trPr>
          <w:tblHeader w:val="true"/>
        </w:trPr>
        <w:tc>
          <w:tcPr>
            <w:tcW w:type="dxa" w:w="3402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Risque</w:t>
            </w:r>
          </w:p>
        </w:tc>
        <w:tc>
          <w:tcPr>
            <w:tcW w:type="dxa" w:w="6236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Parade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Impressions livrées en retard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Bon à tirer à J-21, livraison exigée à J-7, version imprimable de secours au bureau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Coupure d’électricité au stand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Batterie de secours ; vidéo aussi disponible sur tablette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Stand plein mais fiches vides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Une personne dédiée à la qualification ; compteur de fiches par demi-journée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Promesse faite en séance (prix, délai)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  <w:shd w:val="clear" w:color="auto" w:fill="F6F6F4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Règle répétée à J-5 : tout engagement passe par une proposition écrite validée</w:t>
            </w:r>
          </w:p>
        </w:tc>
      </w:tr>
      <w:tr>
        <w:tc>
          <w:tcPr>
            <w:tcW w:type="dxa" w:w="3402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59641"/>
                <w:sz w:val="18"/>
              </w:rPr>
              <w:t>Contacts jamais relancés</w:t>
            </w:r>
          </w:p>
        </w:tc>
        <w:tc>
          <w:tcPr>
            <w:tcW w:type="dxa" w:w="6236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Relances datées dans le tableau, Kevin responsable, point à J+7</w:t>
            </w:r>
          </w:p>
        </w:tc>
      </w:tr>
    </w:tbl>
    <w:p>
      <w:pPr>
        <w:spacing w:before="0" w:after="80" w:line="264" w:lineRule="auto"/>
      </w:pPr>
    </w:p>
    <w:p>
      <w:pPr>
        <w:keepNext/>
        <w:spacing w:before="160" w:after="60" w:line="264" w:lineRule="auto"/>
      </w:pPr>
      <w:r>
        <w:rPr>
          <w:rFonts w:ascii="Arial" w:hAnsi="Arial"/>
          <w:b/>
          <w:i w:val="0"/>
          <w:color w:val="1A1A1A"/>
          <w:sz w:val="22"/>
        </w:rPr>
        <w:t>Points à confirmer avant de lancer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 nom et les dates du salon, l’emplacement et la taille du stand.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Les objectifs chiffrés : contacts qualifiés, rendez-vous, commandes.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Le budget global et la composition de l’équipe sur chaque journée.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159641"/>
          <w:sz w:val="15"/>
        </w:rPr>
        <w:t xml:space="preserve">■  </w:t>
      </w:r>
      <w:r>
        <w:rPr>
          <w:rFonts w:ascii="Arial" w:hAnsi="Arial"/>
          <w:b w:val="0"/>
          <w:i w:val="0"/>
          <w:color w:val="1A1A1A"/>
          <w:sz w:val="20"/>
        </w:rPr>
        <w:t>L’accord pour filmer l’usine et photographier les produits.</w:t>
      </w: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8"/>
        </w:rPr>
        <w:t>Rien ne part sans accord : publications, invitations, réservations et dépenses sont préparées, puis validées par TAJ PLAST avant toute diffusion.</w:t>
      </w:r>
    </w:p>
    <w:sectPr w:rsidR="00FC693F" w:rsidRPr="0006063C" w:rsidSect="00034616">
      <w:headerReference w:type="default" r:id="rId14"/>
      <w:footerReference w:type="default" r:id="rId15"/>
      <w:pgSz w:w="11906" w:h="16838"/>
      <w:pgMar w:top="1247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" w:hAnsi="Arial"/>
        <w:b w:val="0"/>
        <w:i w:val="0"/>
        <w:color w:val="666666"/>
        <w:sz w:val="16"/>
      </w:rPr>
      <w:t xml:space="preserve">TAJ PLAST · document interne    </w:t>
    </w: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salon professionnel de l’industrie, Abidjan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rétroplanning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936000" cy="2603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taj-seu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26031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 Plan de campagne · salon professionnel de l’industrie, Abidjan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