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82154" cy="503999"/>
            <wp:docPr id="1" name="Picture 1"/>
            <wp:cNvGraphicFramePr>
              <a:graphicFrameLocks noChangeAspect="1"/>
            </wp:cNvGraphicFramePr>
            <a:graphic>
              <a:graphicData uri="http://schemas.openxmlformats.org/drawingml/2006/picture">
                <pic:pic>
                  <pic:nvPicPr>
                    <pic:cNvPr id="0" name="2026-10-24_Waribei-ebook-financer-son-stock.docx.logo.png"/>
                    <pic:cNvPicPr/>
                  </pic:nvPicPr>
                  <pic:blipFill>
                    <a:blip r:embed="rId9"/>
                    <a:stretch>
                      <a:fillRect/>
                    </a:stretch>
                  </pic:blipFill>
                  <pic:spPr>
                    <a:xfrm>
                      <a:off x="0" y="0"/>
                      <a:ext cx="1882154" cy="503999"/>
                    </a:xfrm>
                    <a:prstGeom prst="rect"/>
                  </pic:spPr>
                </pic:pic>
              </a:graphicData>
            </a:graphic>
          </wp:inline>
        </w:drawing>
      </w:r>
    </w:p>
    <w:p>
      <w:pPr>
        <w:jc w:val="center"/>
      </w:pPr>
      <w:r>
        <w:rPr>
          <w:rFonts w:ascii="Heebo" w:hAnsi="Heebo"/>
          <w:b/>
          <w:color w:val="064C72"/>
          <w:sz w:val="48"/>
        </w:rPr>
        <w:t>Vendre plus sans bloquer sa caisse</w:t>
      </w:r>
    </w:p>
    <w:p>
      <w:pPr>
        <w:jc w:val="center"/>
      </w:pPr>
      <w:r>
        <w:rPr>
          <w:color w:val="F83131"/>
          <w:sz w:val="24"/>
        </w:rPr>
        <w:t>Le guide pratique du commerçant pour financer son stock et faire grandir son commerce</w:t>
      </w:r>
    </w:p>
    <w:p>
      <w:pPr>
        <w:jc w:val="center"/>
      </w:pPr>
      <w:r>
        <w:rPr>
          <w:color w:val="F83131"/>
          <w:sz w:val="24"/>
        </w:rPr>
        <w:t>Un guide offert par Waribei</w:t>
      </w:r>
    </w:p>
    <w:tbl>
      <w:tblPr>
        <w:tblW w:type="auto" w:w="0"/>
        <w:tblLook w:firstColumn="1" w:firstRow="1" w:lastColumn="0" w:lastRow="0" w:noHBand="0" w:noVBand="1" w:val="04A0"/>
        <w:tblBorders>
          <w:top w:val="single" w:sz="4" w:color="F83131"/>
          <w:left w:val="single" w:sz="4" w:color="F83131"/>
          <w:bottom w:val="single" w:sz="4" w:color="F83131"/>
          <w:right w:val="single" w:sz="4" w:color="F83131"/>
          <w:insideH w:val="single" w:sz="4" w:color="F83131"/>
          <w:insideV w:val="single" w:sz="4" w:color="F83131"/>
        </w:tblBorders>
      </w:tblPr>
      <w:tblGrid>
        <w:gridCol w:w="9746"/>
      </w:tblGrid>
      <w:tr>
        <w:tc>
          <w:tcPr>
            <w:tcW w:type="dxa" w:w="9746"/>
            <w:shd w:val="clear" w:color="auto" w:fill="FEF1F1"/>
          </w:tcPr>
          <w:p>
            <w:r>
              <w:rPr>
                <w:b/>
                <w:color w:val="064C72"/>
                <w:sz w:val="24"/>
              </w:rPr>
              <w:t>Dans ce guide</w:t>
            </w:r>
          </w:p>
          <w:p>
            <w:r>
              <w:rPr>
                <w:b/>
              </w:rPr>
              <w:t>Chapitre 1.</w:t>
            </w:r>
            <w:r>
              <w:rPr>
                <w:b w:val="0"/>
              </w:rPr>
              <w:t xml:space="preserve"> Le stock, moteur et frein de votre commerce</w:t>
            </w:r>
          </w:p>
          <w:p>
            <w:r>
              <w:rPr>
                <w:b/>
              </w:rPr>
              <w:t>Chapitre 2.</w:t>
            </w:r>
            <w:r>
              <w:rPr>
                <w:b w:val="0"/>
              </w:rPr>
              <w:t xml:space="preserve"> Calculer le stock dont vous avez vraiment besoin</w:t>
            </w:r>
          </w:p>
          <w:p>
            <w:r>
              <w:rPr>
                <w:b/>
              </w:rPr>
              <w:t>Chapitre 3.</w:t>
            </w:r>
            <w:r>
              <w:rPr>
                <w:b w:val="0"/>
              </w:rPr>
              <w:t xml:space="preserve"> Les cinq façons de financer son stock, comparées</w:t>
            </w:r>
          </w:p>
          <w:p>
            <w:r>
              <w:rPr>
                <w:b/>
              </w:rPr>
              <w:t>Chapitre 4.</w:t>
            </w:r>
            <w:r>
              <w:rPr>
                <w:b w:val="0"/>
              </w:rPr>
              <w:t xml:space="preserve"> L'avance de stock Waribei, pas à pas</w:t>
            </w:r>
          </w:p>
          <w:p>
            <w:r>
              <w:rPr>
                <w:b/>
              </w:rPr>
              <w:t>Chapitre 5.</w:t>
            </w:r>
            <w:r>
              <w:rPr>
                <w:b w:val="0"/>
              </w:rPr>
              <w:t xml:space="preserve"> Rembourser sereinement et grandir</w:t>
            </w:r>
          </w:p>
          <w:p>
            <w:r>
              <w:rPr>
                <w:b/>
              </w:rPr>
              <w:t>Chapitre 6.</w:t>
            </w:r>
            <w:r>
              <w:rPr>
                <w:b w:val="0"/>
              </w:rPr>
              <w:t xml:space="preserve"> Vos outils à remplir</w:t>
            </w:r>
          </w:p>
        </w:tc>
      </w:tr>
    </w:tbl>
    <w:p/>
    <w:p>
      <w:r>
        <w:rPr>
          <w:b/>
        </w:rPr>
        <w:t>À qui s'adresse ce guide ?</w:t>
      </w:r>
      <w:r>
        <w:rPr>
          <w:b w:val="0"/>
        </w:rPr>
        <w:t xml:space="preserve"> Aux commerçants, boutiquiers, demi-grossistes et revendeurs qui veulent vendre plus mais manquent souvent de marchandises au mauvais moment. Lecture : 15 minutes. Les exemples chiffrés sont des exemples de calcul, à remplacer par vos propres chiffres.</w:t>
      </w:r>
    </w:p>
    <w:p>
      <w:pPr>
        <w:pStyle w:val="Heading1"/>
      </w:pPr>
      <w:r>
        <w:t>Chapitre 1. Le stock, moteur et frein de votre commerce</w:t>
      </w:r>
    </w:p>
    <w:p>
      <w:r>
        <w:rPr>
          <w:b w:val="0"/>
        </w:rPr>
        <w:t>Dans un commerce, on ne vend que ce qu'on a dans sa boutique. Un rayon vide, c'est un client qui repart chez le voisin, et parfois qui ne revient pas. Mais remplir ses rayons demande de l'argent tout de suite, alors que l'argent des ventes arrive plus tard. C'est le grand casse-tête du commerçant : pour gagner plus, il faut acheter plus ; pour acheter plus, il faut déjà avoir gagné.</w:t>
      </w:r>
    </w:p>
    <w:p>
      <w:r>
        <w:rPr>
          <w:b w:val="0"/>
        </w:rPr>
        <w:t>Trois signes montrent que le stock freine votre commerce :</w:t>
      </w:r>
    </w:p>
    <w:p>
      <w:pPr>
        <w:pStyle w:val="ListBullet"/>
      </w:pPr>
      <w:r>
        <w:rPr>
          <w:b/>
        </w:rPr>
        <w:t>Vous êtes souvent en rupture</w:t>
      </w:r>
      <w:r>
        <w:rPr>
          <w:b w:val="0"/>
        </w:rPr>
        <w:t xml:space="preserve"> sur les produits qui se vendent le mieux.</w:t>
      </w:r>
    </w:p>
    <w:p>
      <w:pPr>
        <w:pStyle w:val="ListBullet"/>
      </w:pPr>
      <w:r>
        <w:rPr>
          <w:b/>
        </w:rPr>
        <w:t>Vous refusez des commandes</w:t>
      </w:r>
      <w:r>
        <w:rPr>
          <w:b w:val="0"/>
        </w:rPr>
        <w:t xml:space="preserve"> de clients parce que vous n'avez pas assez de marchandise.</w:t>
      </w:r>
    </w:p>
    <w:p>
      <w:pPr>
        <w:pStyle w:val="ListBullet"/>
      </w:pPr>
      <w:r>
        <w:rPr>
          <w:b/>
        </w:rPr>
        <w:t>Vous achetez en petites quantités</w:t>
      </w:r>
      <w:r>
        <w:rPr>
          <w:b w:val="0"/>
        </w:rPr>
        <w:t>, donc plus cher, faute de pouvoir payer une grosse commande d'un coup.</w:t>
      </w:r>
    </w:p>
    <w:p>
      <w:pPr>
        <w:ind w:left="567"/>
      </w:pPr>
      <w:r>
        <w:rPr>
          <w:i/>
          <w:color w:val="F83131"/>
        </w:rPr>
        <w:t>« Avant, c'était tellement compliqué de trouver des fonds pour travailler ou des fournisseurs qui me donnent des délais de paiement. » Assétou, caviste</w:t>
      </w:r>
    </w:p>
    <w:p>
      <w:pPr>
        <w:pStyle w:val="Heading1"/>
      </w:pPr>
      <w:r>
        <w:t>Chapitre 2. Calculer le stock dont vous avez vraiment besoin</w:t>
      </w:r>
    </w:p>
    <w:p>
      <w:r>
        <w:rPr>
          <w:b w:val="0"/>
        </w:rPr>
        <w:t>Avant de chercher un financement, il faut savoir combien de stock il vous faut. Trop peu, vous perdez des ventes. Trop, votre argent dort dans la réserve. Trois chiffres suffisent.</w:t>
      </w:r>
    </w:p>
    <w:p>
      <w:pPr>
        <w:pStyle w:val="Heading2"/>
      </w:pPr>
      <w:r>
        <w:t>Étape 1. Vos ventes par semaine</w:t>
      </w:r>
    </w:p>
    <w:p>
      <w:r>
        <w:rPr>
          <w:b w:val="0"/>
        </w:rPr>
        <w:t>Pour chacun de vos 10 produits les plus vendus, notez combien d'unités vous vendez en moyenne par semaine. Regardez votre cahier ou vos messages de commande sur un mois.</w:t>
      </w:r>
    </w:p>
    <w:p>
      <w:pPr>
        <w:pStyle w:val="Heading2"/>
      </w:pPr>
      <w:r>
        <w:t>Étape 2. Le délai de réapprovisionnement</w:t>
      </w:r>
    </w:p>
    <w:p>
      <w:r>
        <w:rPr>
          <w:b w:val="0"/>
        </w:rPr>
        <w:t>Combien de jours entre le moment où vous commandez et celui où la marchandise est dans votre boutique ? Ajoutez quelques jours de sécurité pour les imprévus (route, rupture chez le fournisseur).</w:t>
      </w:r>
    </w:p>
    <w:p>
      <w:pPr>
        <w:pStyle w:val="Heading2"/>
      </w:pPr>
      <w:r>
        <w:t>Étape 3. Le stock minimum</w:t>
      </w:r>
    </w:p>
    <w:p>
      <w:r>
        <w:rPr>
          <w:b w:val="0"/>
        </w:rPr>
        <w:t>Stock minimum = ventes par jour × (délai de réapprovisionnement + jours de sécurité). Quand votre stock descend sous ce chiffre, il est temps de recommander.</w:t>
      </w:r>
    </w:p>
    <w:tbl>
      <w:tblPr>
        <w:tblW w:type="auto" w:w="0"/>
        <w:tblLook w:firstColumn="1" w:firstRow="1" w:lastColumn="0" w:lastRow="0" w:noHBand="0" w:noVBand="1" w:val="04A0"/>
        <w:tblBorders>
          <w:top w:val="single" w:sz="4" w:color="F83131"/>
          <w:left w:val="single" w:sz="4" w:color="F83131"/>
          <w:bottom w:val="single" w:sz="4" w:color="F83131"/>
          <w:right w:val="single" w:sz="4" w:color="F83131"/>
          <w:insideH w:val="single" w:sz="4" w:color="F83131"/>
          <w:insideV w:val="single" w:sz="4" w:color="F83131"/>
        </w:tblBorders>
      </w:tblPr>
      <w:tblGrid>
        <w:gridCol w:w="9746"/>
      </w:tblGrid>
      <w:tr>
        <w:tc>
          <w:tcPr>
            <w:tcW w:type="dxa" w:w="9746"/>
            <w:shd w:val="clear" w:color="auto" w:fill="FEF1F1"/>
          </w:tcPr>
          <w:p>
            <w:r>
              <w:rPr>
                <w:b/>
                <w:color w:val="064C72"/>
                <w:sz w:val="24"/>
              </w:rPr>
              <w:t>Exemple de calcul</w:t>
            </w:r>
          </w:p>
          <w:p>
            <w:r>
              <w:rPr>
                <w:b w:val="0"/>
              </w:rPr>
              <w:t>Une boutique vend 70 bouteilles d'huile par semaine, soit 10 par jour.</w:t>
            </w:r>
          </w:p>
          <w:p>
            <w:r>
              <w:rPr>
                <w:b w:val="0"/>
              </w:rPr>
              <w:t>Le fournisseur livre en 3 jours ; la boutique garde 2 jours de sécurité.</w:t>
            </w:r>
          </w:p>
          <w:p>
            <w:r>
              <w:rPr>
                <w:b w:val="0"/>
              </w:rPr>
              <w:t xml:space="preserve">Stock minimum : 10 × (3 + 2) = </w:t>
            </w:r>
            <w:r>
              <w:rPr>
                <w:b/>
              </w:rPr>
              <w:t>50 bouteilles</w:t>
            </w:r>
            <w:r>
              <w:rPr>
                <w:b w:val="0"/>
              </w:rPr>
              <w:t>. En dessous, on recommande.</w:t>
            </w:r>
          </w:p>
          <w:p>
            <w:r>
              <w:rPr>
                <w:b w:val="0"/>
              </w:rPr>
              <w:t>Si la boutique vend 30 % de plus pendant les fêtes, le stock minimum passe à 65 bouteilles : c'est le moment de financer un stock plus gros.</w:t>
            </w:r>
          </w:p>
        </w:tc>
      </w:tr>
    </w:tbl>
    <w:p/>
    <w:p>
      <w:pPr>
        <w:pStyle w:val="Heading2"/>
      </w:pPr>
      <w:r>
        <w:t>Étape 4. Ce que rapporte un stock de plus</w:t>
      </w:r>
    </w:p>
    <w:p>
      <w:r>
        <w:rPr>
          <w:b w:val="0"/>
        </w:rPr>
        <w:t>Pour chaque produit, notez votre marge (prix de vente moins prix d'achat). Si un stock supplémentaire vous permet de vendre 100 unités de plus avec 200 F de marge chacune, il vous rapporte 20 000 F. Comparez toujours ce gain au coût du financement : un financement n'est bon que s'il vous rapporte plus qu'il ne vous coûte.</w:t>
      </w:r>
    </w:p>
    <w:p>
      <w:pPr>
        <w:pStyle w:val="Heading1"/>
      </w:pPr>
      <w:r>
        <w:t>Chapitre 3. Les cinq façons de financer son stock, comparées</w:t>
      </w:r>
    </w:p>
    <w:tbl>
      <w:tblPr>
        <w:tblW w:type="auto" w:w="0"/>
        <w:tblLayout w:type="fixed"/>
        <w:tblLook w:firstColumn="1" w:firstRow="1" w:lastColumn="0" w:lastRow="0" w:noHBand="0" w:noVBand="1" w:val="04A0"/>
        <w:tblBorders>
          <w:top w:val="single" w:sz="4" w:color="E6E9EF"/>
          <w:left w:val="single" w:sz="4" w:color="E6E9EF"/>
          <w:bottom w:val="single" w:sz="4" w:color="E6E9EF"/>
          <w:right w:val="single" w:sz="4" w:color="E6E9EF"/>
          <w:insideH w:val="single" w:sz="4" w:color="E6E9EF"/>
          <w:insideV w:val="single" w:sz="4" w:color="E6E9EF"/>
        </w:tblBorders>
        <w:tblLayout w:type="fixed"/>
      </w:tblPr>
      <w:tblGrid>
        <w:gridCol w:w="2058"/>
        <w:gridCol w:w="2235"/>
        <w:gridCol w:w="2470"/>
        <w:gridCol w:w="2647"/>
      </w:tblGrid>
      <w:tr>
        <w:tc>
          <w:tcPr>
            <w:tcW w:type="dxa" w:w="2059"/>
            <w:shd w:val="clear" w:color="auto" w:fill="064C72"/>
          </w:tcPr>
          <w:p>
            <w:r/>
            <w:r>
              <w:rPr>
                <w:b/>
                <w:color w:val="FFFFFF"/>
                <w:sz w:val="20"/>
              </w:rPr>
              <w:t>Solution</w:t>
            </w:r>
          </w:p>
        </w:tc>
        <w:tc>
          <w:tcPr>
            <w:tcW w:type="dxa" w:w="2235"/>
            <w:shd w:val="clear" w:color="auto" w:fill="064C72"/>
          </w:tcPr>
          <w:p>
            <w:r/>
            <w:r>
              <w:rPr>
                <w:b/>
                <w:color w:val="FFFFFF"/>
                <w:sz w:val="20"/>
              </w:rPr>
              <w:t>Ce qu'il faut</w:t>
            </w:r>
          </w:p>
        </w:tc>
        <w:tc>
          <w:tcPr>
            <w:tcW w:type="dxa" w:w="2470"/>
            <w:shd w:val="clear" w:color="auto" w:fill="064C72"/>
          </w:tcPr>
          <w:p>
            <w:r/>
            <w:r>
              <w:rPr>
                <w:b/>
                <w:color w:val="FFFFFF"/>
                <w:sz w:val="20"/>
              </w:rPr>
              <w:t>Points forts</w:t>
            </w:r>
          </w:p>
        </w:tc>
        <w:tc>
          <w:tcPr>
            <w:tcW w:type="dxa" w:w="2647"/>
            <w:shd w:val="clear" w:color="auto" w:fill="064C72"/>
          </w:tcPr>
          <w:p>
            <w:r/>
            <w:r>
              <w:rPr>
                <w:b/>
                <w:color w:val="FFFFFF"/>
                <w:sz w:val="20"/>
              </w:rPr>
              <w:t>Points de vigilance</w:t>
            </w:r>
          </w:p>
        </w:tc>
      </w:tr>
      <w:tr>
        <w:tc>
          <w:tcPr>
            <w:tcW w:type="dxa" w:w="2059"/>
          </w:tcPr>
          <w:p>
            <w:r/>
            <w:r>
              <w:rPr>
                <w:b w:val="0"/>
                <w:sz w:val="20"/>
              </w:rPr>
              <w:t>Épargne personnelle et tontine</w:t>
            </w:r>
          </w:p>
        </w:tc>
        <w:tc>
          <w:tcPr>
            <w:tcW w:type="dxa" w:w="2235"/>
          </w:tcPr>
          <w:p>
            <w:r/>
            <w:r>
              <w:rPr>
                <w:b w:val="0"/>
                <w:sz w:val="20"/>
              </w:rPr>
              <w:t>De l'argent mis de côté</w:t>
            </w:r>
          </w:p>
        </w:tc>
        <w:tc>
          <w:tcPr>
            <w:tcW w:type="dxa" w:w="2470"/>
          </w:tcPr>
          <w:p>
            <w:r/>
            <w:r>
              <w:rPr>
                <w:b w:val="0"/>
                <w:sz w:val="20"/>
              </w:rPr>
              <w:t>Pas de dette</w:t>
            </w:r>
          </w:p>
        </w:tc>
        <w:tc>
          <w:tcPr>
            <w:tcW w:type="dxa" w:w="2647"/>
          </w:tcPr>
          <w:p>
            <w:r/>
            <w:r>
              <w:rPr>
                <w:b w:val="0"/>
                <w:sz w:val="20"/>
              </w:rPr>
              <w:t>Lent ; bloque l'argent du foyer</w:t>
            </w:r>
          </w:p>
        </w:tc>
      </w:tr>
      <w:tr>
        <w:tc>
          <w:tcPr>
            <w:tcW w:type="dxa" w:w="2059"/>
            <w:shd w:val="clear" w:color="auto" w:fill="FEF1F1"/>
          </w:tcPr>
          <w:p>
            <w:r/>
            <w:r>
              <w:rPr>
                <w:b w:val="0"/>
                <w:sz w:val="20"/>
              </w:rPr>
              <w:t>Crédit du fournisseur</w:t>
            </w:r>
          </w:p>
        </w:tc>
        <w:tc>
          <w:tcPr>
            <w:tcW w:type="dxa" w:w="2235"/>
            <w:shd w:val="clear" w:color="auto" w:fill="FEF1F1"/>
          </w:tcPr>
          <w:p>
            <w:r/>
            <w:r>
              <w:rPr>
                <w:b w:val="0"/>
                <w:sz w:val="20"/>
              </w:rPr>
              <w:t>Une relation de confiance avec lui</w:t>
            </w:r>
          </w:p>
        </w:tc>
        <w:tc>
          <w:tcPr>
            <w:tcW w:type="dxa" w:w="2470"/>
            <w:shd w:val="clear" w:color="auto" w:fill="FEF1F1"/>
          </w:tcPr>
          <w:p>
            <w:r/>
            <w:r>
              <w:rPr>
                <w:b w:val="0"/>
                <w:sz w:val="20"/>
              </w:rPr>
              <w:t>Simple, rapide</w:t>
            </w:r>
          </w:p>
        </w:tc>
        <w:tc>
          <w:tcPr>
            <w:tcW w:type="dxa" w:w="2647"/>
            <w:shd w:val="clear" w:color="auto" w:fill="FEF1F1"/>
          </w:tcPr>
          <w:p>
            <w:r/>
            <w:r>
              <w:rPr>
                <w:b w:val="0"/>
                <w:sz w:val="20"/>
              </w:rPr>
              <w:t>Réservé aux meilleurs clients ; montants faibles</w:t>
            </w:r>
          </w:p>
        </w:tc>
      </w:tr>
      <w:tr>
        <w:tc>
          <w:tcPr>
            <w:tcW w:type="dxa" w:w="2059"/>
          </w:tcPr>
          <w:p>
            <w:r/>
            <w:r>
              <w:rPr>
                <w:b w:val="0"/>
                <w:sz w:val="20"/>
              </w:rPr>
              <w:t>Microfinance</w:t>
            </w:r>
          </w:p>
        </w:tc>
        <w:tc>
          <w:tcPr>
            <w:tcW w:type="dxa" w:w="2235"/>
          </w:tcPr>
          <w:p>
            <w:r/>
            <w:r>
              <w:rPr>
                <w:b w:val="0"/>
                <w:sz w:val="20"/>
              </w:rPr>
              <w:t>Dossier, souvent une garantie ou un groupe</w:t>
            </w:r>
          </w:p>
        </w:tc>
        <w:tc>
          <w:tcPr>
            <w:tcW w:type="dxa" w:w="2470"/>
          </w:tcPr>
          <w:p>
            <w:r/>
            <w:r>
              <w:rPr>
                <w:b w:val="0"/>
                <w:sz w:val="20"/>
              </w:rPr>
              <w:t>Montants adaptés aux petits commerces</w:t>
            </w:r>
          </w:p>
        </w:tc>
        <w:tc>
          <w:tcPr>
            <w:tcW w:type="dxa" w:w="2647"/>
          </w:tcPr>
          <w:p>
            <w:r/>
            <w:r>
              <w:rPr>
                <w:b w:val="0"/>
                <w:sz w:val="20"/>
              </w:rPr>
              <w:t>Délais de dossier ; remboursements fixes même quand les ventes baissent</w:t>
            </w:r>
          </w:p>
        </w:tc>
      </w:tr>
      <w:tr>
        <w:tc>
          <w:tcPr>
            <w:tcW w:type="dxa" w:w="2059"/>
            <w:shd w:val="clear" w:color="auto" w:fill="FEF1F1"/>
          </w:tcPr>
          <w:p>
            <w:r/>
            <w:r>
              <w:rPr>
                <w:b w:val="0"/>
                <w:sz w:val="20"/>
              </w:rPr>
              <w:t>Banque</w:t>
            </w:r>
          </w:p>
        </w:tc>
        <w:tc>
          <w:tcPr>
            <w:tcW w:type="dxa" w:w="2235"/>
            <w:shd w:val="clear" w:color="auto" w:fill="FEF1F1"/>
          </w:tcPr>
          <w:p>
            <w:r/>
            <w:r>
              <w:rPr>
                <w:b w:val="0"/>
                <w:sz w:val="20"/>
              </w:rPr>
              <w:t>Comptes, historique, garanties</w:t>
            </w:r>
          </w:p>
        </w:tc>
        <w:tc>
          <w:tcPr>
            <w:tcW w:type="dxa" w:w="2470"/>
            <w:shd w:val="clear" w:color="auto" w:fill="FEF1F1"/>
          </w:tcPr>
          <w:p>
            <w:r/>
            <w:r>
              <w:rPr>
                <w:b w:val="0"/>
                <w:sz w:val="20"/>
              </w:rPr>
              <w:t>Montants plus élevés</w:t>
            </w:r>
          </w:p>
        </w:tc>
        <w:tc>
          <w:tcPr>
            <w:tcW w:type="dxa" w:w="2647"/>
            <w:shd w:val="clear" w:color="auto" w:fill="FEF1F1"/>
          </w:tcPr>
          <w:p>
            <w:r/>
            <w:r>
              <w:rPr>
                <w:b w:val="0"/>
                <w:sz w:val="20"/>
              </w:rPr>
              <w:t>Difficile d'accès pour l'informel</w:t>
            </w:r>
          </w:p>
        </w:tc>
      </w:tr>
      <w:tr>
        <w:tc>
          <w:tcPr>
            <w:tcW w:type="dxa" w:w="2059"/>
          </w:tcPr>
          <w:p>
            <w:r/>
            <w:r>
              <w:rPr>
                <w:b w:val="0"/>
                <w:sz w:val="20"/>
              </w:rPr>
              <w:t>Avance de stock</w:t>
            </w:r>
          </w:p>
        </w:tc>
        <w:tc>
          <w:tcPr>
            <w:tcW w:type="dxa" w:w="2235"/>
          </w:tcPr>
          <w:p>
            <w:r/>
            <w:r>
              <w:rPr>
                <w:b w:val="0"/>
                <w:sz w:val="20"/>
              </w:rPr>
              <w:t>Un fournisseur partenaire</w:t>
            </w:r>
          </w:p>
        </w:tc>
        <w:tc>
          <w:tcPr>
            <w:tcW w:type="dxa" w:w="2470"/>
          </w:tcPr>
          <w:p>
            <w:r/>
            <w:r>
              <w:rPr>
                <w:b w:val="0"/>
                <w:sz w:val="20"/>
              </w:rPr>
              <w:t>Pas de garantie demandée ; marchandise tout de suite ; on paie après avoir vendu</w:t>
            </w:r>
          </w:p>
        </w:tc>
        <w:tc>
          <w:tcPr>
            <w:tcW w:type="dxa" w:w="2647"/>
          </w:tcPr>
          <w:p>
            <w:r/>
            <w:r>
              <w:rPr>
                <w:b w:val="0"/>
                <w:sz w:val="20"/>
              </w:rPr>
              <w:t>Fonctionne avec les fournisseurs partenaires</w:t>
            </w:r>
          </w:p>
        </w:tc>
      </w:tr>
    </w:tbl>
    <w:p/>
    <w:p>
      <w:r>
        <w:rPr>
          <w:b w:val="0"/>
        </w:rPr>
        <w:t>Il n'y a pas de solution parfaite pour tout le monde. Le bon choix dépend de la vitesse à laquelle vous vendez, du montant dont vous avez besoin et de la relation que vous avez avec vos fournisseurs. Pour un commerçant qui vend vite et achète toujours chez les mêmes fournisseurs, l'avance de stock est souvent la plus adaptée.</w:t>
      </w:r>
    </w:p>
    <w:p>
      <w:pPr>
        <w:pStyle w:val="Heading1"/>
      </w:pPr>
      <w:r>
        <w:t>Chapitre 4. L'avance de stock Waribei, pas à pas</w:t>
      </w:r>
    </w:p>
    <w:p>
      <w:r>
        <w:rPr>
          <w:b w:val="0"/>
        </w:rPr>
        <w:t>Waribei avance la marchandise aux commerçants : vous prenez votre stock chez votre fournisseur partenaire, Waribei le paie pour vous, et vous remboursez après avoir vendu.</w:t>
      </w:r>
    </w:p>
    <w:p>
      <w:pPr>
        <w:pStyle w:val="ListNumber"/>
      </w:pPr>
      <w:r>
        <w:rPr>
          <w:b/>
        </w:rPr>
        <w:t>Téléchargez l'application Waribei</w:t>
      </w:r>
      <w:r>
        <w:rPr>
          <w:b w:val="0"/>
        </w:rPr>
        <w:t xml:space="preserve"> et créez votre compte.</w:t>
      </w:r>
    </w:p>
    <w:p>
      <w:pPr>
        <w:pStyle w:val="ListNumber"/>
      </w:pPr>
      <w:r>
        <w:rPr>
          <w:b/>
        </w:rPr>
        <w:t>Vérifiez que votre fournisseur est partenaire</w:t>
      </w:r>
      <w:r>
        <w:rPr>
          <w:b w:val="0"/>
        </w:rPr>
        <w:t xml:space="preserve"> de Waribei directement dans l'application.</w:t>
      </w:r>
    </w:p>
    <w:p>
      <w:pPr>
        <w:pStyle w:val="ListNumber"/>
      </w:pPr>
      <w:r>
        <w:rPr>
          <w:b/>
        </w:rPr>
        <w:t>Découvrez en un clic le montant d'avance</w:t>
      </w:r>
      <w:r>
        <w:rPr>
          <w:b w:val="0"/>
        </w:rPr>
        <w:t xml:space="preserve"> en stock dont vous disposez.</w:t>
      </w:r>
    </w:p>
    <w:p>
      <w:pPr>
        <w:pStyle w:val="ListNumber"/>
      </w:pPr>
      <w:r>
        <w:rPr>
          <w:b/>
        </w:rPr>
        <w:t>Prenez votre marchandise</w:t>
      </w:r>
      <w:r>
        <w:rPr>
          <w:b w:val="0"/>
        </w:rPr>
        <w:t xml:space="preserve"> chez votre fournisseur : le paiement se fait par le code QR Waribei, directement au fournisseur.</w:t>
      </w:r>
    </w:p>
    <w:p>
      <w:pPr>
        <w:pStyle w:val="ListNumber"/>
      </w:pPr>
      <w:r>
        <w:rPr>
          <w:b/>
        </w:rPr>
        <w:t>Vendez, puis remboursez</w:t>
      </w:r>
      <w:r>
        <w:rPr>
          <w:b w:val="0"/>
        </w:rPr>
        <w:t xml:space="preserve"> dans le délai de paiement prévu.</w:t>
      </w:r>
    </w:p>
    <w:tbl>
      <w:tblPr>
        <w:tblW w:type="auto" w:w="0"/>
        <w:tblLook w:firstColumn="1" w:firstRow="1" w:lastColumn="0" w:lastRow="0" w:noHBand="0" w:noVBand="1" w:val="04A0"/>
        <w:tblBorders>
          <w:top w:val="single" w:sz="4" w:color="F83131"/>
          <w:left w:val="single" w:sz="4" w:color="F83131"/>
          <w:bottom w:val="single" w:sz="4" w:color="F83131"/>
          <w:right w:val="single" w:sz="4" w:color="F83131"/>
          <w:insideH w:val="single" w:sz="4" w:color="F83131"/>
          <w:insideV w:val="single" w:sz="4" w:color="F83131"/>
        </w:tblBorders>
      </w:tblPr>
      <w:tblGrid>
        <w:gridCol w:w="9746"/>
      </w:tblGrid>
      <w:tr>
        <w:tc>
          <w:tcPr>
            <w:tcW w:type="dxa" w:w="9746"/>
            <w:shd w:val="clear" w:color="auto" w:fill="FEF1F1"/>
          </w:tcPr>
          <w:p>
            <w:r>
              <w:rPr>
                <w:b/>
                <w:color w:val="064C72"/>
                <w:sz w:val="24"/>
              </w:rPr>
              <w:t>Pourquoi des commerçants choisissent Waribei</w:t>
            </w:r>
          </w:p>
          <w:p>
            <w:r>
              <w:rPr>
                <w:b/>
              </w:rPr>
              <w:t>Aucune garantie demandée :</w:t>
            </w:r>
            <w:r>
              <w:rPr>
                <w:b w:val="0"/>
              </w:rPr>
              <w:t xml:space="preserve"> ni garantie, ni historique de crédit. Une relation existante avec votre fournisseur suffit.</w:t>
            </w:r>
          </w:p>
          <w:p>
            <w:r>
              <w:rPr>
                <w:b/>
              </w:rPr>
              <w:t>Rapidité :</w:t>
            </w:r>
            <w:r>
              <w:rPr>
                <w:b w:val="0"/>
              </w:rPr>
              <w:t xml:space="preserve"> le montant disponible s'affiche dans l'application et s'utilise tout de suite.</w:t>
            </w:r>
          </w:p>
          <w:p>
            <w:r>
              <w:rPr>
                <w:b/>
              </w:rPr>
              <w:t>Flexibilité :</w:t>
            </w:r>
            <w:r>
              <w:rPr>
                <w:b w:val="0"/>
              </w:rPr>
              <w:t xml:space="preserve"> un délai de paiement pour vendre vos marchandises avant de les payer.</w:t>
            </w:r>
          </w:p>
        </w:tc>
      </w:tr>
    </w:tbl>
    <w:p/>
    <w:p>
      <w:pPr>
        <w:ind w:left="567"/>
      </w:pPr>
      <w:r>
        <w:rPr>
          <w:i/>
          <w:color w:val="F83131"/>
        </w:rPr>
        <w:t>« Je veux utiliser Waribei pour booster mes ventes et fidéliser mes clients. Nous tous fournisseurs avons besoin de proposer des facilités de paiement, sauf que ce n'est pas notre métier. » Roger, demi-grossiste</w:t>
      </w:r>
    </w:p>
    <w:p>
      <w:pPr>
        <w:pStyle w:val="Heading1"/>
      </w:pPr>
      <w:r>
        <w:t>Chapitre 5. Rembourser sereinement et grandir</w:t>
      </w:r>
    </w:p>
    <w:p>
      <w:r>
        <w:rPr>
          <w:b w:val="0"/>
        </w:rPr>
        <w:t>Une avance bien utilisée fait grandir votre commerce ; une avance mal utilisée vous met sous pression. Cinq règles simples :</w:t>
      </w:r>
    </w:p>
    <w:p>
      <w:pPr>
        <w:pStyle w:val="ListNumber"/>
      </w:pPr>
      <w:r>
        <w:rPr>
          <w:b/>
        </w:rPr>
        <w:t>Financez les produits qui tournent vite.</w:t>
      </w:r>
      <w:r>
        <w:rPr>
          <w:b w:val="0"/>
        </w:rPr>
        <w:t xml:space="preserve"> L'avance sert aux produits que vous vendez en quelques jours, pas à ceux qui dorment en réserve.</w:t>
      </w:r>
    </w:p>
    <w:p>
      <w:pPr>
        <w:pStyle w:val="ListNumber"/>
      </w:pPr>
      <w:r>
        <w:rPr>
          <w:b/>
        </w:rPr>
        <w:t>Mettez de côté chaque jour.</w:t>
      </w:r>
      <w:r>
        <w:rPr>
          <w:b w:val="0"/>
        </w:rPr>
        <w:t xml:space="preserve"> Gardez une partie de la recette quotidienne pour le remboursement, dans une caisse ou un compte à part.</w:t>
      </w:r>
    </w:p>
    <w:p>
      <w:pPr>
        <w:pStyle w:val="ListNumber"/>
      </w:pPr>
      <w:r>
        <w:rPr>
          <w:b/>
        </w:rPr>
        <w:t>Ne mélangez pas l'argent de la boutique et celui du foyer.</w:t>
      </w:r>
      <w:r>
        <w:rPr>
          <w:b w:val="0"/>
        </w:rPr>
        <w:t xml:space="preserve"> C'est la première cause de difficultés de remboursement.</w:t>
      </w:r>
    </w:p>
    <w:p>
      <w:pPr>
        <w:pStyle w:val="ListNumber"/>
      </w:pPr>
      <w:r>
        <w:rPr>
          <w:b/>
        </w:rPr>
        <w:t>Remboursez à l'heure.</w:t>
      </w:r>
      <w:r>
        <w:rPr>
          <w:b w:val="0"/>
        </w:rPr>
        <w:t xml:space="preserve"> Un bon historique de remboursement est la base pour obtenir des montants plus importants.</w:t>
      </w:r>
    </w:p>
    <w:p>
      <w:pPr>
        <w:pStyle w:val="ListNumber"/>
      </w:pPr>
      <w:r>
        <w:rPr>
          <w:b/>
        </w:rPr>
        <w:t>Notez tout.</w:t>
      </w:r>
      <w:r>
        <w:rPr>
          <w:b w:val="0"/>
        </w:rPr>
        <w:t xml:space="preserve"> Ventes, achats, remboursements : ce que vous notez aujourd'hui est votre dossier financier de demain.</w:t>
      </w:r>
    </w:p>
    <w:p>
      <w:pPr>
        <w:pStyle w:val="Heading1"/>
      </w:pPr>
      <w:r>
        <w:t>Chapitre 6. Vos outils à remplir</w:t>
      </w:r>
    </w:p>
    <w:p>
      <w:pPr>
        <w:pStyle w:val="Heading2"/>
      </w:pPr>
      <w:r>
        <w:t>Fiche 1. Mon stock minimum</w:t>
      </w:r>
    </w:p>
    <w:tbl>
      <w:tblPr>
        <w:tblW w:type="auto" w:w="0"/>
        <w:tblLayout w:type="fixed"/>
        <w:tblLook w:firstColumn="1" w:firstRow="1" w:lastColumn="0" w:lastRow="0" w:noHBand="0" w:noVBand="1" w:val="04A0"/>
        <w:tblBorders>
          <w:top w:val="single" w:sz="4" w:color="E6E9EF"/>
          <w:left w:val="single" w:sz="4" w:color="E6E9EF"/>
          <w:bottom w:val="single" w:sz="4" w:color="E6E9EF"/>
          <w:right w:val="single" w:sz="4" w:color="E6E9EF"/>
          <w:insideH w:val="single" w:sz="4" w:color="E6E9EF"/>
          <w:insideV w:val="single" w:sz="4" w:color="E6E9EF"/>
        </w:tblBorders>
        <w:tblLayout w:type="fixed"/>
      </w:tblPr>
      <w:tblGrid>
        <w:gridCol w:w="2353"/>
        <w:gridCol w:w="1764"/>
        <w:gridCol w:w="1941"/>
        <w:gridCol w:w="1647"/>
        <w:gridCol w:w="1705"/>
      </w:tblGrid>
      <w:tr>
        <w:tc>
          <w:tcPr>
            <w:tcW w:type="dxa" w:w="2353"/>
            <w:shd w:val="clear" w:color="auto" w:fill="064C72"/>
          </w:tcPr>
          <w:p>
            <w:r/>
            <w:r>
              <w:rPr>
                <w:b/>
                <w:color w:val="FFFFFF"/>
                <w:sz w:val="20"/>
              </w:rPr>
              <w:t>Produit</w:t>
            </w:r>
          </w:p>
        </w:tc>
        <w:tc>
          <w:tcPr>
            <w:tcW w:type="dxa" w:w="1765"/>
            <w:shd w:val="clear" w:color="auto" w:fill="064C72"/>
          </w:tcPr>
          <w:p>
            <w:r/>
            <w:r>
              <w:rPr>
                <w:b/>
                <w:color w:val="FFFFFF"/>
                <w:sz w:val="20"/>
              </w:rPr>
              <w:t>Ventes par jour</w:t>
            </w:r>
          </w:p>
        </w:tc>
        <w:tc>
          <w:tcPr>
            <w:tcW w:type="dxa" w:w="1941"/>
            <w:shd w:val="clear" w:color="auto" w:fill="064C72"/>
          </w:tcPr>
          <w:p>
            <w:r/>
            <w:r>
              <w:rPr>
                <w:b/>
                <w:color w:val="FFFFFF"/>
                <w:sz w:val="20"/>
              </w:rPr>
              <w:t>Délai fournisseur (jours)</w:t>
            </w:r>
          </w:p>
        </w:tc>
        <w:tc>
          <w:tcPr>
            <w:tcW w:type="dxa" w:w="1647"/>
            <w:shd w:val="clear" w:color="auto" w:fill="064C72"/>
          </w:tcPr>
          <w:p>
            <w:r/>
            <w:r>
              <w:rPr>
                <w:b/>
                <w:color w:val="FFFFFF"/>
                <w:sz w:val="20"/>
              </w:rPr>
              <w:t>Jours de sécurité</w:t>
            </w:r>
          </w:p>
        </w:tc>
        <w:tc>
          <w:tcPr>
            <w:tcW w:type="dxa" w:w="1706"/>
            <w:shd w:val="clear" w:color="auto" w:fill="064C72"/>
          </w:tcPr>
          <w:p>
            <w:r/>
            <w:r>
              <w:rPr>
                <w:b/>
                <w:color w:val="FFFFFF"/>
                <w:sz w:val="20"/>
              </w:rPr>
              <w:t>Stock minimum</w:t>
            </w:r>
          </w:p>
        </w:tc>
      </w:tr>
      <w:tr>
        <w:tc>
          <w:tcPr>
            <w:tcW w:type="dxa" w:w="2353"/>
          </w:tcPr>
          <w:p>
            <w:r/>
          </w:p>
        </w:tc>
        <w:tc>
          <w:tcPr>
            <w:tcW w:type="dxa" w:w="1765"/>
          </w:tcPr>
          <w:p>
            <w:r/>
          </w:p>
        </w:tc>
        <w:tc>
          <w:tcPr>
            <w:tcW w:type="dxa" w:w="1941"/>
          </w:tcPr>
          <w:p>
            <w:r/>
          </w:p>
        </w:tc>
        <w:tc>
          <w:tcPr>
            <w:tcW w:type="dxa" w:w="1647"/>
          </w:tcPr>
          <w:p>
            <w:r/>
          </w:p>
        </w:tc>
        <w:tc>
          <w:tcPr>
            <w:tcW w:type="dxa" w:w="1706"/>
          </w:tcPr>
          <w:p>
            <w:r/>
          </w:p>
        </w:tc>
      </w:tr>
      <w:tr>
        <w:tc>
          <w:tcPr>
            <w:tcW w:type="dxa" w:w="2353"/>
            <w:shd w:val="clear" w:color="auto" w:fill="FEF1F1"/>
          </w:tcPr>
          <w:p>
            <w:r/>
          </w:p>
        </w:tc>
        <w:tc>
          <w:tcPr>
            <w:tcW w:type="dxa" w:w="1765"/>
            <w:shd w:val="clear" w:color="auto" w:fill="FEF1F1"/>
          </w:tcPr>
          <w:p>
            <w:r/>
          </w:p>
        </w:tc>
        <w:tc>
          <w:tcPr>
            <w:tcW w:type="dxa" w:w="1941"/>
            <w:shd w:val="clear" w:color="auto" w:fill="FEF1F1"/>
          </w:tcPr>
          <w:p>
            <w:r/>
          </w:p>
        </w:tc>
        <w:tc>
          <w:tcPr>
            <w:tcW w:type="dxa" w:w="1647"/>
            <w:shd w:val="clear" w:color="auto" w:fill="FEF1F1"/>
          </w:tcPr>
          <w:p>
            <w:r/>
          </w:p>
        </w:tc>
        <w:tc>
          <w:tcPr>
            <w:tcW w:type="dxa" w:w="1706"/>
            <w:shd w:val="clear" w:color="auto" w:fill="FEF1F1"/>
          </w:tcPr>
          <w:p>
            <w:r/>
          </w:p>
        </w:tc>
      </w:tr>
      <w:tr>
        <w:tc>
          <w:tcPr>
            <w:tcW w:type="dxa" w:w="2353"/>
          </w:tcPr>
          <w:p>
            <w:r/>
          </w:p>
        </w:tc>
        <w:tc>
          <w:tcPr>
            <w:tcW w:type="dxa" w:w="1765"/>
          </w:tcPr>
          <w:p>
            <w:r/>
          </w:p>
        </w:tc>
        <w:tc>
          <w:tcPr>
            <w:tcW w:type="dxa" w:w="1941"/>
          </w:tcPr>
          <w:p>
            <w:r/>
          </w:p>
        </w:tc>
        <w:tc>
          <w:tcPr>
            <w:tcW w:type="dxa" w:w="1647"/>
          </w:tcPr>
          <w:p>
            <w:r/>
          </w:p>
        </w:tc>
        <w:tc>
          <w:tcPr>
            <w:tcW w:type="dxa" w:w="1706"/>
          </w:tcPr>
          <w:p>
            <w:r/>
          </w:p>
        </w:tc>
      </w:tr>
      <w:tr>
        <w:tc>
          <w:tcPr>
            <w:tcW w:type="dxa" w:w="2353"/>
            <w:shd w:val="clear" w:color="auto" w:fill="FEF1F1"/>
          </w:tcPr>
          <w:p>
            <w:r/>
          </w:p>
        </w:tc>
        <w:tc>
          <w:tcPr>
            <w:tcW w:type="dxa" w:w="1765"/>
            <w:shd w:val="clear" w:color="auto" w:fill="FEF1F1"/>
          </w:tcPr>
          <w:p>
            <w:r/>
          </w:p>
        </w:tc>
        <w:tc>
          <w:tcPr>
            <w:tcW w:type="dxa" w:w="1941"/>
            <w:shd w:val="clear" w:color="auto" w:fill="FEF1F1"/>
          </w:tcPr>
          <w:p>
            <w:r/>
          </w:p>
        </w:tc>
        <w:tc>
          <w:tcPr>
            <w:tcW w:type="dxa" w:w="1647"/>
            <w:shd w:val="clear" w:color="auto" w:fill="FEF1F1"/>
          </w:tcPr>
          <w:p>
            <w:r/>
          </w:p>
        </w:tc>
        <w:tc>
          <w:tcPr>
            <w:tcW w:type="dxa" w:w="1706"/>
            <w:shd w:val="clear" w:color="auto" w:fill="FEF1F1"/>
          </w:tcPr>
          <w:p>
            <w:r/>
          </w:p>
        </w:tc>
      </w:tr>
      <w:tr>
        <w:tc>
          <w:tcPr>
            <w:tcW w:type="dxa" w:w="2353"/>
          </w:tcPr>
          <w:p>
            <w:r/>
          </w:p>
        </w:tc>
        <w:tc>
          <w:tcPr>
            <w:tcW w:type="dxa" w:w="1765"/>
          </w:tcPr>
          <w:p>
            <w:r/>
          </w:p>
        </w:tc>
        <w:tc>
          <w:tcPr>
            <w:tcW w:type="dxa" w:w="1941"/>
          </w:tcPr>
          <w:p>
            <w:r/>
          </w:p>
        </w:tc>
        <w:tc>
          <w:tcPr>
            <w:tcW w:type="dxa" w:w="1647"/>
          </w:tcPr>
          <w:p>
            <w:r/>
          </w:p>
        </w:tc>
        <w:tc>
          <w:tcPr>
            <w:tcW w:type="dxa" w:w="1706"/>
          </w:tcPr>
          <w:p>
            <w:r/>
          </w:p>
        </w:tc>
      </w:tr>
    </w:tbl>
    <w:p/>
    <w:p>
      <w:pPr>
        <w:pStyle w:val="Heading2"/>
      </w:pPr>
      <w:r>
        <w:t>Fiche 2. Ce que me rapporte un stock de plus</w:t>
      </w:r>
    </w:p>
    <w:tbl>
      <w:tblPr>
        <w:tblW w:type="auto" w:w="0"/>
        <w:tblLayout w:type="fixed"/>
        <w:tblLook w:firstColumn="1" w:firstRow="1" w:lastColumn="0" w:lastRow="0" w:noHBand="0" w:noVBand="1" w:val="04A0"/>
        <w:tblBorders>
          <w:top w:val="single" w:sz="4" w:color="E6E9EF"/>
          <w:left w:val="single" w:sz="4" w:color="E6E9EF"/>
          <w:bottom w:val="single" w:sz="4" w:color="E6E9EF"/>
          <w:right w:val="single" w:sz="4" w:color="E6E9EF"/>
          <w:insideH w:val="single" w:sz="4" w:color="E6E9EF"/>
          <w:insideV w:val="single" w:sz="4" w:color="E6E9EF"/>
        </w:tblBorders>
        <w:tblLayout w:type="fixed"/>
      </w:tblPr>
      <w:tblGrid>
        <w:gridCol w:w="1882"/>
        <w:gridCol w:w="1529"/>
        <w:gridCol w:w="1470"/>
        <w:gridCol w:w="1411"/>
        <w:gridCol w:w="1647"/>
        <w:gridCol w:w="1470"/>
      </w:tblGrid>
      <w:tr>
        <w:tc>
          <w:tcPr>
            <w:tcW w:type="dxa" w:w="1882"/>
            <w:shd w:val="clear" w:color="auto" w:fill="064C72"/>
          </w:tcPr>
          <w:p>
            <w:r/>
            <w:r>
              <w:rPr>
                <w:b/>
                <w:color w:val="FFFFFF"/>
                <w:sz w:val="20"/>
              </w:rPr>
              <w:t>Produit</w:t>
            </w:r>
          </w:p>
        </w:tc>
        <w:tc>
          <w:tcPr>
            <w:tcW w:type="dxa" w:w="1529"/>
            <w:shd w:val="clear" w:color="auto" w:fill="064C72"/>
          </w:tcPr>
          <w:p>
            <w:r/>
            <w:r>
              <w:rPr>
                <w:b/>
                <w:color w:val="FFFFFF"/>
                <w:sz w:val="20"/>
              </w:rPr>
              <w:t>Unités en plus vendues</w:t>
            </w:r>
          </w:p>
        </w:tc>
        <w:tc>
          <w:tcPr>
            <w:tcW w:type="dxa" w:w="1470"/>
            <w:shd w:val="clear" w:color="auto" w:fill="064C72"/>
          </w:tcPr>
          <w:p>
            <w:r/>
            <w:r>
              <w:rPr>
                <w:b/>
                <w:color w:val="FFFFFF"/>
                <w:sz w:val="20"/>
              </w:rPr>
              <w:t>Marge par unité</w:t>
            </w:r>
          </w:p>
        </w:tc>
        <w:tc>
          <w:tcPr>
            <w:tcW w:type="dxa" w:w="1412"/>
            <w:shd w:val="clear" w:color="auto" w:fill="064C72"/>
          </w:tcPr>
          <w:p>
            <w:r/>
            <w:r>
              <w:rPr>
                <w:b/>
                <w:color w:val="FFFFFF"/>
                <w:sz w:val="20"/>
              </w:rPr>
              <w:t>Gain total</w:t>
            </w:r>
          </w:p>
        </w:tc>
        <w:tc>
          <w:tcPr>
            <w:tcW w:type="dxa" w:w="1647"/>
            <w:shd w:val="clear" w:color="auto" w:fill="064C72"/>
          </w:tcPr>
          <w:p>
            <w:r/>
            <w:r>
              <w:rPr>
                <w:b/>
                <w:color w:val="FFFFFF"/>
                <w:sz w:val="20"/>
              </w:rPr>
              <w:t>Coût du financement</w:t>
            </w:r>
          </w:p>
        </w:tc>
        <w:tc>
          <w:tcPr>
            <w:tcW w:type="dxa" w:w="1470"/>
            <w:shd w:val="clear" w:color="auto" w:fill="064C72"/>
          </w:tcPr>
          <w:p>
            <w:r/>
            <w:r>
              <w:rPr>
                <w:b/>
                <w:color w:val="FFFFFF"/>
                <w:sz w:val="20"/>
              </w:rPr>
              <w:t>Je finance ?</w:t>
            </w:r>
          </w:p>
        </w:tc>
      </w:tr>
      <w:tr>
        <w:tc>
          <w:tcPr>
            <w:tcW w:type="dxa" w:w="1882"/>
          </w:tcPr>
          <w:p>
            <w:r/>
          </w:p>
        </w:tc>
        <w:tc>
          <w:tcPr>
            <w:tcW w:type="dxa" w:w="1529"/>
          </w:tcPr>
          <w:p>
            <w:r/>
          </w:p>
        </w:tc>
        <w:tc>
          <w:tcPr>
            <w:tcW w:type="dxa" w:w="1470"/>
          </w:tcPr>
          <w:p>
            <w:r/>
          </w:p>
        </w:tc>
        <w:tc>
          <w:tcPr>
            <w:tcW w:type="dxa" w:w="1412"/>
          </w:tcPr>
          <w:p>
            <w:r/>
          </w:p>
        </w:tc>
        <w:tc>
          <w:tcPr>
            <w:tcW w:type="dxa" w:w="1647"/>
          </w:tcPr>
          <w:p>
            <w:r/>
          </w:p>
        </w:tc>
        <w:tc>
          <w:tcPr>
            <w:tcW w:type="dxa" w:w="1470"/>
          </w:tcPr>
          <w:p>
            <w:r/>
          </w:p>
        </w:tc>
      </w:tr>
      <w:tr>
        <w:tc>
          <w:tcPr>
            <w:tcW w:type="dxa" w:w="1882"/>
            <w:shd w:val="clear" w:color="auto" w:fill="FEF1F1"/>
          </w:tcPr>
          <w:p>
            <w:r/>
          </w:p>
        </w:tc>
        <w:tc>
          <w:tcPr>
            <w:tcW w:type="dxa" w:w="1529"/>
            <w:shd w:val="clear" w:color="auto" w:fill="FEF1F1"/>
          </w:tcPr>
          <w:p>
            <w:r/>
          </w:p>
        </w:tc>
        <w:tc>
          <w:tcPr>
            <w:tcW w:type="dxa" w:w="1470"/>
            <w:shd w:val="clear" w:color="auto" w:fill="FEF1F1"/>
          </w:tcPr>
          <w:p>
            <w:r/>
          </w:p>
        </w:tc>
        <w:tc>
          <w:tcPr>
            <w:tcW w:type="dxa" w:w="1412"/>
            <w:shd w:val="clear" w:color="auto" w:fill="FEF1F1"/>
          </w:tcPr>
          <w:p>
            <w:r/>
          </w:p>
        </w:tc>
        <w:tc>
          <w:tcPr>
            <w:tcW w:type="dxa" w:w="1647"/>
            <w:shd w:val="clear" w:color="auto" w:fill="FEF1F1"/>
          </w:tcPr>
          <w:p>
            <w:r/>
          </w:p>
        </w:tc>
        <w:tc>
          <w:tcPr>
            <w:tcW w:type="dxa" w:w="1470"/>
            <w:shd w:val="clear" w:color="auto" w:fill="FEF1F1"/>
          </w:tcPr>
          <w:p>
            <w:r/>
          </w:p>
        </w:tc>
      </w:tr>
      <w:tr>
        <w:tc>
          <w:tcPr>
            <w:tcW w:type="dxa" w:w="1882"/>
          </w:tcPr>
          <w:p>
            <w:r/>
          </w:p>
        </w:tc>
        <w:tc>
          <w:tcPr>
            <w:tcW w:type="dxa" w:w="1529"/>
          </w:tcPr>
          <w:p>
            <w:r/>
          </w:p>
        </w:tc>
        <w:tc>
          <w:tcPr>
            <w:tcW w:type="dxa" w:w="1470"/>
          </w:tcPr>
          <w:p>
            <w:r/>
          </w:p>
        </w:tc>
        <w:tc>
          <w:tcPr>
            <w:tcW w:type="dxa" w:w="1412"/>
          </w:tcPr>
          <w:p>
            <w:r/>
          </w:p>
        </w:tc>
        <w:tc>
          <w:tcPr>
            <w:tcW w:type="dxa" w:w="1647"/>
          </w:tcPr>
          <w:p>
            <w:r/>
          </w:p>
        </w:tc>
        <w:tc>
          <w:tcPr>
            <w:tcW w:type="dxa" w:w="1470"/>
          </w:tcPr>
          <w:p>
            <w:r/>
          </w:p>
        </w:tc>
      </w:tr>
      <w:tr>
        <w:tc>
          <w:tcPr>
            <w:tcW w:type="dxa" w:w="1882"/>
            <w:shd w:val="clear" w:color="auto" w:fill="FEF1F1"/>
          </w:tcPr>
          <w:p>
            <w:r/>
          </w:p>
        </w:tc>
        <w:tc>
          <w:tcPr>
            <w:tcW w:type="dxa" w:w="1529"/>
            <w:shd w:val="clear" w:color="auto" w:fill="FEF1F1"/>
          </w:tcPr>
          <w:p>
            <w:r/>
          </w:p>
        </w:tc>
        <w:tc>
          <w:tcPr>
            <w:tcW w:type="dxa" w:w="1470"/>
            <w:shd w:val="clear" w:color="auto" w:fill="FEF1F1"/>
          </w:tcPr>
          <w:p>
            <w:r/>
          </w:p>
        </w:tc>
        <w:tc>
          <w:tcPr>
            <w:tcW w:type="dxa" w:w="1412"/>
            <w:shd w:val="clear" w:color="auto" w:fill="FEF1F1"/>
          </w:tcPr>
          <w:p>
            <w:r/>
          </w:p>
        </w:tc>
        <w:tc>
          <w:tcPr>
            <w:tcW w:type="dxa" w:w="1647"/>
            <w:shd w:val="clear" w:color="auto" w:fill="FEF1F1"/>
          </w:tcPr>
          <w:p>
            <w:r/>
          </w:p>
        </w:tc>
        <w:tc>
          <w:tcPr>
            <w:tcW w:type="dxa" w:w="1470"/>
            <w:shd w:val="clear" w:color="auto" w:fill="FEF1F1"/>
          </w:tcPr>
          <w:p>
            <w:r/>
          </w:p>
        </w:tc>
      </w:tr>
    </w:tbl>
    <w:p/>
    <w:p>
      <w:pPr>
        <w:pStyle w:val="Heading2"/>
      </w:pPr>
      <w:r>
        <w:t>Fiche 3. Ma liste de vérification avant de demander une avance</w:t>
      </w:r>
    </w:p>
    <w:p>
      <w:pPr>
        <w:pStyle w:val="ListBullet"/>
      </w:pPr>
      <w:r>
        <w:rPr>
          <w:b w:val="0"/>
        </w:rPr>
        <w:t>Je connais mes 10 produits les plus vendus et mes ventes par semaine.</w:t>
      </w:r>
    </w:p>
    <w:p>
      <w:pPr>
        <w:pStyle w:val="ListBullet"/>
      </w:pPr>
      <w:r>
        <w:rPr>
          <w:b w:val="0"/>
        </w:rPr>
        <w:t>Mon fournisseur est partenaire de Waribei.</w:t>
      </w:r>
    </w:p>
    <w:p>
      <w:pPr>
        <w:pStyle w:val="ListBullet"/>
      </w:pPr>
      <w:r>
        <w:rPr>
          <w:b w:val="0"/>
        </w:rPr>
        <w:t>J'ai calculé ce que le stock supplémentaire va me rapporter.</w:t>
      </w:r>
    </w:p>
    <w:p>
      <w:pPr>
        <w:pStyle w:val="ListBullet"/>
      </w:pPr>
      <w:r>
        <w:rPr>
          <w:b w:val="0"/>
        </w:rPr>
        <w:t>J'ai prévu la caisse où je mets de côté le remboursement chaque jour.</w:t>
      </w:r>
    </w:p>
    <w:p>
      <w:pPr>
        <w:pStyle w:val="ListBullet"/>
      </w:pPr>
      <w:r>
        <w:rPr>
          <w:b w:val="0"/>
        </w:rPr>
        <w:t>Je connais la date à laquelle je dois rembourser.</w:t>
      </w:r>
    </w:p>
    <w:tbl>
      <w:tblPr>
        <w:tblW w:type="auto" w:w="0"/>
        <w:tblLook w:firstColumn="1" w:firstRow="1" w:lastColumn="0" w:lastRow="0" w:noHBand="0" w:noVBand="1" w:val="04A0"/>
        <w:tblBorders>
          <w:top w:val="single" w:sz="4" w:color="F83131"/>
          <w:left w:val="single" w:sz="4" w:color="F83131"/>
          <w:bottom w:val="single" w:sz="4" w:color="F83131"/>
          <w:right w:val="single" w:sz="4" w:color="F83131"/>
          <w:insideH w:val="single" w:sz="4" w:color="F83131"/>
          <w:insideV w:val="single" w:sz="4" w:color="F83131"/>
        </w:tblBorders>
      </w:tblPr>
      <w:tblGrid>
        <w:gridCol w:w="9746"/>
      </w:tblGrid>
      <w:tr>
        <w:tc>
          <w:tcPr>
            <w:tcW w:type="dxa" w:w="9746"/>
            <w:shd w:val="clear" w:color="auto" w:fill="FEF1F1"/>
          </w:tcPr>
          <w:p>
            <w:r>
              <w:rPr>
                <w:b/>
                <w:color w:val="064C72"/>
                <w:sz w:val="24"/>
              </w:rPr>
              <w:t>Passez à l'action</w:t>
            </w:r>
          </w:p>
          <w:p>
            <w:r>
              <w:rPr>
                <w:b/>
              </w:rPr>
              <w:t>Téléchargez l'application Waribei</w:t>
            </w:r>
            <w:r>
              <w:rPr>
                <w:b w:val="0"/>
              </w:rPr>
              <w:t xml:space="preserve"> et découvrez en un clic le montant d'avance de stock dont vous disposez.</w:t>
            </w:r>
          </w:p>
          <w:p>
            <w:r>
              <w:rPr>
                <w:b w:val="0"/>
              </w:rPr>
              <w:t>Waribei, Ivoire Trade Center, boulevard Hassan II, Cocody, Abidjan. Téléphone : +225 07 15 00 69 69.</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Heebo" w:hAnsi="Heebo" w:eastAsia="Heebo"/>
      <w:color w:val="3014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Heebo" w:hAnsi="Heebo" w:eastAsia="Heebo"/>
      <w:b/>
      <w:bCs/>
      <w:color w:val="064C72"/>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ebo" w:hAnsi="Heebo" w:eastAsia="Heebo"/>
      <w:b/>
      <w:bCs/>
      <w:color w:val="064C7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Heebo" w:hAnsi="Heebo" w:eastAsia="Heebo"/>
      <w:b/>
      <w:bCs/>
      <w:color w:val="F831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