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33910" cy="503999"/>
            <wp:docPr id="1" name="Picture 1"/>
            <wp:cNvGraphicFramePr>
              <a:graphicFrameLocks noChangeAspect="1"/>
            </wp:cNvGraphicFramePr>
            <a:graphic>
              <a:graphicData uri="http://schemas.openxmlformats.org/drawingml/2006/picture">
                <pic:pic>
                  <pic:nvPicPr>
                    <pic:cNvPr id="0" name="2026-10-24_benchmark-contenus-UEMOA-France.docx.logo.png"/>
                    <pic:cNvPicPr/>
                  </pic:nvPicPr>
                  <pic:blipFill>
                    <a:blip r:embed="rId9"/>
                    <a:stretch>
                      <a:fillRect/>
                    </a:stretch>
                  </pic:blipFill>
                  <pic:spPr>
                    <a:xfrm>
                      <a:off x="0" y="0"/>
                      <a:ext cx="1533910" cy="503999"/>
                    </a:xfrm>
                    <a:prstGeom prst="rect"/>
                  </pic:spPr>
                </pic:pic>
              </a:graphicData>
            </a:graphic>
          </wp:inline>
        </w:drawing>
      </w:r>
    </w:p>
    <w:p>
      <w:pPr>
        <w:jc w:val="center"/>
      </w:pPr>
      <w:r>
        <w:rPr>
          <w:rFonts w:ascii="Funnel Display" w:hAnsi="Funnel Display"/>
          <w:b/>
          <w:color w:val="232754"/>
          <w:sz w:val="48"/>
        </w:rPr>
        <w:t>Benchmark des contenus de marque</w:t>
      </w:r>
    </w:p>
    <w:p>
      <w:pPr>
        <w:jc w:val="center"/>
      </w:pPr>
      <w:r>
        <w:rPr>
          <w:color w:val="007ABB"/>
          <w:sz w:val="24"/>
        </w:rPr>
        <w:t>Blogs, newsletters, e-books et podcasts : ce que font les meilleures entreprises de l'UEMOA et de France, et ce qu'on en tire pour le portefeuille Mstudio</w:t>
      </w:r>
    </w:p>
    <w:p>
      <w:pPr>
        <w:jc w:val="center"/>
      </w:pPr>
      <w:r>
        <w:rPr>
          <w:color w:val="007ABB"/>
          <w:sz w:val="24"/>
        </w:rPr>
        <w:t>Octobre 2026</w:t>
      </w:r>
    </w:p>
    <w:tbl>
      <w:tblPr>
        <w:tblW w:type="auto" w:w="0"/>
        <w:tblLook w:firstColumn="1" w:firstRow="1" w:lastColumn="0" w:lastRow="0" w:noHBand="0" w:noVBand="1" w:val="04A0"/>
        <w:tblBorders>
          <w:top w:val="single" w:sz="4" w:color="007ABB"/>
          <w:left w:val="single" w:sz="4" w:color="007ABB"/>
          <w:bottom w:val="single" w:sz="4" w:color="007ABB"/>
          <w:right w:val="single" w:sz="4" w:color="007ABB"/>
          <w:insideH w:val="single" w:sz="4" w:color="007ABB"/>
          <w:insideV w:val="single" w:sz="4" w:color="007ABB"/>
        </w:tblBorders>
      </w:tblPr>
      <w:tblGrid>
        <w:gridCol w:w="9746"/>
      </w:tblGrid>
      <w:tr>
        <w:tc>
          <w:tcPr>
            <w:tcW w:type="dxa" w:w="9746"/>
            <w:shd w:val="clear" w:color="auto" w:fill="EEF5FA"/>
          </w:tcPr>
          <w:p>
            <w:r>
              <w:rPr>
                <w:b/>
                <w:color w:val="232754"/>
                <w:sz w:val="24"/>
              </w:rPr>
              <w:t>En bref</w:t>
            </w:r>
          </w:p>
          <w:p>
            <w:r>
              <w:rPr>
                <w:b/>
              </w:rPr>
              <w:t>Ce qu'on a regardé :</w:t>
            </w:r>
            <w:r>
              <w:rPr>
                <w:b w:val="0"/>
              </w:rPr>
              <w:t xml:space="preserve"> 9 marques de l'UEMOA et de France (fintech, BTP, télécoms, assurance, SaaS), 3 formats audio et vidéo d'Afrique francophone, 2 références mondiales de la newsletter et du podcast.</w:t>
            </w:r>
          </w:p>
          <w:p>
            <w:r>
              <w:rPr>
                <w:b/>
              </w:rPr>
              <w:t>Le constat :</w:t>
            </w:r>
            <w:r>
              <w:rPr>
                <w:b w:val="0"/>
              </w:rPr>
              <w:t xml:space="preserve"> en UEMOA, les marques publient peu, de façon irrégulière, et surtout des communiqués. En France, les leaders publient des contenus utiles, classés par besoin du lecteur, et ils les relient tous à une action (simulateur, guide, démo).</w:t>
            </w:r>
          </w:p>
          <w:p>
            <w:r>
              <w:rPr>
                <w:b/>
              </w:rPr>
              <w:t>L'occasion :</w:t>
            </w:r>
            <w:r>
              <w:rPr>
                <w:b w:val="0"/>
              </w:rPr>
              <w:t xml:space="preserve"> sur nos marchés, un contenu vraiment utile, régulier et écrit dans le contexte local a très peu de concurrence. C'est là que nos startups peuvent prendre la place.</w:t>
            </w:r>
          </w:p>
          <w:p>
            <w:r>
              <w:rPr>
                <w:b/>
              </w:rPr>
              <w:t>Ce qu'on applique ici :</w:t>
            </w:r>
            <w:r>
              <w:rPr>
                <w:b w:val="0"/>
              </w:rPr>
              <w:t xml:space="preserve"> une newsletter Yelema, 3 articles pour BLOK, un e-book pour Waribei, un concept de podcast pour Jèko.</w:t>
            </w:r>
          </w:p>
        </w:tc>
      </w:tr>
    </w:tbl>
    <w:p/>
    <w:p>
      <w:pPr>
        <w:pStyle w:val="Heading1"/>
      </w:pPr>
      <w:r>
        <w:t>Sommaire</w:t>
      </w:r>
    </w:p>
    <w:p>
      <w:pPr>
        <w:pStyle w:val="ListNumber"/>
      </w:pPr>
      <w:r>
        <w:rPr>
          <w:b w:val="0"/>
        </w:rPr>
        <w:t>Méthode et périmètre</w:t>
      </w:r>
    </w:p>
    <w:p>
      <w:pPr>
        <w:pStyle w:val="ListNumber"/>
      </w:pPr>
      <w:r>
        <w:rPr>
          <w:b w:val="0"/>
        </w:rPr>
        <w:t>Ce qu'on observe en UEMOA</w:t>
      </w:r>
    </w:p>
    <w:p>
      <w:pPr>
        <w:pStyle w:val="ListNumber"/>
      </w:pPr>
      <w:r>
        <w:rPr>
          <w:b w:val="0"/>
        </w:rPr>
        <w:t>Ce qu'on observe en France</w:t>
      </w:r>
    </w:p>
    <w:p>
      <w:pPr>
        <w:pStyle w:val="ListNumber"/>
      </w:pPr>
      <w:r>
        <w:rPr>
          <w:b w:val="0"/>
        </w:rPr>
        <w:t>Newsletters et podcasts : deux références mondiales</w:t>
      </w:r>
    </w:p>
    <w:p>
      <w:pPr>
        <w:pStyle w:val="ListNumber"/>
      </w:pPr>
      <w:r>
        <w:rPr>
          <w:b w:val="0"/>
        </w:rPr>
        <w:t>Les 10 leçons à retenir</w:t>
      </w:r>
    </w:p>
    <w:p>
      <w:pPr>
        <w:pStyle w:val="ListNumber"/>
      </w:pPr>
      <w:r>
        <w:rPr>
          <w:b w:val="0"/>
        </w:rPr>
        <w:t>Comment on les applique au portefeuille</w:t>
      </w:r>
    </w:p>
    <w:p>
      <w:pPr>
        <w:pStyle w:val="ListNumber"/>
      </w:pPr>
      <w:r>
        <w:rPr>
          <w:b w:val="0"/>
        </w:rPr>
        <w:t>Sources consultées</w:t>
      </w:r>
    </w:p>
    <w:p>
      <w:pPr>
        <w:pStyle w:val="Heading1"/>
      </w:pPr>
      <w:r>
        <w:t>1. Méthode et périmètre</w:t>
      </w:r>
    </w:p>
    <w:p>
      <w:r>
        <w:rPr>
          <w:b w:val="0"/>
        </w:rPr>
        <w:t>Nous avons ouvert les blogs, centres de ressources, newsletters et pages de podcast publiés par chaque marque, en octobre 2026. Pour chacune, nous avons relevé : le type de contenu, la régularité visible, la longueur, le ton, et ce que le lecteur peut faire à la fin. Les chiffres cités viennent des pages consultées ; ceux que nous n'avons pas pu vérifier ne figurent pas dans ce document.</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Layout w:type="fixed"/>
      </w:tblPr>
      <w:tblGrid>
        <w:gridCol w:w="2353"/>
        <w:gridCol w:w="7059"/>
      </w:tblGrid>
      <w:tr>
        <w:tc>
          <w:tcPr>
            <w:tcW w:type="dxa" w:w="2353"/>
            <w:shd w:val="clear" w:color="auto" w:fill="232754"/>
          </w:tcPr>
          <w:p>
            <w:r/>
            <w:r>
              <w:rPr>
                <w:b/>
                <w:color w:val="FFFFFF"/>
                <w:sz w:val="20"/>
              </w:rPr>
              <w:t>Zone</w:t>
            </w:r>
          </w:p>
        </w:tc>
        <w:tc>
          <w:tcPr>
            <w:tcW w:type="dxa" w:w="7058"/>
            <w:shd w:val="clear" w:color="auto" w:fill="232754"/>
          </w:tcPr>
          <w:p>
            <w:r/>
            <w:r>
              <w:rPr>
                <w:b/>
                <w:color w:val="FFFFFF"/>
                <w:sz w:val="20"/>
              </w:rPr>
              <w:t>Marques et formats étudiés</w:t>
            </w:r>
          </w:p>
        </w:tc>
      </w:tr>
      <w:tr>
        <w:tc>
          <w:tcPr>
            <w:tcW w:type="dxa" w:w="2353"/>
          </w:tcPr>
          <w:p>
            <w:r/>
            <w:r>
              <w:rPr>
                <w:b w:val="0"/>
                <w:sz w:val="20"/>
              </w:rPr>
              <w:t>UEMOA</w:t>
            </w:r>
          </w:p>
        </w:tc>
        <w:tc>
          <w:tcPr>
            <w:tcW w:type="dxa" w:w="7058"/>
          </w:tcPr>
          <w:p>
            <w:r/>
            <w:r>
              <w:rPr>
                <w:b w:val="0"/>
                <w:sz w:val="20"/>
              </w:rPr>
              <w:t>Julaya (blog), Djamo (rubrique Learn), Wave Côte d'Ivoire (réseaux sociaux), Orange Business Côte d'Ivoire (newsletter en ligne), BLOK (blog), Jèko (site et questions fréquentes)</w:t>
            </w:r>
          </w:p>
        </w:tc>
      </w:tr>
      <w:tr>
        <w:tc>
          <w:tcPr>
            <w:tcW w:type="dxa" w:w="2353"/>
            <w:shd w:val="clear" w:color="auto" w:fill="EEF5FA"/>
          </w:tcPr>
          <w:p>
            <w:r/>
            <w:r>
              <w:rPr>
                <w:b w:val="0"/>
                <w:sz w:val="20"/>
              </w:rPr>
              <w:t>Afrique francophone, audio et vidéo</w:t>
            </w:r>
          </w:p>
        </w:tc>
        <w:tc>
          <w:tcPr>
            <w:tcW w:type="dxa" w:w="7058"/>
            <w:shd w:val="clear" w:color="auto" w:fill="EEF5FA"/>
          </w:tcPr>
          <w:p>
            <w:r/>
            <w:r>
              <w:rPr>
                <w:b w:val="0"/>
                <w:sz w:val="20"/>
              </w:rPr>
              <w:t>Le garage (podcast tech), Equity Conversations, Cash et Vérité (YouTube), Brut Afrique, Destin d'entrepreneur (7INFO), émissions de CANAL+ et RFI</w:t>
            </w:r>
          </w:p>
        </w:tc>
      </w:tr>
      <w:tr>
        <w:tc>
          <w:tcPr>
            <w:tcW w:type="dxa" w:w="2353"/>
          </w:tcPr>
          <w:p>
            <w:r/>
            <w:r>
              <w:rPr>
                <w:b w:val="0"/>
                <w:sz w:val="20"/>
              </w:rPr>
              <w:t>France</w:t>
            </w:r>
          </w:p>
        </w:tc>
        <w:tc>
          <w:tcPr>
            <w:tcW w:type="dxa" w:w="7058"/>
          </w:tcPr>
          <w:p>
            <w:r/>
            <w:r>
              <w:rPr>
                <w:b w:val="0"/>
                <w:sz w:val="20"/>
              </w:rPr>
              <w:t>Qonto (blog et ressources), PayFit (fiches pratiques et e-books), Alan (blog et lettre aux actionnaires), Leroy Merlin (conseils, tutos, YouTube)</w:t>
            </w:r>
          </w:p>
        </w:tc>
      </w:tr>
      <w:tr>
        <w:tc>
          <w:tcPr>
            <w:tcW w:type="dxa" w:w="2353"/>
            <w:shd w:val="clear" w:color="auto" w:fill="EEF5FA"/>
          </w:tcPr>
          <w:p>
            <w:r/>
            <w:r>
              <w:rPr>
                <w:b w:val="0"/>
                <w:sz w:val="20"/>
              </w:rPr>
              <w:t>Références mondiales</w:t>
            </w:r>
          </w:p>
        </w:tc>
        <w:tc>
          <w:tcPr>
            <w:tcW w:type="dxa" w:w="7058"/>
            <w:shd w:val="clear" w:color="auto" w:fill="EEF5FA"/>
          </w:tcPr>
          <w:p>
            <w:r/>
            <w:r>
              <w:rPr>
                <w:b w:val="0"/>
                <w:sz w:val="20"/>
              </w:rPr>
              <w:t>Lenny's Newsletter (newsletter et podcast), Génération Do It Yourself (podcast français)</w:t>
            </w:r>
          </w:p>
        </w:tc>
      </w:tr>
    </w:tbl>
    <w:p/>
    <w:p>
      <w:pPr>
        <w:pStyle w:val="Heading1"/>
      </w:pPr>
      <w:r>
        <w:t>2. Ce qu'on observe en UEMOA</w:t>
      </w:r>
    </w:p>
    <w:p>
      <w:pPr>
        <w:pStyle w:val="Heading2"/>
      </w:pPr>
      <w:r>
        <w:t>Julaya : un blog qui mélange tout</w:t>
      </w:r>
    </w:p>
    <w:p>
      <w:r>
        <w:rPr>
          <w:b w:val="0"/>
        </w:rPr>
        <w:t>Le blog de Julaya alterne communiqués (agrément d'établissement de paiement de la BCEAO en mai 2025), annonces produit (« Facturation »), actualité du mobile money (baisse des frais de retrait Orange Money et MTN à 1 % en octobre 2021), un simulateur de l'impôt sur les salaires pour la réforme de 2024, et des cas clients. Les articles sont courts : 1 à 3 minutes de lecture.</w:t>
      </w:r>
    </w:p>
    <w:p>
      <w:pPr>
        <w:pStyle w:val="ListBullet"/>
      </w:pPr>
      <w:r>
        <w:rPr>
          <w:b/>
        </w:rPr>
        <w:t>Ce qui marche :</w:t>
      </w:r>
      <w:r>
        <w:rPr>
          <w:b w:val="0"/>
        </w:rPr>
        <w:t xml:space="preserve"> coller à l'actualité qui touche le portefeuille du lecteur (les frais de retrait), et offrir un outil concret (le simulateur).</w:t>
      </w:r>
    </w:p>
    <w:p>
      <w:pPr>
        <w:pStyle w:val="ListBullet"/>
      </w:pPr>
      <w:r>
        <w:rPr>
          <w:b/>
        </w:rPr>
        <w:t>Ce qui manque :</w:t>
      </w:r>
      <w:r>
        <w:rPr>
          <w:b w:val="0"/>
        </w:rPr>
        <w:t xml:space="preserve"> une ligne éditoriale. Le lecteur ne sait pas à quoi s'attendre, et rien ne le fait revenir.</w:t>
      </w:r>
    </w:p>
    <w:p>
      <w:pPr>
        <w:pStyle w:val="Heading2"/>
      </w:pPr>
      <w:r>
        <w:t>Djamo : la pédagogie et les coulisses</w:t>
      </w:r>
    </w:p>
    <w:p>
      <w:r>
        <w:rPr>
          <w:b w:val="0"/>
        </w:rPr>
        <w:t>Djamo publie une rubrique « Learn » qui mêle éducation financière et portraits de l'équipe (par exemple le responsable de la satisfaction client, en 2022). La marque parle à des particuliers, avec un ton simple et proche.</w:t>
      </w:r>
    </w:p>
    <w:p>
      <w:pPr>
        <w:pStyle w:val="ListBullet"/>
      </w:pPr>
      <w:r>
        <w:rPr>
          <w:b/>
        </w:rPr>
        <w:t>À retenir :</w:t>
      </w:r>
      <w:r>
        <w:rPr>
          <w:b w:val="0"/>
        </w:rPr>
        <w:t xml:space="preserve"> les portraits d'équipe rendent une fintech humaine et rassurante, ce qui compte quand on confie son argent.</w:t>
      </w:r>
    </w:p>
    <w:p>
      <w:pPr>
        <w:pStyle w:val="Heading2"/>
      </w:pPr>
      <w:r>
        <w:t>Wave Côte d'Ivoire : la puissance des réseaux, pas du blog</w:t>
      </w:r>
    </w:p>
    <w:p>
      <w:r>
        <w:rPr>
          <w:b w:val="0"/>
        </w:rPr>
        <w:t>Wave rassemble environ 465 000 abonnés sur sa page Facebook ivoirienne. Ses contenus les plus repris par la presse sont des campagnes de sensibilisation à la sécurité (fraude, codes secrets). Le blog n'est pas son terrain.</w:t>
      </w:r>
    </w:p>
    <w:p>
      <w:pPr>
        <w:pStyle w:val="ListBullet"/>
      </w:pPr>
      <w:r>
        <w:rPr>
          <w:b/>
        </w:rPr>
        <w:t>À retenir :</w:t>
      </w:r>
      <w:r>
        <w:rPr>
          <w:b w:val="0"/>
        </w:rPr>
        <w:t xml:space="preserve"> en UEMOA, l'audience est d'abord sur Facebook, WhatsApp et TikTok. Un article de blog doit être pensé pour être découpé et partagé sur ces canaux.</w:t>
      </w:r>
    </w:p>
    <w:p>
      <w:pPr>
        <w:pStyle w:val="Heading2"/>
      </w:pPr>
      <w:r>
        <w:t>Orange Business Côte d'Ivoire : une newsletter d'analyse de marché</w:t>
      </w:r>
    </w:p>
    <w:p>
      <w:r>
        <w:rPr>
          <w:b w:val="0"/>
        </w:rPr>
        <w:t>La newsletter d'Orange Business publie en ligne des analyses de marché (par exemple, en janvier 2026, la part de marché d'Orange dans les télécoms au troisième trimestre 2025). Chaque numéro est une page web, donc trouvable sur les moteurs de recherche.</w:t>
      </w:r>
    </w:p>
    <w:p>
      <w:pPr>
        <w:pStyle w:val="ListBullet"/>
      </w:pPr>
      <w:r>
        <w:rPr>
          <w:b/>
        </w:rPr>
        <w:t>À retenir :</w:t>
      </w:r>
      <w:r>
        <w:rPr>
          <w:b w:val="0"/>
        </w:rPr>
        <w:t xml:space="preserve"> une newsletter B2B qui apporte un chiffre de marché devient une référence que les clients transfèrent en interne.</w:t>
      </w:r>
    </w:p>
    <w:p>
      <w:pPr>
        <w:pStyle w:val="Heading2"/>
      </w:pPr>
      <w:r>
        <w:t>BLOK : un bon départ, à accélérer</w:t>
      </w:r>
    </w:p>
    <w:p>
      <w:r>
        <w:rPr>
          <w:b w:val="0"/>
        </w:rPr>
        <w:t>Le blog de BLOK est bien construit : 5 rubriques (achats, conseils, construction tech, marché, matériaux), des étiquettes pensées pour la recherche locale (« coût construction Côte d'Ivoire », « chantier Abidjan »), un formulaire de newsletter, et un assistant de discussion. Mais il ne compte que 2 articles (juillet et septembre 2026).</w:t>
      </w:r>
    </w:p>
    <w:p>
      <w:pPr>
        <w:pStyle w:val="ListBullet"/>
      </w:pPr>
      <w:r>
        <w:rPr>
          <w:b/>
        </w:rPr>
        <w:t>À retenir :</w:t>
      </w:r>
      <w:r>
        <w:rPr>
          <w:b w:val="0"/>
        </w:rPr>
        <w:t xml:space="preserve"> la structure est prête ; il manque la régularité. Un article toutes les deux semaines suffirait à faire la différence face aux autres fournisseurs BTP d'Abidjan, qui ne publient presque rien.</w:t>
      </w:r>
    </w:p>
    <w:p>
      <w:pPr>
        <w:pStyle w:val="Heading2"/>
      </w:pPr>
      <w:r>
        <w:t>Audio et vidéo : la nouvelle vague francophone</w:t>
      </w:r>
    </w:p>
    <w:p>
      <w:r>
        <w:rPr>
          <w:b w:val="0"/>
        </w:rPr>
        <w:t>Le contenu sur l'entrepreneuriat en Afrique francophone s'est multiplié : Le garage se présente comme le premier podcast tech et startups d'Afrique francophone (hebdomadaire, lancé à l'été 2026) ; Equity Conversations a reçu Cédric Mangaud pour parler du modèle Mstudio ; la série YouTube Cash et Vérité a passé 20 000 vues à son lancement ; 7INFO a lancé Destin d'entrepreneur en juin 2026 ; CANAL+ (Réussite, depuis 2014) et RFI tiennent aussi ce terrain.</w:t>
      </w:r>
    </w:p>
    <w:p>
      <w:pPr>
        <w:pStyle w:val="ListBullet"/>
      </w:pPr>
      <w:r>
        <w:rPr>
          <w:b/>
        </w:rPr>
        <w:t>Ce qui manque :</w:t>
      </w:r>
      <w:r>
        <w:rPr>
          <w:b w:val="0"/>
        </w:rPr>
        <w:t xml:space="preserve"> presque tous ces formats parlent des fondateurs et des levées de fonds. Personne ne donne vraiment la parole aux commerçants, aux artisans, aux patrons de PME, qui sont pourtant les clients de la plupart de nos startups.</w:t>
      </w:r>
    </w:p>
    <w:p>
      <w:pPr>
        <w:pStyle w:val="Heading1"/>
      </w:pPr>
      <w:r>
        <w:t>3. Ce qu'on observe en France</w:t>
      </w:r>
    </w:p>
    <w:p>
      <w:pPr>
        <w:pStyle w:val="Heading2"/>
      </w:pPr>
      <w:r>
        <w:t>Qonto : le contenu qui répond à une question d'achat</w:t>
      </w:r>
    </w:p>
    <w:p>
      <w:r>
        <w:rPr>
          <w:b w:val="0"/>
        </w:rPr>
        <w:t>Le blog de Qonto est organisé par besoin (création d'entreprise, gestion, TPE-PME) et regorge d'articles qui répondent à une question qu'un dirigeant tape dans Google : « Logiciel de comptabilité pour PME : comment bien le choisir ? », « Top 10 des meilleures applications de notes de frais en 2026 ». Un centre de ressources ajoute des outils et guides et un comparateur de comptes pro.</w:t>
      </w:r>
    </w:p>
    <w:p>
      <w:pPr>
        <w:pStyle w:val="ListBullet"/>
      </w:pPr>
      <w:r>
        <w:rPr>
          <w:b/>
        </w:rPr>
        <w:t>À retenir :</w:t>
      </w:r>
      <w:r>
        <w:rPr>
          <w:b w:val="0"/>
        </w:rPr>
        <w:t xml:space="preserve"> chaque article répond à une vraie recherche, affiche son temps de lecture (5 à 10 minutes) et propose un outil à la fin. Le blog est une porte d'entrée commerciale, pas un journal d'entreprise.</w:t>
      </w:r>
    </w:p>
    <w:p>
      <w:pPr>
        <w:pStyle w:val="Heading2"/>
      </w:pPr>
      <w:r>
        <w:t>PayFit : les fiches pratiques et l'e-book contre une adresse e-mail</w:t>
      </w:r>
    </w:p>
    <w:p>
      <w:r>
        <w:rPr>
          <w:b w:val="0"/>
        </w:rPr>
        <w:t>PayFit range des centaines de fiches pratiques par grande question (gérer ses salariés, gérer sa paie, conventions collectives) et met à jour les chiffres réglementaires chaque année. Ses e-books (par exemple « Les 10 outils RH les plus innovants ») sont accessibles en échange des coordonnées du lecteur.</w:t>
      </w:r>
    </w:p>
    <w:p>
      <w:pPr>
        <w:pStyle w:val="ListBullet"/>
      </w:pPr>
      <w:r>
        <w:rPr>
          <w:b/>
        </w:rPr>
        <w:t>À retenir :</w:t>
      </w:r>
      <w:r>
        <w:rPr>
          <w:b w:val="0"/>
        </w:rPr>
        <w:t xml:space="preserve"> un e-book sert à récolter des contacts qualifiés. Il doit être concret, court à parcourir, et mener vers une démonstration.</w:t>
      </w:r>
    </w:p>
    <w:p>
      <w:pPr>
        <w:pStyle w:val="Heading2"/>
      </w:pPr>
      <w:r>
        <w:t>Alan : la transparence comme marque</w:t>
      </w:r>
    </w:p>
    <w:p>
      <w:r>
        <w:rPr>
          <w:b w:val="0"/>
        </w:rPr>
        <w:t>Alan publie ses coulisses (portraits de métiers, façon de travailler) et même une lettre trimestrielle à ses actionnaires, lisible par tous. Le ton est direct, chaleureux, à la première personne.</w:t>
      </w:r>
    </w:p>
    <w:p>
      <w:pPr>
        <w:pStyle w:val="ListBullet"/>
      </w:pPr>
      <w:r>
        <w:rPr>
          <w:b/>
        </w:rPr>
        <w:t>À retenir :</w:t>
      </w:r>
      <w:r>
        <w:rPr>
          <w:b w:val="0"/>
        </w:rPr>
        <w:t xml:space="preserve"> raconter comment on travaille, chiffres compris, crée une confiance qu'aucune publicité n'achète.</w:t>
      </w:r>
    </w:p>
    <w:p>
      <w:pPr>
        <w:pStyle w:val="Heading2"/>
      </w:pPr>
      <w:r>
        <w:t>Leroy Merlin : le tuto avant la vente</w:t>
      </w:r>
    </w:p>
    <w:p>
      <w:r>
        <w:rPr>
          <w:b w:val="0"/>
        </w:rPr>
        <w:t>Leroy Merlin a bâti une bibliothèque de conseils, guides et tutoriels qui précèdent l'achat, puis l'a prolongée sur YouTube avec des créateurs et une émission de défis de bricolage.</w:t>
      </w:r>
    </w:p>
    <w:p>
      <w:pPr>
        <w:pStyle w:val="ListBullet"/>
      </w:pPr>
      <w:r>
        <w:rPr>
          <w:b/>
        </w:rPr>
        <w:t>À retenir pour le BTP :</w:t>
      </w:r>
      <w:r>
        <w:rPr>
          <w:b w:val="0"/>
        </w:rPr>
        <w:t xml:space="preserve"> le client qui apprend chez vous à bien faire son chantier achète chez vous les matériaux pour le faire.</w:t>
      </w:r>
    </w:p>
    <w:p>
      <w:pPr>
        <w:pStyle w:val="Heading1"/>
      </w:pPr>
      <w:r>
        <w:t>4. Newsletters et podcasts : deux références mondiales</w:t>
      </w:r>
    </w:p>
    <w:p>
      <w:pPr>
        <w:pStyle w:val="Heading2"/>
      </w:pPr>
      <w:r>
        <w:t>Lenny's Newsletter</w:t>
      </w:r>
    </w:p>
    <w:p>
      <w:r>
        <w:rPr>
          <w:b w:val="0"/>
        </w:rPr>
        <w:t>Lancée en 2019 en répondant aux questions d'anciens collègues, elle dépasse 1,2 million d'abonnés. Chaque numéro répond à une question de lecteur, avec un format constant. Le podcast est venu ensuite (juin 2022), après plusieurs mois de préparation et une dizaine d'épisodes enregistrés avant le lancement. Les meilleures discussions de la communauté sont reprises dans un résumé hebdomadaire.</w:t>
      </w:r>
    </w:p>
    <w:p>
      <w:pPr>
        <w:pStyle w:val="Heading2"/>
      </w:pPr>
      <w:r>
        <w:t>Génération Do It Yourself</w:t>
      </w:r>
    </w:p>
    <w:p>
      <w:r>
        <w:rPr>
          <w:b w:val="0"/>
        </w:rPr>
        <w:t>Le podcast de Matthieu Stefani existe depuis 2017 et compte plus de 1 070 épisodes, publiés environ tous les trois jours, avec une note de 4,7 sur 5 sur Apple Podcasts. Sa promesse tient en une phrase : un « MBA des échecs et des succès » de ses invités, en interviews sans filtre.</w:t>
      </w:r>
    </w:p>
    <w:tbl>
      <w:tblPr>
        <w:tblW w:type="auto" w:w="0"/>
        <w:tblLook w:firstColumn="1" w:firstRow="1" w:lastColumn="0" w:lastRow="0" w:noHBand="0" w:noVBand="1" w:val="04A0"/>
        <w:tblBorders>
          <w:top w:val="single" w:sz="4" w:color="007ABB"/>
          <w:left w:val="single" w:sz="4" w:color="007ABB"/>
          <w:bottom w:val="single" w:sz="4" w:color="007ABB"/>
          <w:right w:val="single" w:sz="4" w:color="007ABB"/>
          <w:insideH w:val="single" w:sz="4" w:color="007ABB"/>
          <w:insideV w:val="single" w:sz="4" w:color="007ABB"/>
        </w:tblBorders>
      </w:tblPr>
      <w:tblGrid>
        <w:gridCol w:w="9746"/>
      </w:tblGrid>
      <w:tr>
        <w:tc>
          <w:tcPr>
            <w:tcW w:type="dxa" w:w="9746"/>
            <w:shd w:val="clear" w:color="auto" w:fill="EEF5FA"/>
          </w:tcPr>
          <w:p>
            <w:r>
              <w:rPr>
                <w:b/>
                <w:color w:val="232754"/>
                <w:sz w:val="24"/>
              </w:rPr>
              <w:t>Ce que ces deux références nous apprennent</w:t>
            </w:r>
          </w:p>
          <w:p>
            <w:r>
              <w:rPr>
                <w:b/>
              </w:rPr>
              <w:t>La régularité vaut plus que la perfection :</w:t>
            </w:r>
            <w:r>
              <w:rPr>
                <w:b w:val="0"/>
              </w:rPr>
              <w:t xml:space="preserve"> un rendez-vous tenu chaque semaine construit l'audience.</w:t>
            </w:r>
          </w:p>
          <w:p>
            <w:r>
              <w:rPr>
                <w:b/>
              </w:rPr>
              <w:t>Une promesse en une phrase :</w:t>
            </w:r>
            <w:r>
              <w:rPr>
                <w:b w:val="0"/>
              </w:rPr>
              <w:t xml:space="preserve"> le lecteur ou l'auditeur sait exactement ce qu'il vient chercher.</w:t>
            </w:r>
          </w:p>
          <w:p>
            <w:r>
              <w:rPr>
                <w:b/>
              </w:rPr>
              <w:t>Partir des questions du public :</w:t>
            </w:r>
            <w:r>
              <w:rPr>
                <w:b w:val="0"/>
              </w:rPr>
              <w:t xml:space="preserve"> le meilleur sujet est celui qu'on vous pose déjà.</w:t>
            </w:r>
          </w:p>
          <w:p>
            <w:r>
              <w:rPr>
                <w:b/>
              </w:rPr>
              <w:t>Avoir de l'avance :</w:t>
            </w:r>
            <w:r>
              <w:rPr>
                <w:b w:val="0"/>
              </w:rPr>
              <w:t xml:space="preserve"> lancer un podcast avec plusieurs épisodes déjà enregistrés évite de s'arrêter au troisième.</w:t>
            </w:r>
          </w:p>
        </w:tc>
      </w:tr>
    </w:tbl>
    <w:p/>
    <w:p>
      <w:pPr>
        <w:pStyle w:val="Heading1"/>
      </w:pPr>
      <w:r>
        <w:t>5. Les 10 leçons à retenir</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Layout w:type="fixed"/>
      </w:tblPr>
      <w:tblGrid>
        <w:gridCol w:w="588"/>
        <w:gridCol w:w="6470"/>
        <w:gridCol w:w="2353"/>
      </w:tblGrid>
      <w:tr>
        <w:tc>
          <w:tcPr>
            <w:tcW w:type="dxa" w:w="588"/>
            <w:shd w:val="clear" w:color="auto" w:fill="232754"/>
          </w:tcPr>
          <w:p>
            <w:r/>
            <w:r>
              <w:rPr>
                <w:b/>
                <w:color w:val="FFFFFF"/>
                <w:sz w:val="20"/>
              </w:rPr>
              <w:t>#</w:t>
            </w:r>
          </w:p>
        </w:tc>
        <w:tc>
          <w:tcPr>
            <w:tcW w:type="dxa" w:w="6470"/>
            <w:shd w:val="clear" w:color="auto" w:fill="232754"/>
          </w:tcPr>
          <w:p>
            <w:r/>
            <w:r>
              <w:rPr>
                <w:b/>
                <w:color w:val="FFFFFF"/>
                <w:sz w:val="20"/>
              </w:rPr>
              <w:t>Leçon</w:t>
            </w:r>
          </w:p>
        </w:tc>
        <w:tc>
          <w:tcPr>
            <w:tcW w:type="dxa" w:w="2353"/>
            <w:shd w:val="clear" w:color="auto" w:fill="232754"/>
          </w:tcPr>
          <w:p>
            <w:r/>
            <w:r>
              <w:rPr>
                <w:b/>
                <w:color w:val="FFFFFF"/>
                <w:sz w:val="20"/>
              </w:rPr>
              <w:t>Vue chez</w:t>
            </w:r>
          </w:p>
        </w:tc>
      </w:tr>
      <w:tr>
        <w:tc>
          <w:tcPr>
            <w:tcW w:type="dxa" w:w="588"/>
          </w:tcPr>
          <w:p>
            <w:r/>
            <w:r>
              <w:rPr>
                <w:b w:val="0"/>
                <w:sz w:val="20"/>
              </w:rPr>
              <w:t>1</w:t>
            </w:r>
          </w:p>
        </w:tc>
        <w:tc>
          <w:tcPr>
            <w:tcW w:type="dxa" w:w="6470"/>
          </w:tcPr>
          <w:p>
            <w:r/>
            <w:r>
              <w:rPr>
                <w:b w:val="0"/>
                <w:sz w:val="20"/>
              </w:rPr>
              <w:t>Un contenu répond à une question que le client se pose déjà, avec ses mots à lui.</w:t>
            </w:r>
          </w:p>
        </w:tc>
        <w:tc>
          <w:tcPr>
            <w:tcW w:type="dxa" w:w="2353"/>
          </w:tcPr>
          <w:p>
            <w:r/>
            <w:r>
              <w:rPr>
                <w:b w:val="0"/>
                <w:sz w:val="20"/>
              </w:rPr>
              <w:t>Qonto, PayFit</w:t>
            </w:r>
          </w:p>
        </w:tc>
      </w:tr>
      <w:tr>
        <w:tc>
          <w:tcPr>
            <w:tcW w:type="dxa" w:w="588"/>
            <w:shd w:val="clear" w:color="auto" w:fill="EEF5FA"/>
          </w:tcPr>
          <w:p>
            <w:r/>
            <w:r>
              <w:rPr>
                <w:b w:val="0"/>
                <w:sz w:val="20"/>
              </w:rPr>
              <w:t>2</w:t>
            </w:r>
          </w:p>
        </w:tc>
        <w:tc>
          <w:tcPr>
            <w:tcW w:type="dxa" w:w="6470"/>
            <w:shd w:val="clear" w:color="auto" w:fill="EEF5FA"/>
          </w:tcPr>
          <w:p>
            <w:r/>
            <w:r>
              <w:rPr>
                <w:b w:val="0"/>
                <w:sz w:val="20"/>
              </w:rPr>
              <w:t>Chaque contenu se termine par une seule action claire (simulateur, guide, démo, application).</w:t>
            </w:r>
          </w:p>
        </w:tc>
        <w:tc>
          <w:tcPr>
            <w:tcW w:type="dxa" w:w="2353"/>
            <w:shd w:val="clear" w:color="auto" w:fill="EEF5FA"/>
          </w:tcPr>
          <w:p>
            <w:r/>
            <w:r>
              <w:rPr>
                <w:b w:val="0"/>
                <w:sz w:val="20"/>
              </w:rPr>
              <w:t>Qonto, Julaya</w:t>
            </w:r>
          </w:p>
        </w:tc>
      </w:tr>
      <w:tr>
        <w:tc>
          <w:tcPr>
            <w:tcW w:type="dxa" w:w="588"/>
          </w:tcPr>
          <w:p>
            <w:r/>
            <w:r>
              <w:rPr>
                <w:b w:val="0"/>
                <w:sz w:val="20"/>
              </w:rPr>
              <w:t>3</w:t>
            </w:r>
          </w:p>
        </w:tc>
        <w:tc>
          <w:tcPr>
            <w:tcW w:type="dxa" w:w="6470"/>
          </w:tcPr>
          <w:p>
            <w:r/>
            <w:r>
              <w:rPr>
                <w:b w:val="0"/>
                <w:sz w:val="20"/>
              </w:rPr>
              <w:t>Le contexte local fait la différence : prix en francs CFA, communes d'Abidjan, mobile money, saisons.</w:t>
            </w:r>
          </w:p>
        </w:tc>
        <w:tc>
          <w:tcPr>
            <w:tcW w:type="dxa" w:w="2353"/>
          </w:tcPr>
          <w:p>
            <w:r/>
            <w:r>
              <w:rPr>
                <w:b w:val="0"/>
                <w:sz w:val="20"/>
              </w:rPr>
              <w:t>Julaya, BLOK</w:t>
            </w:r>
          </w:p>
        </w:tc>
      </w:tr>
      <w:tr>
        <w:tc>
          <w:tcPr>
            <w:tcW w:type="dxa" w:w="588"/>
            <w:shd w:val="clear" w:color="auto" w:fill="EEF5FA"/>
          </w:tcPr>
          <w:p>
            <w:r/>
            <w:r>
              <w:rPr>
                <w:b w:val="0"/>
                <w:sz w:val="20"/>
              </w:rPr>
              <w:t>4</w:t>
            </w:r>
          </w:p>
        </w:tc>
        <w:tc>
          <w:tcPr>
            <w:tcW w:type="dxa" w:w="6470"/>
            <w:shd w:val="clear" w:color="auto" w:fill="EEF5FA"/>
          </w:tcPr>
          <w:p>
            <w:r/>
            <w:r>
              <w:rPr>
                <w:b w:val="0"/>
                <w:sz w:val="20"/>
              </w:rPr>
              <w:t>Une ligne éditoriale lisible : des rubriques fixes, un rendez-vous fixe.</w:t>
            </w:r>
          </w:p>
        </w:tc>
        <w:tc>
          <w:tcPr>
            <w:tcW w:type="dxa" w:w="2353"/>
            <w:shd w:val="clear" w:color="auto" w:fill="EEF5FA"/>
          </w:tcPr>
          <w:p>
            <w:r/>
            <w:r>
              <w:rPr>
                <w:b w:val="0"/>
                <w:sz w:val="20"/>
              </w:rPr>
              <w:t>PayFit, Lenny</w:t>
            </w:r>
          </w:p>
        </w:tc>
      </w:tr>
      <w:tr>
        <w:tc>
          <w:tcPr>
            <w:tcW w:type="dxa" w:w="588"/>
          </w:tcPr>
          <w:p>
            <w:r/>
            <w:r>
              <w:rPr>
                <w:b w:val="0"/>
                <w:sz w:val="20"/>
              </w:rPr>
              <w:t>5</w:t>
            </w:r>
          </w:p>
        </w:tc>
        <w:tc>
          <w:tcPr>
            <w:tcW w:type="dxa" w:w="6470"/>
          </w:tcPr>
          <w:p>
            <w:r/>
            <w:r>
              <w:rPr>
                <w:b w:val="0"/>
                <w:sz w:val="20"/>
              </w:rPr>
              <w:t>La preuve vaut mieux que la promesse : cas clients, témoignages, chiffres réels.</w:t>
            </w:r>
          </w:p>
        </w:tc>
        <w:tc>
          <w:tcPr>
            <w:tcW w:type="dxa" w:w="2353"/>
          </w:tcPr>
          <w:p>
            <w:r/>
            <w:r>
              <w:rPr>
                <w:b w:val="0"/>
                <w:sz w:val="20"/>
              </w:rPr>
              <w:t>Julaya, Alan</w:t>
            </w:r>
          </w:p>
        </w:tc>
      </w:tr>
      <w:tr>
        <w:tc>
          <w:tcPr>
            <w:tcW w:type="dxa" w:w="588"/>
            <w:shd w:val="clear" w:color="auto" w:fill="EEF5FA"/>
          </w:tcPr>
          <w:p>
            <w:r/>
            <w:r>
              <w:rPr>
                <w:b w:val="0"/>
                <w:sz w:val="20"/>
              </w:rPr>
              <w:t>6</w:t>
            </w:r>
          </w:p>
        </w:tc>
        <w:tc>
          <w:tcPr>
            <w:tcW w:type="dxa" w:w="6470"/>
            <w:shd w:val="clear" w:color="auto" w:fill="EEF5FA"/>
          </w:tcPr>
          <w:p>
            <w:r/>
            <w:r>
              <w:rPr>
                <w:b w:val="0"/>
                <w:sz w:val="20"/>
              </w:rPr>
              <w:t>Un article se découpe en posts Facebook, WhatsApp et LinkedIn : on l'écrit pour ça.</w:t>
            </w:r>
          </w:p>
        </w:tc>
        <w:tc>
          <w:tcPr>
            <w:tcW w:type="dxa" w:w="2353"/>
            <w:shd w:val="clear" w:color="auto" w:fill="EEF5FA"/>
          </w:tcPr>
          <w:p>
            <w:r/>
            <w:r>
              <w:rPr>
                <w:b w:val="0"/>
                <w:sz w:val="20"/>
              </w:rPr>
              <w:t>Wave, Leroy Merlin</w:t>
            </w:r>
          </w:p>
        </w:tc>
      </w:tr>
      <w:tr>
        <w:tc>
          <w:tcPr>
            <w:tcW w:type="dxa" w:w="588"/>
          </w:tcPr>
          <w:p>
            <w:r/>
            <w:r>
              <w:rPr>
                <w:b w:val="0"/>
                <w:sz w:val="20"/>
              </w:rPr>
              <w:t>7</w:t>
            </w:r>
          </w:p>
        </w:tc>
        <w:tc>
          <w:tcPr>
            <w:tcW w:type="dxa" w:w="6470"/>
          </w:tcPr>
          <w:p>
            <w:r/>
            <w:r>
              <w:rPr>
                <w:b w:val="0"/>
                <w:sz w:val="20"/>
              </w:rPr>
              <w:t>L'e-book récolte des contacts : utile, court à parcourir, avec des outils à remplir.</w:t>
            </w:r>
          </w:p>
        </w:tc>
        <w:tc>
          <w:tcPr>
            <w:tcW w:type="dxa" w:w="2353"/>
          </w:tcPr>
          <w:p>
            <w:r/>
            <w:r>
              <w:rPr>
                <w:b w:val="0"/>
                <w:sz w:val="20"/>
              </w:rPr>
              <w:t>PayFit</w:t>
            </w:r>
          </w:p>
        </w:tc>
      </w:tr>
      <w:tr>
        <w:tc>
          <w:tcPr>
            <w:tcW w:type="dxa" w:w="588"/>
            <w:shd w:val="clear" w:color="auto" w:fill="EEF5FA"/>
          </w:tcPr>
          <w:p>
            <w:r/>
            <w:r>
              <w:rPr>
                <w:b w:val="0"/>
                <w:sz w:val="20"/>
              </w:rPr>
              <w:t>8</w:t>
            </w:r>
          </w:p>
        </w:tc>
        <w:tc>
          <w:tcPr>
            <w:tcW w:type="dxa" w:w="6470"/>
            <w:shd w:val="clear" w:color="auto" w:fill="EEF5FA"/>
          </w:tcPr>
          <w:p>
            <w:r/>
            <w:r>
              <w:rPr>
                <w:b w:val="0"/>
                <w:sz w:val="20"/>
              </w:rPr>
              <w:t>La transparence et les coulisses rendent une marque tech humaine.</w:t>
            </w:r>
          </w:p>
        </w:tc>
        <w:tc>
          <w:tcPr>
            <w:tcW w:type="dxa" w:w="2353"/>
            <w:shd w:val="clear" w:color="auto" w:fill="EEF5FA"/>
          </w:tcPr>
          <w:p>
            <w:r/>
            <w:r>
              <w:rPr>
                <w:b w:val="0"/>
                <w:sz w:val="20"/>
              </w:rPr>
              <w:t>Alan, Djamo</w:t>
            </w:r>
          </w:p>
        </w:tc>
      </w:tr>
      <w:tr>
        <w:tc>
          <w:tcPr>
            <w:tcW w:type="dxa" w:w="588"/>
          </w:tcPr>
          <w:p>
            <w:r/>
            <w:r>
              <w:rPr>
                <w:b w:val="0"/>
                <w:sz w:val="20"/>
              </w:rPr>
              <w:t>9</w:t>
            </w:r>
          </w:p>
        </w:tc>
        <w:tc>
          <w:tcPr>
            <w:tcW w:type="dxa" w:w="6470"/>
          </w:tcPr>
          <w:p>
            <w:r/>
            <w:r>
              <w:rPr>
                <w:b w:val="0"/>
                <w:sz w:val="20"/>
              </w:rPr>
              <w:t>Le podcast se prépare : promesse en une phrase, épisodes d'avance, extraits vidéo.</w:t>
            </w:r>
          </w:p>
        </w:tc>
        <w:tc>
          <w:tcPr>
            <w:tcW w:type="dxa" w:w="2353"/>
          </w:tcPr>
          <w:p>
            <w:r/>
            <w:r>
              <w:rPr>
                <w:b w:val="0"/>
                <w:sz w:val="20"/>
              </w:rPr>
              <w:t>GDIY, Lenny</w:t>
            </w:r>
          </w:p>
        </w:tc>
      </w:tr>
      <w:tr>
        <w:tc>
          <w:tcPr>
            <w:tcW w:type="dxa" w:w="588"/>
            <w:shd w:val="clear" w:color="auto" w:fill="EEF5FA"/>
          </w:tcPr>
          <w:p>
            <w:r/>
            <w:r>
              <w:rPr>
                <w:b w:val="0"/>
                <w:sz w:val="20"/>
              </w:rPr>
              <w:t>10</w:t>
            </w:r>
          </w:p>
        </w:tc>
        <w:tc>
          <w:tcPr>
            <w:tcW w:type="dxa" w:w="6470"/>
            <w:shd w:val="clear" w:color="auto" w:fill="EEF5FA"/>
          </w:tcPr>
          <w:p>
            <w:r/>
            <w:r>
              <w:rPr>
                <w:b w:val="0"/>
                <w:sz w:val="20"/>
              </w:rPr>
              <w:t>Le terrain libre en Afrique francophone : donner la parole aux clients (commerçants, PME), pas seulement aux fondateurs.</w:t>
            </w:r>
          </w:p>
        </w:tc>
        <w:tc>
          <w:tcPr>
            <w:tcW w:type="dxa" w:w="2353"/>
            <w:shd w:val="clear" w:color="auto" w:fill="EEF5FA"/>
          </w:tcPr>
          <w:p>
            <w:r/>
            <w:r>
              <w:rPr>
                <w:b w:val="0"/>
                <w:sz w:val="20"/>
              </w:rPr>
              <w:t>Écart observé</w:t>
            </w:r>
          </w:p>
        </w:tc>
      </w:tr>
    </w:tbl>
    <w:p/>
    <w:p>
      <w:pPr>
        <w:pStyle w:val="Heading1"/>
      </w:pPr>
      <w:r>
        <w:t>6. Comment on les applique au portefeuille</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Layout w:type="fixed"/>
      </w:tblPr>
      <w:tblGrid>
        <w:gridCol w:w="1470"/>
        <w:gridCol w:w="2647"/>
        <w:gridCol w:w="5294"/>
      </w:tblGrid>
      <w:tr>
        <w:tc>
          <w:tcPr>
            <w:tcW w:type="dxa" w:w="1470"/>
            <w:shd w:val="clear" w:color="auto" w:fill="232754"/>
          </w:tcPr>
          <w:p>
            <w:r/>
            <w:r>
              <w:rPr>
                <w:b/>
                <w:color w:val="FFFFFF"/>
                <w:sz w:val="20"/>
              </w:rPr>
              <w:t>Marque</w:t>
            </w:r>
          </w:p>
        </w:tc>
        <w:tc>
          <w:tcPr>
            <w:tcW w:type="dxa" w:w="2647"/>
            <w:shd w:val="clear" w:color="auto" w:fill="232754"/>
          </w:tcPr>
          <w:p>
            <w:r/>
            <w:r>
              <w:rPr>
                <w:b/>
                <w:color w:val="FFFFFF"/>
                <w:sz w:val="20"/>
              </w:rPr>
              <w:t>Livrable</w:t>
            </w:r>
          </w:p>
        </w:tc>
        <w:tc>
          <w:tcPr>
            <w:tcW w:type="dxa" w:w="5294"/>
            <w:shd w:val="clear" w:color="auto" w:fill="232754"/>
          </w:tcPr>
          <w:p>
            <w:r/>
            <w:r>
              <w:rPr>
                <w:b/>
                <w:color w:val="FFFFFF"/>
                <w:sz w:val="20"/>
              </w:rPr>
              <w:t>Leçons appliquées</w:t>
            </w:r>
          </w:p>
        </w:tc>
      </w:tr>
      <w:tr>
        <w:tc>
          <w:tcPr>
            <w:tcW w:type="dxa" w:w="1470"/>
          </w:tcPr>
          <w:p>
            <w:r/>
            <w:r>
              <w:rPr>
                <w:b w:val="0"/>
                <w:sz w:val="20"/>
              </w:rPr>
              <w:t>Yelema</w:t>
            </w:r>
          </w:p>
        </w:tc>
        <w:tc>
          <w:tcPr>
            <w:tcW w:type="dxa" w:w="2647"/>
          </w:tcPr>
          <w:p>
            <w:r/>
            <w:r>
              <w:rPr>
                <w:b w:val="0"/>
                <w:sz w:val="20"/>
              </w:rPr>
              <w:t>Newsletter n° 1 et ses objets d'e-mail à tester</w:t>
            </w:r>
          </w:p>
        </w:tc>
        <w:tc>
          <w:tcPr>
            <w:tcW w:type="dxa" w:w="5294"/>
          </w:tcPr>
          <w:p>
            <w:r/>
            <w:r>
              <w:rPr>
                <w:b w:val="0"/>
                <w:sz w:val="20"/>
              </w:rPr>
              <w:t>Une question de dirigeant par numéro (1), une preuve client réelle (5), une action unique : la démo (2), rubriques fixes (4)</w:t>
            </w:r>
          </w:p>
        </w:tc>
      </w:tr>
      <w:tr>
        <w:tc>
          <w:tcPr>
            <w:tcW w:type="dxa" w:w="1470"/>
            <w:shd w:val="clear" w:color="auto" w:fill="EEF5FA"/>
          </w:tcPr>
          <w:p>
            <w:r/>
            <w:r>
              <w:rPr>
                <w:b w:val="0"/>
                <w:sz w:val="20"/>
              </w:rPr>
              <w:t>BLOK</w:t>
            </w:r>
          </w:p>
        </w:tc>
        <w:tc>
          <w:tcPr>
            <w:tcW w:type="dxa" w:w="2647"/>
            <w:shd w:val="clear" w:color="auto" w:fill="EEF5FA"/>
          </w:tcPr>
          <w:p>
            <w:r/>
            <w:r>
              <w:rPr>
                <w:b w:val="0"/>
                <w:sz w:val="20"/>
              </w:rPr>
              <w:t>3 articles de blog</w:t>
            </w:r>
          </w:p>
        </w:tc>
        <w:tc>
          <w:tcPr>
            <w:tcW w:type="dxa" w:w="5294"/>
            <w:shd w:val="clear" w:color="auto" w:fill="EEF5FA"/>
          </w:tcPr>
          <w:p>
            <w:r/>
            <w:r>
              <w:rPr>
                <w:b w:val="0"/>
                <w:sz w:val="20"/>
              </w:rPr>
              <w:t>Questions de chantier tapées sur Google (1), contexte abidjanais : saisons, communes (3), une action : commander sur l'application (2), découpables en posts (6)</w:t>
            </w:r>
          </w:p>
        </w:tc>
      </w:tr>
      <w:tr>
        <w:tc>
          <w:tcPr>
            <w:tcW w:type="dxa" w:w="1470"/>
          </w:tcPr>
          <w:p>
            <w:r/>
            <w:r>
              <w:rPr>
                <w:b w:val="0"/>
                <w:sz w:val="20"/>
              </w:rPr>
              <w:t>Waribei</w:t>
            </w:r>
          </w:p>
        </w:tc>
        <w:tc>
          <w:tcPr>
            <w:tcW w:type="dxa" w:w="2647"/>
          </w:tcPr>
          <w:p>
            <w:r/>
            <w:r>
              <w:rPr>
                <w:b w:val="0"/>
                <w:sz w:val="20"/>
              </w:rPr>
              <w:t>E-book « Vendre plus sans bloquer sa caisse »</w:t>
            </w:r>
          </w:p>
        </w:tc>
        <w:tc>
          <w:tcPr>
            <w:tcW w:type="dxa" w:w="5294"/>
          </w:tcPr>
          <w:p>
            <w:r/>
            <w:r>
              <w:rPr>
                <w:b w:val="0"/>
                <w:sz w:val="20"/>
              </w:rPr>
              <w:t>Guide pratique avec outils à remplir (7), langage du commerçant (1), témoignages réels du site (5)</w:t>
            </w:r>
          </w:p>
        </w:tc>
      </w:tr>
      <w:tr>
        <w:tc>
          <w:tcPr>
            <w:tcW w:type="dxa" w:w="1470"/>
            <w:shd w:val="clear" w:color="auto" w:fill="EEF5FA"/>
          </w:tcPr>
          <w:p>
            <w:r/>
            <w:r>
              <w:rPr>
                <w:b w:val="0"/>
                <w:sz w:val="20"/>
              </w:rPr>
              <w:t>Jèko</w:t>
            </w:r>
          </w:p>
        </w:tc>
        <w:tc>
          <w:tcPr>
            <w:tcW w:type="dxa" w:w="2647"/>
            <w:shd w:val="clear" w:color="auto" w:fill="EEF5FA"/>
          </w:tcPr>
          <w:p>
            <w:r/>
            <w:r>
              <w:rPr>
                <w:b w:val="0"/>
                <w:sz w:val="20"/>
              </w:rPr>
              <w:t>Concept de podcast « À la caisse »</w:t>
            </w:r>
          </w:p>
        </w:tc>
        <w:tc>
          <w:tcPr>
            <w:tcW w:type="dxa" w:w="5294"/>
            <w:shd w:val="clear" w:color="auto" w:fill="EEF5FA"/>
          </w:tcPr>
          <w:p>
            <w:r/>
            <w:r>
              <w:rPr>
                <w:b w:val="0"/>
                <w:sz w:val="20"/>
              </w:rPr>
              <w:t>Donner la parole aux commerçants (10), promesse en une phrase et 8 épisodes d'avance (9), extraits vidéo pour TikTok et Facebook (6)</w:t>
            </w:r>
          </w:p>
        </w:tc>
      </w:tr>
    </w:tbl>
    <w:p/>
    <w:p>
      <w:pPr>
        <w:pStyle w:val="Heading2"/>
      </w:pPr>
      <w:r>
        <w:t>Pour aller plus loin</w:t>
      </w:r>
    </w:p>
    <w:p>
      <w:pPr>
        <w:pStyle w:val="ListBullet"/>
      </w:pPr>
      <w:r>
        <w:rPr>
          <w:b w:val="0"/>
        </w:rPr>
        <w:t>Fixer pour chaque startup un rendez-vous éditorial tenable (un article tous les 15 jours, une newsletter par mois) plutôt qu'un grand plan abandonné au bout d'un mois.</w:t>
      </w:r>
    </w:p>
    <w:p>
      <w:pPr>
        <w:pStyle w:val="ListBullet"/>
      </w:pPr>
      <w:r>
        <w:rPr>
          <w:b w:val="0"/>
        </w:rPr>
        <w:t>Mesurer chaque contenu sur une seule chose : téléchargements de l'application, demandes de démo, contacts récoltés.</w:t>
      </w:r>
    </w:p>
    <w:p>
      <w:pPr>
        <w:pStyle w:val="ListBullet"/>
      </w:pPr>
      <w:r>
        <w:rPr>
          <w:b w:val="0"/>
        </w:rPr>
        <w:t>Mutualiser les tournages : un même passage au bureau de Mstudio peut nourrir les podcasts et vidéos de plusieurs startups.</w:t>
      </w:r>
    </w:p>
    <w:p>
      <w:pPr>
        <w:pStyle w:val="Heading1"/>
      </w:pPr>
      <w:r>
        <w:t>7. Sources consultées</w:t>
      </w:r>
    </w:p>
    <w:p>
      <w:pPr>
        <w:pStyle w:val="ListBullet"/>
      </w:pPr>
      <w:r>
        <w:rPr>
          <w:b w:val="0"/>
        </w:rPr>
        <w:t>blog.julaya.co : page d'accueil et article sur les frais de retrait Orange Money (19/10/2021)</w:t>
      </w:r>
    </w:p>
    <w:p>
      <w:pPr>
        <w:pStyle w:val="ListBullet"/>
      </w:pPr>
      <w:r>
        <w:rPr>
          <w:b w:val="0"/>
        </w:rPr>
        <w:t>djamo.com, rubrique Learn ; facebook.com/wavecotedivoire ; agenceecofin.com (campagne sécurité Wave)</w:t>
      </w:r>
    </w:p>
    <w:p>
      <w:pPr>
        <w:pStyle w:val="ListBullet"/>
      </w:pPr>
      <w:r>
        <w:rPr>
          <w:b w:val="0"/>
        </w:rPr>
        <w:t>business.orange.ci, newsletter de janvier 2026</w:t>
      </w:r>
    </w:p>
    <w:p>
      <w:pPr>
        <w:pStyle w:val="ListBullet"/>
      </w:pPr>
      <w:r>
        <w:rPr>
          <w:b w:val="0"/>
        </w:rPr>
        <w:t>blok.africa/blog et blok.africa/about ; jeko.africa et jeko.africa/about ; waribei.africa</w:t>
      </w:r>
    </w:p>
    <w:p>
      <w:pPr>
        <w:pStyle w:val="ListBullet"/>
      </w:pPr>
      <w:r>
        <w:rPr>
          <w:b w:val="0"/>
        </w:rPr>
        <w:t>qonto.com/fr/blog et ressources ; payfit.com/fr/fiches-pratiques et e-book RH ; alan.com/en/blog ; leroymerlin.fr/conseils et presse marketing (e-marketing.fr, gensdinternet.fr)</w:t>
      </w:r>
    </w:p>
    <w:p>
      <w:pPr>
        <w:pStyle w:val="ListBullet"/>
      </w:pPr>
      <w:r>
        <w:rPr>
          <w:b w:val="0"/>
        </w:rPr>
        <w:t>rephonic.com (Le garage) ; adweknow.com (nouvelle vague des contenus entrepreneuriaux en Afrique francophone) ; africa.com (Destin d'entrepreneur, 7INFO)</w:t>
      </w:r>
    </w:p>
    <w:p>
      <w:pPr>
        <w:pStyle w:val="ListBullet"/>
      </w:pPr>
      <w:r>
        <w:rPr>
          <w:b w:val="0"/>
        </w:rPr>
        <w:t>spacebarstudios.co (histoire de Lenny's Newsletter) ; grep.fm (Génération Do It Yourself)</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Work Sans" w:hAnsi="Work Sans" w:eastAsia="Work Sans"/>
      <w:color w:val="2B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Funnel Display" w:hAnsi="Funnel Display" w:eastAsia="Funnel Display"/>
      <w:b/>
      <w:bCs/>
      <w:color w:val="23275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Funnel Display" w:hAnsi="Funnel Display" w:eastAsia="Funnel Display"/>
      <w:b/>
      <w:bCs/>
      <w:color w:val="232754"/>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Funnel Display" w:hAnsi="Funnel Display" w:eastAsia="Funnel Display"/>
      <w:b/>
      <w:bCs/>
      <w:color w:val="007AB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