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Arial" w:hAnsi="Arial"/>
          <w:b/>
          <w:i w:val="0"/>
          <w:color w:val="232754"/>
          <w:sz w:val="44"/>
        </w:rPr>
        <w:t>État de mon environnement</w:t>
      </w:r>
    </w:p>
    <w:p>
      <w:pPr>
        <w:spacing w:before="0" w:after="160" w:line="264" w:lineRule="auto"/>
      </w:pPr>
      <w:r>
        <w:rPr>
          <w:rFonts w:ascii="Arial" w:hAnsi="Arial"/>
          <w:b w:val="0"/>
          <w:i w:val="0"/>
          <w:color w:val="007ABB"/>
          <w:sz w:val="22"/>
        </w:rPr>
        <w:t>Fatima · mardi 27 octobre 2026, 15 h · comparé au relevé du 26 octobre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7ABB"/>
          <w:left w:val="single" w:sz="4" w:color="007ABB"/>
          <w:bottom w:val="single" w:sz="4" w:color="007ABB"/>
          <w:right w:val="single" w:sz="4" w:color="007ABB"/>
          <w:insideH w:val="single" w:sz="4" w:color="007ABB"/>
          <w:insideV w:val="single" w:sz="4" w:color="007ABB"/>
        </w:tblBorders>
        <w:tblLayout w:type="fixed"/>
        <w:tblW w:w="9638" w:type="dxa"/>
      </w:tblPr>
      <w:tblGrid>
        <w:gridCol w:w="9638"/>
      </w:tblGrid>
      <w:tr>
        <w:tc>
          <w:tcPr>
            <w:tcW w:type="dxa" w:w="9638"/>
            <w:shd w:val="clear" w:color="auto" w:fill="EAF4FA"/>
            <w:tcMar>
              <w:top w:w="140" w:type="dxa"/>
              <w:bottom w:w="140" w:type="dxa"/>
              <w:start w:w="200" w:type="dxa"/>
              <w:end w:w="200" w:type="dxa"/>
            </w:tcMar>
          </w:tcPr>
          <w:p>
            <w:r>
              <w:rPr>
                <w:rFonts w:ascii="Arial" w:hAnsi="Arial"/>
                <w:b/>
                <w:i w:val="0"/>
                <w:color w:val="232754"/>
                <w:sz w:val="24"/>
              </w:rPr>
              <w:t>Statut : PRÊT SOUS RÉSERVE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232754"/>
                <w:sz w:val="20"/>
              </w:rPr>
              <w:t xml:space="preserve">Prêt : </w:t>
            </w:r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Google (Drive, Docs, Sheets, Slides, Agenda, Gmail sur deux comptes), Canva, Figma, Notion, Slack, LinkedIn, HubSpot, GitHub, Pexels, Tally, Apify, Higgsfield, la mémoire de l’entreprise et la recherche web répondent.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232754"/>
                <w:sz w:val="20"/>
              </w:rPr>
              <w:t xml:space="preserve">Manque : </w:t>
            </w:r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Instagram, Facebook et Buffer : connexion lancée, jamais terminée. Aucune publication directe possible sur ces réseaux.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232754"/>
                <w:sz w:val="20"/>
              </w:rPr>
              <w:t xml:space="preserve">Ne marche pas : </w:t>
            </w:r>
            <w:r>
              <w:rPr>
                <w:rFonts w:ascii="Arial" w:hAnsi="Arial"/>
                <w:b w:val="0"/>
                <w:i w:val="0"/>
                <w:color w:val="1A1A1A"/>
                <w:sz w:val="20"/>
              </w:rPr>
              <w:t>OpenRouter, crédit dépassé ; la lecture d’un Google Doc par son texte brut renvoie une erreur (je passe par l’export PDF).</w:t>
            </w:r>
          </w:p>
        </w:tc>
      </w:tr>
    </w:tbl>
    <w:p>
      <w:pPr>
        <w:spacing w:before="0" w:after="120" w:line="264" w:lineRule="auto"/>
      </w:pPr>
    </w:p>
    <w:p>
      <w:pPr>
        <w:keepNext/>
        <w:spacing w:before="240" w:after="100" w:line="264" w:lineRule="auto"/>
      </w:pPr>
      <w:r>
        <w:rPr>
          <w:rFonts w:ascii="Arial" w:hAnsi="Arial"/>
          <w:b/>
          <w:i w:val="0"/>
          <w:color w:val="00AED4"/>
          <w:sz w:val="28"/>
        </w:rPr>
        <w:t xml:space="preserve">1  </w:t>
      </w:r>
      <w:r>
        <w:rPr>
          <w:rFonts w:ascii="Arial" w:hAnsi="Arial"/>
          <w:b/>
          <w:i w:val="0"/>
          <w:color w:val="232754"/>
          <w:sz w:val="28"/>
        </w:rPr>
        <w:t>Règles de communication</w:t>
      </w:r>
    </w:p>
    <w:p>
      <w:pPr>
        <w:spacing w:before="0" w:after="40" w:line="264" w:lineRule="auto"/>
        <w:ind w:left="255" w:hanging="198"/>
      </w:pPr>
      <w:r>
        <w:rPr>
          <w:rFonts w:ascii="Arial" w:hAnsi="Arial"/>
          <w:b w:val="0"/>
          <w:i w:val="0"/>
          <w:color w:val="00AED4"/>
          <w:sz w:val="15"/>
        </w:rPr>
        <w:t xml:space="preserve">■  </w:t>
      </w:r>
      <w:r>
        <w:rPr>
          <w:rFonts w:ascii="Arial" w:hAnsi="Arial"/>
          <w:b/>
          <w:i w:val="0"/>
          <w:color w:val="1A1A1A"/>
          <w:sz w:val="20"/>
        </w:rPr>
        <w:t xml:space="preserve">Ton : </w:t>
      </w:r>
      <w:r>
        <w:rPr>
          <w:rFonts w:ascii="Arial" w:hAnsi="Arial"/>
          <w:b w:val="0"/>
          <w:i w:val="0"/>
          <w:color w:val="1A1A1A"/>
          <w:sz w:val="20"/>
        </w:rPr>
        <w:t>collègue, phrases courtes, résultat d’abord, rien de technique dans les messages.</w:t>
      </w:r>
    </w:p>
    <w:p>
      <w:pPr>
        <w:spacing w:before="0" w:after="40" w:line="264" w:lineRule="auto"/>
        <w:ind w:left="255" w:hanging="198"/>
      </w:pPr>
      <w:r>
        <w:rPr>
          <w:rFonts w:ascii="Arial" w:hAnsi="Arial"/>
          <w:b w:val="0"/>
          <w:i w:val="0"/>
          <w:color w:val="00AED4"/>
          <w:sz w:val="15"/>
        </w:rPr>
        <w:t xml:space="preserve">■  </w:t>
      </w:r>
      <w:r>
        <w:rPr>
          <w:rFonts w:ascii="Arial" w:hAnsi="Arial"/>
          <w:b/>
          <w:i w:val="0"/>
          <w:color w:val="1A1A1A"/>
          <w:sz w:val="20"/>
        </w:rPr>
        <w:t xml:space="preserve">Choix : </w:t>
      </w:r>
      <w:r>
        <w:rPr>
          <w:rFonts w:ascii="Arial" w:hAnsi="Arial"/>
          <w:b w:val="0"/>
          <w:i w:val="0"/>
          <w:color w:val="1A1A1A"/>
          <w:sz w:val="20"/>
        </w:rPr>
        <w:t>une seule question, celle qui change le résultat, proposée en options A, B, C avec un choix par défaut.</w:t>
      </w:r>
    </w:p>
    <w:p>
      <w:pPr>
        <w:spacing w:before="0" w:after="40" w:line="264" w:lineRule="auto"/>
        <w:ind w:left="255" w:hanging="198"/>
      </w:pPr>
      <w:r>
        <w:rPr>
          <w:rFonts w:ascii="Arial" w:hAnsi="Arial"/>
          <w:b w:val="0"/>
          <w:i w:val="0"/>
          <w:color w:val="00AED4"/>
          <w:sz w:val="15"/>
        </w:rPr>
        <w:t xml:space="preserve">■  </w:t>
      </w:r>
      <w:r>
        <w:rPr>
          <w:rFonts w:ascii="Arial" w:hAnsi="Arial"/>
          <w:b/>
          <w:i w:val="0"/>
          <w:color w:val="1A1A1A"/>
          <w:sz w:val="20"/>
        </w:rPr>
        <w:t xml:space="preserve">Remise : </w:t>
      </w:r>
      <w:r>
        <w:rPr>
          <w:rFonts w:ascii="Arial" w:hAnsi="Arial"/>
          <w:b w:val="0"/>
          <w:i w:val="0"/>
          <w:color w:val="1A1A1A"/>
          <w:sz w:val="20"/>
        </w:rPr>
        <w:t>Google Doc, Slides ou Sheet partagé, PDF joint, aperçu, puis trois lignes : solide, faible, supposé.</w:t>
      </w:r>
    </w:p>
    <w:p>
      <w:pPr>
        <w:spacing w:before="0" w:after="40" w:line="264" w:lineRule="auto"/>
        <w:ind w:left="255" w:hanging="198"/>
      </w:pPr>
      <w:r>
        <w:rPr>
          <w:rFonts w:ascii="Arial" w:hAnsi="Arial"/>
          <w:b w:val="0"/>
          <w:i w:val="0"/>
          <w:color w:val="00AED4"/>
          <w:sz w:val="15"/>
        </w:rPr>
        <w:t xml:space="preserve">■  </w:t>
      </w:r>
      <w:r>
        <w:rPr>
          <w:rFonts w:ascii="Arial" w:hAnsi="Arial"/>
          <w:b/>
          <w:i w:val="0"/>
          <w:color w:val="1A1A1A"/>
          <w:sz w:val="20"/>
        </w:rPr>
        <w:t xml:space="preserve">Ce qui engage : </w:t>
      </w:r>
      <w:r>
        <w:rPr>
          <w:rFonts w:ascii="Arial" w:hAnsi="Arial"/>
          <w:b w:val="0"/>
          <w:i w:val="0"/>
          <w:color w:val="1A1A1A"/>
          <w:sz w:val="20"/>
        </w:rPr>
        <w:t>publier, envoyer, dépenser ou promettre attend un accord écrit.</w:t>
      </w:r>
    </w:p>
    <w:p>
      <w:pPr>
        <w:keepNext/>
        <w:spacing w:before="240" w:after="100" w:line="264" w:lineRule="auto"/>
      </w:pPr>
      <w:r>
        <w:rPr>
          <w:rFonts w:ascii="Arial" w:hAnsi="Arial"/>
          <w:b/>
          <w:i w:val="0"/>
          <w:color w:val="00AED4"/>
          <w:sz w:val="28"/>
        </w:rPr>
        <w:t xml:space="preserve">2  </w:t>
      </w:r>
      <w:r>
        <w:rPr>
          <w:rFonts w:ascii="Arial" w:hAnsi="Arial"/>
          <w:b/>
          <w:i w:val="0"/>
          <w:color w:val="232754"/>
          <w:sz w:val="28"/>
        </w:rPr>
        <w:t>Commandes</w:t>
      </w:r>
    </w:p>
    <w:p>
      <w:pPr>
        <w:spacing w:before="0" w:after="60" w:line="264" w:lineRule="auto"/>
      </w:pPr>
      <w:r>
        <w:rPr>
          <w:rFonts w:ascii="Arial" w:hAnsi="Arial"/>
          <w:b w:val="0"/>
          <w:i w:val="0"/>
          <w:color w:val="1A1A1A"/>
          <w:sz w:val="20"/>
        </w:rPr>
        <w:t>24 commandes installées, toutes avec leur compétence. Les plus utiles 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  <w:tblLayout w:type="fixed"/>
        <w:tblW w:w="9637" w:type="dxa"/>
      </w:tblPr>
      <w:tblGrid>
        <w:gridCol w:w="2381"/>
        <w:gridCol w:w="5839"/>
        <w:gridCol w:w="1417"/>
      </w:tblGrid>
      <w:tr>
        <w:trPr>
          <w:tblHeader w:val="true"/>
        </w:trPr>
        <w:tc>
          <w:tcPr>
            <w:tcW w:type="dxa" w:w="2381"/>
            <w:shd w:val="clear" w:color="auto" w:fill="23275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Commande</w:t>
            </w:r>
          </w:p>
        </w:tc>
        <w:tc>
          <w:tcPr>
            <w:tcW w:type="dxa" w:w="5839"/>
            <w:shd w:val="clear" w:color="auto" w:fill="23275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Ce qu’elle déclenche</w:t>
            </w:r>
          </w:p>
        </w:tc>
        <w:tc>
          <w:tcPr>
            <w:tcW w:type="dxa" w:w="1417"/>
            <w:shd w:val="clear" w:color="auto" w:fill="23275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Compétence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32754"/>
                <w:sz w:val="18"/>
              </w:rPr>
              <w:t>/campagne</w:t>
            </w:r>
          </w:p>
        </w:tc>
        <w:tc>
          <w:tcPr>
            <w:tcW w:type="dxa" w:w="583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B2A35"/>
                <w:sz w:val="18"/>
              </w:rPr>
              <w:t>Plan de campagne complet, budget et mesure</w:t>
            </w:r>
          </w:p>
        </w:tc>
        <w:tc>
          <w:tcPr>
            <w:tcW w:type="dxa" w:w="1417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00857E"/>
                <w:sz w:val="18"/>
              </w:rPr>
              <w:t>oui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8F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32754"/>
                <w:sz w:val="18"/>
              </w:rPr>
              <w:t>/post</w:t>
            </w:r>
          </w:p>
        </w:tc>
        <w:tc>
          <w:tcPr>
            <w:tcW w:type="dxa" w:w="5839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8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B2A35"/>
                <w:sz w:val="18"/>
              </w:rPr>
              <w:t>Publication prête, texte et visuel</w:t>
            </w:r>
          </w:p>
        </w:tc>
        <w:tc>
          <w:tcPr>
            <w:tcW w:type="dxa" w:w="1417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8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00857E"/>
                <w:sz w:val="18"/>
              </w:rPr>
              <w:t>oui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32754"/>
                <w:sz w:val="18"/>
              </w:rPr>
              <w:t>/calendrier</w:t>
            </w:r>
          </w:p>
        </w:tc>
        <w:tc>
          <w:tcPr>
            <w:tcW w:type="dxa" w:w="583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B2A35"/>
                <w:sz w:val="18"/>
              </w:rPr>
              <w:t>Calendrier éditorial daté</w:t>
            </w:r>
          </w:p>
        </w:tc>
        <w:tc>
          <w:tcPr>
            <w:tcW w:type="dxa" w:w="1417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00857E"/>
                <w:sz w:val="18"/>
              </w:rPr>
              <w:t>oui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8F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32754"/>
                <w:sz w:val="18"/>
              </w:rPr>
              <w:t>/concurrents</w:t>
            </w:r>
          </w:p>
        </w:tc>
        <w:tc>
          <w:tcPr>
            <w:tcW w:type="dxa" w:w="5839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8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B2A35"/>
                <w:sz w:val="18"/>
              </w:rPr>
              <w:t>Étude ou veille concurrentielle</w:t>
            </w:r>
          </w:p>
        </w:tc>
        <w:tc>
          <w:tcPr>
            <w:tcW w:type="dxa" w:w="1417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8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00857E"/>
                <w:sz w:val="18"/>
              </w:rPr>
              <w:t>oui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32754"/>
                <w:sz w:val="18"/>
              </w:rPr>
              <w:t>/pubs</w:t>
            </w:r>
          </w:p>
        </w:tc>
        <w:tc>
          <w:tcPr>
            <w:tcW w:type="dxa" w:w="583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B2A35"/>
                <w:sz w:val="18"/>
              </w:rPr>
              <w:t>Stratégie et budget publicitaires</w:t>
            </w:r>
          </w:p>
        </w:tc>
        <w:tc>
          <w:tcPr>
            <w:tcW w:type="dxa" w:w="1417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00857E"/>
                <w:sz w:val="18"/>
              </w:rPr>
              <w:t>oui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8F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32754"/>
                <w:sz w:val="18"/>
              </w:rPr>
              <w:t>/relire</w:t>
            </w:r>
          </w:p>
        </w:tc>
        <w:tc>
          <w:tcPr>
            <w:tcW w:type="dxa" w:w="5839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8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B2A35"/>
                <w:sz w:val="18"/>
              </w:rPr>
              <w:t>Relecture avant publication</w:t>
            </w:r>
          </w:p>
        </w:tc>
        <w:tc>
          <w:tcPr>
            <w:tcW w:type="dxa" w:w="1417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8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00857E"/>
                <w:sz w:val="18"/>
              </w:rPr>
              <w:t>oui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32754"/>
                <w:sz w:val="18"/>
              </w:rPr>
              <w:t>/livrable, /tableau, /bilan</w:t>
            </w:r>
          </w:p>
        </w:tc>
        <w:tc>
          <w:tcPr>
            <w:tcW w:type="dxa" w:w="583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B2A35"/>
                <w:sz w:val="18"/>
              </w:rPr>
              <w:t>Remise, tableau de bord, bilan du mois</w:t>
            </w:r>
          </w:p>
        </w:tc>
        <w:tc>
          <w:tcPr>
            <w:tcW w:type="dxa" w:w="1417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00857E"/>
                <w:sz w:val="18"/>
              </w:rPr>
              <w:t>oui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8F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32754"/>
                <w:sz w:val="18"/>
              </w:rPr>
              <w:t>/etat, /point, /routines, /outils</w:t>
            </w:r>
          </w:p>
        </w:tc>
        <w:tc>
          <w:tcPr>
            <w:tcW w:type="dxa" w:w="5839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8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B2A35"/>
                <w:sz w:val="18"/>
              </w:rPr>
              <w:t>Suivi de mon travail et de mes accès</w:t>
            </w:r>
          </w:p>
        </w:tc>
        <w:tc>
          <w:tcPr>
            <w:tcW w:type="dxa" w:w="1417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8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00857E"/>
                <w:sz w:val="18"/>
              </w:rPr>
              <w:t>oui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32754"/>
                <w:sz w:val="18"/>
              </w:rPr>
              <w:t>/configuration</w:t>
            </w:r>
          </w:p>
        </w:tc>
        <w:tc>
          <w:tcPr>
            <w:tcW w:type="dxa" w:w="583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B2A35"/>
                <w:sz w:val="18"/>
              </w:rPr>
              <w:t>Cet état</w:t>
            </w:r>
          </w:p>
        </w:tc>
        <w:tc>
          <w:tcPr>
            <w:tcW w:type="dxa" w:w="1417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00857E"/>
                <w:sz w:val="18"/>
              </w:rPr>
              <w:t>oui</w:t>
            </w:r>
          </w:p>
        </w:tc>
      </w:tr>
    </w:tbl>
    <w:p>
      <w:pPr>
        <w:spacing w:before="0" w:after="80" w:line="264" w:lineRule="auto"/>
      </w:pPr>
    </w:p>
    <w:p>
      <w:pPr>
        <w:keepNext/>
        <w:spacing w:before="240" w:after="100" w:line="264" w:lineRule="auto"/>
      </w:pPr>
      <w:r>
        <w:rPr>
          <w:rFonts w:ascii="Arial" w:hAnsi="Arial"/>
          <w:b/>
          <w:i w:val="0"/>
          <w:color w:val="00AED4"/>
          <w:sz w:val="28"/>
        </w:rPr>
        <w:t xml:space="preserve">3  </w:t>
      </w:r>
      <w:r>
        <w:rPr>
          <w:rFonts w:ascii="Arial" w:hAnsi="Arial"/>
          <w:b/>
          <w:i w:val="0"/>
          <w:color w:val="232754"/>
          <w:sz w:val="28"/>
        </w:rPr>
        <w:t>Couche locale</w:t>
      </w:r>
    </w:p>
    <w:p>
      <w:pPr>
        <w:spacing w:before="0" w:after="40" w:line="264" w:lineRule="auto"/>
        <w:ind w:left="255" w:hanging="198"/>
      </w:pPr>
      <w:r>
        <w:rPr>
          <w:rFonts w:ascii="Arial" w:hAnsi="Arial"/>
          <w:b w:val="0"/>
          <w:i w:val="0"/>
          <w:color w:val="00AED4"/>
          <w:sz w:val="15"/>
        </w:rPr>
        <w:t xml:space="preserve">■  </w:t>
      </w:r>
      <w:r>
        <w:rPr>
          <w:rFonts w:ascii="Arial" w:hAnsi="Arial"/>
          <w:b/>
          <w:i w:val="0"/>
          <w:color w:val="1A1A1A"/>
          <w:sz w:val="20"/>
        </w:rPr>
        <w:t xml:space="preserve">Couvert : </w:t>
      </w:r>
      <w:r>
        <w:rPr>
          <w:rFonts w:ascii="Arial" w:hAnsi="Arial"/>
          <w:b w:val="0"/>
          <w:i w:val="0"/>
          <w:color w:val="1A1A1A"/>
          <w:sz w:val="20"/>
        </w:rPr>
        <w:t>institutions de Côte d’Ivoire et de l’UEMOA, données personnelles (loi 2013-450, ARTCI), registres du français ivoirien, publicité et mentions obligatoires.</w:t>
      </w:r>
    </w:p>
    <w:p>
      <w:pPr>
        <w:spacing w:before="0" w:after="40" w:line="264" w:lineRule="auto"/>
        <w:ind w:left="255" w:hanging="198"/>
      </w:pPr>
      <w:r>
        <w:rPr>
          <w:rFonts w:ascii="Arial" w:hAnsi="Arial"/>
          <w:b w:val="0"/>
          <w:i w:val="0"/>
          <w:color w:val="00AED4"/>
          <w:sz w:val="15"/>
        </w:rPr>
        <w:t xml:space="preserve">■  </w:t>
      </w:r>
      <w:r>
        <w:rPr>
          <w:rFonts w:ascii="Arial" w:hAnsi="Arial"/>
          <w:b/>
          <w:i w:val="0"/>
          <w:color w:val="1A1A1A"/>
          <w:sz w:val="20"/>
        </w:rPr>
        <w:t xml:space="preserve">Vide : </w:t>
      </w:r>
      <w:r>
        <w:rPr>
          <w:rFonts w:ascii="Arial" w:hAnsi="Arial"/>
          <w:b w:val="0"/>
          <w:i w:val="0"/>
          <w:color w:val="1A1A1A"/>
          <w:sz w:val="20"/>
        </w:rPr>
        <w:t>tarifs médias locaux (radio, affichage, presse) et coûts publicitaires par réseau en Côte d’Ivoire : je donne des estimations signalées, pas de grille sourcée.</w:t>
      </w:r>
    </w:p>
    <w:p>
      <w:pPr>
        <w:keepNext/>
        <w:spacing w:before="240" w:after="100" w:line="264" w:lineRule="auto"/>
      </w:pPr>
      <w:r>
        <w:rPr>
          <w:rFonts w:ascii="Arial" w:hAnsi="Arial"/>
          <w:b/>
          <w:i w:val="0"/>
          <w:color w:val="00AED4"/>
          <w:sz w:val="28"/>
        </w:rPr>
        <w:t xml:space="preserve">4  </w:t>
      </w:r>
      <w:r>
        <w:rPr>
          <w:rFonts w:ascii="Arial" w:hAnsi="Arial"/>
          <w:b/>
          <w:i w:val="0"/>
          <w:color w:val="232754"/>
          <w:sz w:val="28"/>
        </w:rPr>
        <w:t>Compétences</w:t>
      </w:r>
    </w:p>
    <w:p>
      <w:pPr>
        <w:spacing w:before="0" w:after="60" w:line="264" w:lineRule="auto"/>
      </w:pPr>
      <w:r>
        <w:rPr>
          <w:rFonts w:ascii="Arial" w:hAnsi="Arial"/>
          <w:b w:val="0"/>
          <w:i w:val="0"/>
          <w:color w:val="1A1A1A"/>
          <w:sz w:val="20"/>
        </w:rPr>
        <w:t>199 compétences et 263 sections détaillées (462 fiches, contre 453 le 26 octobre : neuf ajouts).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  <w:tblLayout w:type="fixed"/>
        <w:tblW w:w="9638" w:type="dxa"/>
      </w:tblPr>
      <w:tblGrid>
        <w:gridCol w:w="2948"/>
        <w:gridCol w:w="6690"/>
      </w:tblGrid>
      <w:tr>
        <w:trPr>
          <w:tblHeader w:val="true"/>
        </w:trPr>
        <w:tc>
          <w:tcPr>
            <w:tcW w:type="dxa" w:w="2948"/>
            <w:shd w:val="clear" w:color="auto" w:fill="23275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Famille</w:t>
            </w:r>
          </w:p>
        </w:tc>
        <w:tc>
          <w:tcPr>
            <w:tcW w:type="dxa" w:w="6690"/>
            <w:shd w:val="clear" w:color="auto" w:fill="23275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Quand je m’en sers</w:t>
            </w:r>
          </w:p>
        </w:tc>
      </w:tr>
      <w:tr>
        <w:tc>
          <w:tcPr>
            <w:tcW w:type="dxa" w:w="294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32754"/>
                <w:sz w:val="18"/>
              </w:rPr>
              <w:t>Plan marketing et acquisition</w:t>
            </w:r>
          </w:p>
        </w:tc>
        <w:tc>
          <w:tcPr>
            <w:tcW w:type="dxa" w:w="669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B2A35"/>
                <w:sz w:val="18"/>
              </w:rPr>
              <w:t>Plan annuel, campagne, budget, canaux, mesure (plans COTIPLAST, Proline)</w:t>
            </w:r>
          </w:p>
        </w:tc>
      </w:tr>
      <w:tr>
        <w:tc>
          <w:tcPr>
            <w:tcW w:type="dxa" w:w="2948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8F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32754"/>
                <w:sz w:val="18"/>
              </w:rPr>
              <w:t>Contenus réseaux sociaux</w:t>
            </w:r>
          </w:p>
        </w:tc>
        <w:tc>
          <w:tcPr>
            <w:tcW w:type="dxa" w:w="6690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8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B2A35"/>
                <w:sz w:val="18"/>
              </w:rPr>
              <w:t>Posts, calendriers, carrousels (MTN, Proline, TAJ PLAST)</w:t>
            </w:r>
          </w:p>
        </w:tc>
      </w:tr>
      <w:tr>
        <w:tc>
          <w:tcPr>
            <w:tcW w:type="dxa" w:w="294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32754"/>
                <w:sz w:val="18"/>
              </w:rPr>
              <w:t>Images et vidéos</w:t>
            </w:r>
          </w:p>
        </w:tc>
        <w:tc>
          <w:tcPr>
            <w:tcW w:type="dxa" w:w="669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B2A35"/>
                <w:sz w:val="18"/>
              </w:rPr>
              <w:t>Visuels de marque, photos, films courts</w:t>
            </w:r>
          </w:p>
        </w:tc>
      </w:tr>
      <w:tr>
        <w:tc>
          <w:tcPr>
            <w:tcW w:type="dxa" w:w="2948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8F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32754"/>
                <w:sz w:val="18"/>
              </w:rPr>
              <w:t>Communauté, veille, statistiques</w:t>
            </w:r>
          </w:p>
        </w:tc>
        <w:tc>
          <w:tcPr>
            <w:tcW w:type="dxa" w:w="6690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8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B2A35"/>
                <w:sz w:val="18"/>
              </w:rPr>
              <w:t>Veilles et études concurrentielles (MTN, Proline)</w:t>
            </w:r>
          </w:p>
        </w:tc>
      </w:tr>
      <w:tr>
        <w:tc>
          <w:tcPr>
            <w:tcW w:type="dxa" w:w="294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32754"/>
                <w:sz w:val="18"/>
              </w:rPr>
              <w:t>Rédaction web, SEO, e-mailing</w:t>
            </w:r>
          </w:p>
        </w:tc>
        <w:tc>
          <w:tcPr>
            <w:tcW w:type="dxa" w:w="669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B2A35"/>
                <w:sz w:val="18"/>
              </w:rPr>
              <w:t>Pages de site, lettres d’information</w:t>
            </w:r>
          </w:p>
        </w:tc>
      </w:tr>
      <w:tr>
        <w:tc>
          <w:tcPr>
            <w:tcW w:type="dxa" w:w="2948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8F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32754"/>
                <w:sz w:val="18"/>
              </w:rPr>
              <w:t>Plateforme et identité de marque</w:t>
            </w:r>
          </w:p>
        </w:tc>
        <w:tc>
          <w:tcPr>
            <w:tcW w:type="dxa" w:w="6690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8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B2A35"/>
                <w:sz w:val="18"/>
              </w:rPr>
              <w:t>Marques sans fondations claires</w:t>
            </w:r>
          </w:p>
        </w:tc>
      </w:tr>
      <w:tr>
        <w:tc>
          <w:tcPr>
            <w:tcW w:type="dxa" w:w="294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32754"/>
                <w:sz w:val="18"/>
              </w:rPr>
              <w:t>Contrôle avant publication</w:t>
            </w:r>
          </w:p>
        </w:tc>
        <w:tc>
          <w:tcPr>
            <w:tcW w:type="dxa" w:w="669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B2A35"/>
                <w:sz w:val="18"/>
              </w:rPr>
              <w:t>Charte, orthographe, mentions, droits</w:t>
            </w:r>
          </w:p>
        </w:tc>
      </w:tr>
      <w:tr>
        <w:tc>
          <w:tcPr>
            <w:tcW w:type="dxa" w:w="2948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8F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32754"/>
                <w:sz w:val="18"/>
              </w:rPr>
              <w:t>Communes</w:t>
            </w:r>
          </w:p>
        </w:tc>
        <w:tc>
          <w:tcPr>
            <w:tcW w:type="dxa" w:w="6690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8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B2A35"/>
                <w:sz w:val="18"/>
              </w:rPr>
              <w:t>Livrables, mémoire, outils, sécurité, cadre local, téléphone</w:t>
            </w:r>
          </w:p>
        </w:tc>
      </w:tr>
    </w:tbl>
    <w:p>
      <w:pPr>
        <w:spacing w:before="0" w:after="80" w:line="264" w:lineRule="auto"/>
      </w:pPr>
    </w:p>
    <w:p>
      <w:pPr>
        <w:keepNext/>
        <w:spacing w:before="240" w:after="100" w:line="264" w:lineRule="auto"/>
      </w:pPr>
      <w:r>
        <w:rPr>
          <w:rFonts w:ascii="Arial" w:hAnsi="Arial"/>
          <w:b/>
          <w:i w:val="0"/>
          <w:color w:val="00AED4"/>
          <w:sz w:val="28"/>
        </w:rPr>
        <w:t xml:space="preserve">5  </w:t>
      </w:r>
      <w:r>
        <w:rPr>
          <w:rFonts w:ascii="Arial" w:hAnsi="Arial"/>
          <w:b/>
          <w:i w:val="0"/>
          <w:color w:val="232754"/>
          <w:sz w:val="28"/>
        </w:rPr>
        <w:t>Modèles de documents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  <w:tblLayout w:type="fixed"/>
        <w:tblW w:w="9638" w:type="dxa"/>
      </w:tblPr>
      <w:tblGrid>
        <w:gridCol w:w="3855"/>
        <w:gridCol w:w="4309"/>
        <w:gridCol w:w="1474"/>
      </w:tblGrid>
      <w:tr>
        <w:trPr>
          <w:tblHeader w:val="true"/>
        </w:trPr>
        <w:tc>
          <w:tcPr>
            <w:tcW w:type="dxa" w:w="3855"/>
            <w:shd w:val="clear" w:color="auto" w:fill="23275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Modèle</w:t>
            </w:r>
          </w:p>
        </w:tc>
        <w:tc>
          <w:tcPr>
            <w:tcW w:type="dxa" w:w="4309"/>
            <w:shd w:val="clear" w:color="auto" w:fill="23275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Tâche</w:t>
            </w:r>
          </w:p>
        </w:tc>
        <w:tc>
          <w:tcPr>
            <w:tcW w:type="dxa" w:w="1474"/>
            <w:shd w:val="clear" w:color="auto" w:fill="23275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</w:r>
          </w:p>
        </w:tc>
      </w:tr>
      <w:tr>
        <w:tc>
          <w:tcPr>
            <w:tcW w:type="dxa" w:w="3855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32754"/>
                <w:sz w:val="18"/>
              </w:rPr>
              <w:t>Plan de campagne, bilan de campagne</w:t>
            </w:r>
          </w:p>
        </w:tc>
        <w:tc>
          <w:tcPr>
            <w:tcW w:type="dxa" w:w="430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B2A35"/>
                <w:sz w:val="18"/>
              </w:rPr>
              <w:t>Campagnes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B2A35"/>
                <w:sz w:val="18"/>
              </w:rPr>
              <w:t>présent</w:t>
            </w:r>
          </w:p>
        </w:tc>
      </w:tr>
      <w:tr>
        <w:tc>
          <w:tcPr>
            <w:tcW w:type="dxa" w:w="3855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8F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32754"/>
                <w:sz w:val="18"/>
              </w:rPr>
              <w:t>Calendrier éditorial, publication réseaux</w:t>
            </w:r>
          </w:p>
        </w:tc>
        <w:tc>
          <w:tcPr>
            <w:tcW w:type="dxa" w:w="4309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8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B2A35"/>
                <w:sz w:val="18"/>
              </w:rPr>
              <w:t>Réseaux sociaux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8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B2A35"/>
                <w:sz w:val="18"/>
              </w:rPr>
              <w:t>présent</w:t>
            </w:r>
          </w:p>
        </w:tc>
      </w:tr>
      <w:tr>
        <w:tc>
          <w:tcPr>
            <w:tcW w:type="dxa" w:w="3855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32754"/>
                <w:sz w:val="18"/>
              </w:rPr>
              <w:t>Page de site, rapport d’audit SEO</w:t>
            </w:r>
          </w:p>
        </w:tc>
        <w:tc>
          <w:tcPr>
            <w:tcW w:type="dxa" w:w="430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B2A35"/>
                <w:sz w:val="18"/>
              </w:rPr>
              <w:t>Web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B2A35"/>
                <w:sz w:val="18"/>
              </w:rPr>
              <w:t>présent</w:t>
            </w:r>
          </w:p>
        </w:tc>
      </w:tr>
      <w:tr>
        <w:tc>
          <w:tcPr>
            <w:tcW w:type="dxa" w:w="3855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8F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32754"/>
                <w:sz w:val="18"/>
              </w:rPr>
              <w:t>Communiqué, conducteur d’événement, script de spot</w:t>
            </w:r>
          </w:p>
        </w:tc>
        <w:tc>
          <w:tcPr>
            <w:tcW w:type="dxa" w:w="4309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8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B2A35"/>
                <w:sz w:val="18"/>
              </w:rPr>
              <w:t>Presse, événement, radio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8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B2A35"/>
                <w:sz w:val="18"/>
              </w:rPr>
              <w:t>présent</w:t>
            </w:r>
          </w:p>
        </w:tc>
      </w:tr>
      <w:tr>
        <w:tc>
          <w:tcPr>
            <w:tcW w:type="dxa" w:w="3855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32754"/>
                <w:sz w:val="18"/>
              </w:rPr>
              <w:t>Autorisation de citer une référence</w:t>
            </w:r>
          </w:p>
        </w:tc>
        <w:tc>
          <w:tcPr>
            <w:tcW w:type="dxa" w:w="430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B2A35"/>
                <w:sz w:val="18"/>
              </w:rPr>
              <w:t>Études de cas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B2A35"/>
                <w:sz w:val="18"/>
              </w:rPr>
              <w:t>présent</w:t>
            </w:r>
          </w:p>
        </w:tc>
      </w:tr>
      <w:tr>
        <w:tc>
          <w:tcPr>
            <w:tcW w:type="dxa" w:w="3855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8F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32754"/>
                <w:sz w:val="18"/>
              </w:rPr>
              <w:t>aucun</w:t>
            </w:r>
          </w:p>
        </w:tc>
        <w:tc>
          <w:tcPr>
            <w:tcW w:type="dxa" w:w="4309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8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B2A35"/>
                <w:sz w:val="18"/>
              </w:rPr>
              <w:t>Lettre d’information, veille concurrentielle en slides, plan média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8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C0392B"/>
                <w:sz w:val="18"/>
              </w:rPr>
              <w:t>non</w:t>
            </w:r>
          </w:p>
        </w:tc>
      </w:tr>
    </w:tbl>
    <w:p>
      <w:pPr>
        <w:spacing w:before="0" w:after="80" w:line="264" w:lineRule="auto"/>
      </w:pPr>
    </w:p>
    <w:p>
      <w:pPr>
        <w:keepNext/>
        <w:spacing w:before="240" w:after="100" w:line="264" w:lineRule="auto"/>
      </w:pPr>
      <w:r>
        <w:rPr>
          <w:rFonts w:ascii="Arial" w:hAnsi="Arial"/>
          <w:b/>
          <w:i w:val="0"/>
          <w:color w:val="00AED4"/>
          <w:sz w:val="28"/>
        </w:rPr>
        <w:t xml:space="preserve">6  </w:t>
      </w:r>
      <w:r>
        <w:rPr>
          <w:rFonts w:ascii="Arial" w:hAnsi="Arial"/>
          <w:b/>
          <w:i w:val="0"/>
          <w:color w:val="232754"/>
          <w:sz w:val="28"/>
        </w:rPr>
        <w:t>Tâches automatiques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  <w:tblLayout w:type="fixed"/>
        <w:tblW w:w="9639" w:type="dxa"/>
      </w:tblPr>
      <w:tblGrid>
        <w:gridCol w:w="2608"/>
        <w:gridCol w:w="1928"/>
        <w:gridCol w:w="3175"/>
        <w:gridCol w:w="1928"/>
      </w:tblGrid>
      <w:tr>
        <w:trPr>
          <w:tblHeader w:val="true"/>
        </w:trPr>
        <w:tc>
          <w:tcPr>
            <w:tcW w:type="dxa" w:w="2608"/>
            <w:shd w:val="clear" w:color="auto" w:fill="23275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Tâche</w:t>
            </w:r>
          </w:p>
        </w:tc>
        <w:tc>
          <w:tcPr>
            <w:tcW w:type="dxa" w:w="1928"/>
            <w:shd w:val="clear" w:color="auto" w:fill="23275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Quand</w:t>
            </w:r>
          </w:p>
        </w:tc>
        <w:tc>
          <w:tcPr>
            <w:tcW w:type="dxa" w:w="3175"/>
            <w:shd w:val="clear" w:color="auto" w:fill="23275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Ce qu’elle produit</w:t>
            </w:r>
          </w:p>
        </w:tc>
        <w:tc>
          <w:tcPr>
            <w:tcW w:type="dxa" w:w="1928"/>
            <w:shd w:val="clear" w:color="auto" w:fill="23275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État</w:t>
            </w:r>
          </w:p>
        </w:tc>
      </w:tr>
      <w:tr>
        <w:tc>
          <w:tcPr>
            <w:tcW w:type="dxa" w:w="260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32754"/>
                <w:sz w:val="18"/>
              </w:rPr>
              <w:t>Point de fin de journée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B2A35"/>
                <w:sz w:val="18"/>
              </w:rPr>
              <w:t>Lun-ven, 17 h</w:t>
            </w:r>
          </w:p>
        </w:tc>
        <w:tc>
          <w:tcPr>
            <w:tcW w:type="dxa" w:w="3175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B2A35"/>
                <w:sz w:val="18"/>
              </w:rPr>
              <w:t>Ce qui a été fait, ce qui attend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B2A35"/>
                <w:sz w:val="18"/>
              </w:rPr>
              <w:t>active</w:t>
            </w:r>
          </w:p>
        </w:tc>
      </w:tr>
      <w:tr>
        <w:tc>
          <w:tcPr>
            <w:tcW w:type="dxa" w:w="2608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8F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32754"/>
                <w:sz w:val="18"/>
              </w:rPr>
              <w:t>Novotel, demandes de devis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8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B2A35"/>
                <w:sz w:val="18"/>
              </w:rPr>
              <w:t>Toutes les 15 min</w:t>
            </w:r>
          </w:p>
        </w:tc>
        <w:tc>
          <w:tcPr>
            <w:tcW w:type="dxa" w:w="3175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8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B2A35"/>
                <w:sz w:val="18"/>
              </w:rPr>
              <w:t>Demandes rangées dans le tableur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8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B2A35"/>
                <w:sz w:val="18"/>
              </w:rPr>
              <w:t>active</w:t>
            </w:r>
          </w:p>
        </w:tc>
      </w:tr>
      <w:tr>
        <w:tc>
          <w:tcPr>
            <w:tcW w:type="dxa" w:w="260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32754"/>
                <w:sz w:val="18"/>
              </w:rPr>
              <w:t>Veille Barry Callebaut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B2A35"/>
                <w:sz w:val="18"/>
              </w:rPr>
              <w:t>Chaque jour, 7 h</w:t>
            </w:r>
          </w:p>
        </w:tc>
        <w:tc>
          <w:tcPr>
            <w:tcW w:type="dxa" w:w="3175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B2A35"/>
                <w:sz w:val="18"/>
              </w:rPr>
              <w:t>Presse et LinkedIn sur les planteurs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B2A35"/>
                <w:sz w:val="18"/>
              </w:rPr>
              <w:t>active</w:t>
            </w:r>
          </w:p>
        </w:tc>
      </w:tr>
      <w:tr>
        <w:tc>
          <w:tcPr>
            <w:tcW w:type="dxa" w:w="2608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8F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32754"/>
                <w:sz w:val="18"/>
              </w:rPr>
              <w:t>IUGB, mur de réponses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8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B2A35"/>
                <w:sz w:val="18"/>
              </w:rPr>
              <w:t>26-27 oct., 7 h-17 h</w:t>
            </w:r>
          </w:p>
        </w:tc>
        <w:tc>
          <w:tcPr>
            <w:tcW w:type="dxa" w:w="3175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8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B2A35"/>
                <w:sz w:val="18"/>
              </w:rPr>
              <w:t>Synchro de l’écran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8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B2A35"/>
                <w:sz w:val="18"/>
              </w:rPr>
              <w:t>active, s’arrête ce soir</w:t>
            </w:r>
          </w:p>
        </w:tc>
      </w:tr>
      <w:tr>
        <w:tc>
          <w:tcPr>
            <w:tcW w:type="dxa" w:w="260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32754"/>
                <w:sz w:val="18"/>
              </w:rPr>
              <w:t>17 autres (bilans, veilles, rappels)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B2A35"/>
                <w:sz w:val="18"/>
              </w:rPr>
              <w:t>—</w:t>
            </w:r>
          </w:p>
        </w:tc>
        <w:tc>
          <w:tcPr>
            <w:tcW w:type="dxa" w:w="3175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B2A35"/>
                <w:sz w:val="18"/>
              </w:rPr>
              <w:t>—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B2A35"/>
                <w:sz w:val="18"/>
              </w:rPr>
              <w:t>en pause depuis le 17 oct.</w:t>
            </w:r>
          </w:p>
        </w:tc>
      </w:tr>
    </w:tbl>
    <w:p>
      <w:pPr>
        <w:spacing w:before="0" w:after="80" w:line="264" w:lineRule="auto"/>
      </w:pPr>
    </w:p>
    <w:p>
      <w:pPr>
        <w:keepNext/>
        <w:spacing w:before="240" w:after="100" w:line="264" w:lineRule="auto"/>
      </w:pPr>
      <w:r>
        <w:rPr>
          <w:rFonts w:ascii="Arial" w:hAnsi="Arial"/>
          <w:b/>
          <w:i w:val="0"/>
          <w:color w:val="00AED4"/>
          <w:sz w:val="28"/>
        </w:rPr>
        <w:t xml:space="preserve">7  </w:t>
      </w:r>
      <w:r>
        <w:rPr>
          <w:rFonts w:ascii="Arial" w:hAnsi="Arial"/>
          <w:b/>
          <w:i w:val="0"/>
          <w:color w:val="232754"/>
          <w:sz w:val="28"/>
        </w:rPr>
        <w:t>Connecteurs et outils, testés ce jour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  <w:tblLayout w:type="fixed"/>
        <w:tblW w:w="9637" w:type="dxa"/>
      </w:tblPr>
      <w:tblGrid>
        <w:gridCol w:w="3061"/>
        <w:gridCol w:w="2721"/>
        <w:gridCol w:w="3855"/>
      </w:tblGrid>
      <w:tr>
        <w:trPr>
          <w:tblHeader w:val="true"/>
        </w:trPr>
        <w:tc>
          <w:tcPr>
            <w:tcW w:type="dxa" w:w="3061"/>
            <w:shd w:val="clear" w:color="auto" w:fill="23275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Outil</w:t>
            </w:r>
          </w:p>
        </w:tc>
        <w:tc>
          <w:tcPr>
            <w:tcW w:type="dxa" w:w="2721"/>
            <w:shd w:val="clear" w:color="auto" w:fill="23275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État au test</w:t>
            </w:r>
          </w:p>
        </w:tc>
        <w:tc>
          <w:tcPr>
            <w:tcW w:type="dxa" w:w="3855"/>
            <w:shd w:val="clear" w:color="auto" w:fill="23275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Ce qu’il permet</w:t>
            </w:r>
          </w:p>
        </w:tc>
      </w:tr>
      <w:tr>
        <w:tc>
          <w:tcPr>
            <w:tcW w:type="dxa" w:w="3061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32754"/>
                <w:sz w:val="18"/>
              </w:rPr>
              <w:t>Google Drive, Slides, Sheets, Agenda</w:t>
            </w:r>
          </w:p>
        </w:tc>
        <w:tc>
          <w:tcPr>
            <w:tcW w:type="dxa" w:w="2721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00857E"/>
                <w:sz w:val="18"/>
              </w:rPr>
              <w:t>répond</w:t>
            </w:r>
          </w:p>
        </w:tc>
        <w:tc>
          <w:tcPr>
            <w:tcW w:type="dxa" w:w="3855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B2A35"/>
                <w:sz w:val="18"/>
              </w:rPr>
              <w:t>Livrables partagés, agenda</w:t>
            </w:r>
          </w:p>
        </w:tc>
      </w:tr>
      <w:tr>
        <w:tc>
          <w:tcPr>
            <w:tcW w:type="dxa" w:w="3061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8F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32754"/>
                <w:sz w:val="18"/>
              </w:rPr>
              <w:t>Google Docs</w:t>
            </w:r>
          </w:p>
        </w:tc>
        <w:tc>
          <w:tcPr>
            <w:tcW w:type="dxa" w:w="2721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8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00857E"/>
                <w:sz w:val="18"/>
              </w:rPr>
              <w:t>répond, sauf lecture du texte brut</w:t>
            </w:r>
          </w:p>
        </w:tc>
        <w:tc>
          <w:tcPr>
            <w:tcW w:type="dxa" w:w="3855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8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B2A35"/>
                <w:sz w:val="18"/>
              </w:rPr>
              <w:t>Documents ; relecture par l’export PDF</w:t>
            </w:r>
          </w:p>
        </w:tc>
      </w:tr>
      <w:tr>
        <w:tc>
          <w:tcPr>
            <w:tcW w:type="dxa" w:w="3061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32754"/>
                <w:sz w:val="18"/>
              </w:rPr>
              <w:t>Gmail (deux comptes)</w:t>
            </w:r>
          </w:p>
        </w:tc>
        <w:tc>
          <w:tcPr>
            <w:tcW w:type="dxa" w:w="2721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00857E"/>
                <w:sz w:val="18"/>
              </w:rPr>
              <w:t>répond</w:t>
            </w:r>
          </w:p>
        </w:tc>
        <w:tc>
          <w:tcPr>
            <w:tcW w:type="dxa" w:w="3855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B2A35"/>
                <w:sz w:val="18"/>
              </w:rPr>
              <w:t>Lire et préparer des e-mails</w:t>
            </w:r>
          </w:p>
        </w:tc>
      </w:tr>
      <w:tr>
        <w:tc>
          <w:tcPr>
            <w:tcW w:type="dxa" w:w="3061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8F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32754"/>
                <w:sz w:val="18"/>
              </w:rPr>
              <w:t>Canva, Figma</w:t>
            </w:r>
          </w:p>
        </w:tc>
        <w:tc>
          <w:tcPr>
            <w:tcW w:type="dxa" w:w="2721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8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00857E"/>
                <w:sz w:val="18"/>
              </w:rPr>
              <w:t>répond</w:t>
            </w:r>
          </w:p>
        </w:tc>
        <w:tc>
          <w:tcPr>
            <w:tcW w:type="dxa" w:w="3855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8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B2A35"/>
                <w:sz w:val="18"/>
              </w:rPr>
              <w:t>Visuels et maquettes</w:t>
            </w:r>
          </w:p>
        </w:tc>
      </w:tr>
      <w:tr>
        <w:tc>
          <w:tcPr>
            <w:tcW w:type="dxa" w:w="3061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32754"/>
                <w:sz w:val="18"/>
              </w:rPr>
              <w:t>Notion, Slack, HubSpot</w:t>
            </w:r>
          </w:p>
        </w:tc>
        <w:tc>
          <w:tcPr>
            <w:tcW w:type="dxa" w:w="2721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00857E"/>
                <w:sz w:val="18"/>
              </w:rPr>
              <w:t>répond</w:t>
            </w:r>
          </w:p>
        </w:tc>
        <w:tc>
          <w:tcPr>
            <w:tcW w:type="dxa" w:w="3855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B2A35"/>
                <w:sz w:val="18"/>
              </w:rPr>
              <w:t>Notes, messages, contacts</w:t>
            </w:r>
          </w:p>
        </w:tc>
      </w:tr>
      <w:tr>
        <w:tc>
          <w:tcPr>
            <w:tcW w:type="dxa" w:w="3061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8F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32754"/>
                <w:sz w:val="18"/>
              </w:rPr>
              <w:t>LinkedIn</w:t>
            </w:r>
          </w:p>
        </w:tc>
        <w:tc>
          <w:tcPr>
            <w:tcW w:type="dxa" w:w="2721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8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00857E"/>
                <w:sz w:val="18"/>
              </w:rPr>
              <w:t>répond (compte de Leslie)</w:t>
            </w:r>
          </w:p>
        </w:tc>
        <w:tc>
          <w:tcPr>
            <w:tcW w:type="dxa" w:w="3855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8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B2A35"/>
                <w:sz w:val="18"/>
              </w:rPr>
              <w:t>Publier après accord ; page Mstudio refusée le 25 oct.</w:t>
            </w:r>
          </w:p>
        </w:tc>
      </w:tr>
      <w:tr>
        <w:tc>
          <w:tcPr>
            <w:tcW w:type="dxa" w:w="3061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32754"/>
                <w:sz w:val="18"/>
              </w:rPr>
              <w:t>GitHub, Pexels, Tally, Apify, Higgsfield</w:t>
            </w:r>
          </w:p>
        </w:tc>
        <w:tc>
          <w:tcPr>
            <w:tcW w:type="dxa" w:w="2721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00857E"/>
                <w:sz w:val="18"/>
              </w:rPr>
              <w:t>répond</w:t>
            </w:r>
          </w:p>
        </w:tc>
        <w:tc>
          <w:tcPr>
            <w:tcW w:type="dxa" w:w="3855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B2A35"/>
                <w:sz w:val="18"/>
              </w:rPr>
              <w:t>Pages en ligne, photos, formulaires, collecte, vidéo</w:t>
            </w:r>
          </w:p>
        </w:tc>
      </w:tr>
      <w:tr>
        <w:tc>
          <w:tcPr>
            <w:tcW w:type="dxa" w:w="3061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8F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32754"/>
                <w:sz w:val="18"/>
              </w:rPr>
              <w:t>Mémoire de l’entreprise, recherche web</w:t>
            </w:r>
          </w:p>
        </w:tc>
        <w:tc>
          <w:tcPr>
            <w:tcW w:type="dxa" w:w="2721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8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00857E"/>
                <w:sz w:val="18"/>
              </w:rPr>
              <w:t>répond</w:t>
            </w:r>
          </w:p>
        </w:tc>
        <w:tc>
          <w:tcPr>
            <w:tcW w:type="dxa" w:w="3855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8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B2A35"/>
                <w:sz w:val="18"/>
              </w:rPr>
              <w:t>Règles internes, sources</w:t>
            </w:r>
          </w:p>
        </w:tc>
      </w:tr>
      <w:tr>
        <w:tc>
          <w:tcPr>
            <w:tcW w:type="dxa" w:w="3061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32754"/>
                <w:sz w:val="18"/>
              </w:rPr>
              <w:t>OpenRouter</w:t>
            </w:r>
          </w:p>
        </w:tc>
        <w:tc>
          <w:tcPr>
            <w:tcW w:type="dxa" w:w="2721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C0392B"/>
                <w:sz w:val="18"/>
              </w:rPr>
              <w:t>crédit dépassé</w:t>
            </w:r>
          </w:p>
        </w:tc>
        <w:tc>
          <w:tcPr>
            <w:tcW w:type="dxa" w:w="3855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B2A35"/>
                <w:sz w:val="18"/>
              </w:rPr>
              <w:t>Génération d’images payante</w:t>
            </w:r>
          </w:p>
        </w:tc>
      </w:tr>
      <w:tr>
        <w:tc>
          <w:tcPr>
            <w:tcW w:type="dxa" w:w="3061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8F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32754"/>
                <w:sz w:val="18"/>
              </w:rPr>
              <w:t>Instagram, Facebook, Buffer</w:t>
            </w:r>
          </w:p>
        </w:tc>
        <w:tc>
          <w:tcPr>
            <w:tcW w:type="dxa" w:w="2721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8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C0392B"/>
                <w:sz w:val="18"/>
              </w:rPr>
              <w:t>pas branché : connexion à terminer</w:t>
            </w:r>
          </w:p>
        </w:tc>
        <w:tc>
          <w:tcPr>
            <w:tcW w:type="dxa" w:w="3855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8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B2A35"/>
                <w:sz w:val="18"/>
              </w:rPr>
              <w:t>Publier et programmer sur les réseaux</w:t>
            </w:r>
          </w:p>
        </w:tc>
      </w:tr>
    </w:tbl>
    <w:p>
      <w:pPr>
        <w:spacing w:before="0" w:after="80" w:line="264" w:lineRule="auto"/>
      </w:pPr>
    </w:p>
    <w:p>
      <w:pPr>
        <w:keepNext/>
        <w:spacing w:before="240" w:after="100" w:line="264" w:lineRule="auto"/>
      </w:pPr>
      <w:r>
        <w:rPr>
          <w:rFonts w:ascii="Arial" w:hAnsi="Arial"/>
          <w:b/>
          <w:i w:val="0"/>
          <w:color w:val="00AED4"/>
          <w:sz w:val="28"/>
        </w:rPr>
        <w:t xml:space="preserve">8  </w:t>
      </w:r>
      <w:r>
        <w:rPr>
          <w:rFonts w:ascii="Arial" w:hAnsi="Arial"/>
          <w:b/>
          <w:i w:val="0"/>
          <w:color w:val="232754"/>
          <w:sz w:val="28"/>
        </w:rPr>
        <w:t>Clés d’accès (jamais la valeur)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  <w:tblLayout w:type="fixed"/>
        <w:tblW w:w="9637" w:type="dxa"/>
      </w:tblPr>
      <w:tblGrid>
        <w:gridCol w:w="5102"/>
        <w:gridCol w:w="4535"/>
      </w:tblGrid>
      <w:tr>
        <w:trPr>
          <w:tblHeader w:val="true"/>
        </w:trPr>
        <w:tc>
          <w:tcPr>
            <w:tcW w:type="dxa" w:w="5102"/>
            <w:shd w:val="clear" w:color="auto" w:fill="23275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Outil ouvert</w:t>
            </w:r>
          </w:p>
        </w:tc>
        <w:tc>
          <w:tcPr>
            <w:tcW w:type="dxa" w:w="4535"/>
            <w:shd w:val="clear" w:color="auto" w:fill="23275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Clé</w:t>
            </w:r>
          </w:p>
        </w:tc>
      </w:tr>
      <w:tr>
        <w:tc>
          <w:tcPr>
            <w:tcW w:type="dxa" w:w="5102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32754"/>
                <w:sz w:val="18"/>
              </w:rPr>
              <w:t>Applications (Google, Canva, LinkedIn…)</w:t>
            </w:r>
          </w:p>
        </w:tc>
        <w:tc>
          <w:tcPr>
            <w:tcW w:type="dxa" w:w="4535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00857E"/>
                <w:sz w:val="18"/>
              </w:rPr>
              <w:t>présente</w:t>
            </w:r>
          </w:p>
        </w:tc>
      </w:tr>
      <w:tr>
        <w:tc>
          <w:tcPr>
            <w:tcW w:type="dxa" w:w="5102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8F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32754"/>
                <w:sz w:val="18"/>
              </w:rPr>
              <w:t>Mémoire de l’entreprise</w:t>
            </w:r>
          </w:p>
        </w:tc>
        <w:tc>
          <w:tcPr>
            <w:tcW w:type="dxa" w:w="4535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8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00857E"/>
                <w:sz w:val="18"/>
              </w:rPr>
              <w:t>présente</w:t>
            </w:r>
          </w:p>
        </w:tc>
      </w:tr>
      <w:tr>
        <w:tc>
          <w:tcPr>
            <w:tcW w:type="dxa" w:w="5102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32754"/>
                <w:sz w:val="18"/>
              </w:rPr>
              <w:t>Recherche web</w:t>
            </w:r>
          </w:p>
        </w:tc>
        <w:tc>
          <w:tcPr>
            <w:tcW w:type="dxa" w:w="4535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00857E"/>
                <w:sz w:val="18"/>
              </w:rPr>
              <w:t>présente</w:t>
            </w:r>
          </w:p>
        </w:tc>
      </w:tr>
      <w:tr>
        <w:tc>
          <w:tcPr>
            <w:tcW w:type="dxa" w:w="5102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8F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32754"/>
                <w:sz w:val="18"/>
              </w:rPr>
              <w:t>Accès de l’application Yelema</w:t>
            </w:r>
          </w:p>
        </w:tc>
        <w:tc>
          <w:tcPr>
            <w:tcW w:type="dxa" w:w="4535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8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00857E"/>
                <w:sz w:val="18"/>
              </w:rPr>
              <w:t>présente</w:t>
            </w:r>
          </w:p>
        </w:tc>
      </w:tr>
      <w:tr>
        <w:tc>
          <w:tcPr>
            <w:tcW w:type="dxa" w:w="5102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32754"/>
                <w:sz w:val="18"/>
              </w:rPr>
              <w:t>OpenRouter</w:t>
            </w:r>
          </w:p>
        </w:tc>
        <w:tc>
          <w:tcPr>
            <w:tcW w:type="dxa" w:w="4535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C0392B"/>
                <w:sz w:val="18"/>
              </w:rPr>
              <w:t>refusée au-delà du crédit</w:t>
            </w:r>
          </w:p>
        </w:tc>
      </w:tr>
    </w:tbl>
    <w:p>
      <w:pPr>
        <w:spacing w:before="0" w:after="80" w:line="264" w:lineRule="auto"/>
      </w:pPr>
    </w:p>
    <w:p>
      <w:pPr>
        <w:keepNext/>
        <w:spacing w:before="240" w:after="100" w:line="264" w:lineRule="auto"/>
      </w:pPr>
      <w:r>
        <w:rPr>
          <w:rFonts w:ascii="Arial" w:hAnsi="Arial"/>
          <w:b/>
          <w:i w:val="0"/>
          <w:color w:val="00AED4"/>
          <w:sz w:val="28"/>
        </w:rPr>
        <w:t xml:space="preserve">9  </w:t>
      </w:r>
      <w:r>
        <w:rPr>
          <w:rFonts w:ascii="Arial" w:hAnsi="Arial"/>
          <w:b/>
          <w:i w:val="0"/>
          <w:color w:val="232754"/>
          <w:sz w:val="28"/>
        </w:rPr>
        <w:t>Voix</w:t>
      </w:r>
    </w:p>
    <w:p>
      <w:pPr>
        <w:spacing w:before="0" w:after="40" w:line="264" w:lineRule="auto"/>
        <w:ind w:left="255" w:hanging="198"/>
      </w:pPr>
      <w:r>
        <w:rPr>
          <w:rFonts w:ascii="Arial" w:hAnsi="Arial"/>
          <w:b w:val="0"/>
          <w:i w:val="0"/>
          <w:color w:val="00AED4"/>
          <w:sz w:val="15"/>
        </w:rPr>
        <w:t xml:space="preserve">■  </w:t>
      </w:r>
      <w:r>
        <w:rPr>
          <w:rFonts w:ascii="Arial" w:hAnsi="Arial"/>
          <w:b/>
          <w:i w:val="0"/>
          <w:color w:val="1A1A1A"/>
          <w:sz w:val="20"/>
        </w:rPr>
        <w:t xml:space="preserve">Présents : </w:t>
      </w:r>
      <w:r>
        <w:rPr>
          <w:rFonts w:ascii="Arial" w:hAnsi="Arial"/>
          <w:b w:val="0"/>
          <w:i w:val="0"/>
          <w:color w:val="1A1A1A"/>
          <w:sz w:val="20"/>
        </w:rPr>
        <w:t>compétence téléphone, lexique de prononciation et réglages de la voix installés.</w:t>
      </w:r>
    </w:p>
    <w:p>
      <w:pPr>
        <w:spacing w:before="0" w:after="40" w:line="264" w:lineRule="auto"/>
        <w:ind w:left="255" w:hanging="198"/>
      </w:pPr>
      <w:r>
        <w:rPr>
          <w:rFonts w:ascii="Arial" w:hAnsi="Arial"/>
          <w:b w:val="0"/>
          <w:i w:val="0"/>
          <w:color w:val="00AED4"/>
          <w:sz w:val="15"/>
        </w:rPr>
        <w:t xml:space="preserve">■  </w:t>
      </w:r>
      <w:r>
        <w:rPr>
          <w:rFonts w:ascii="Arial" w:hAnsi="Arial"/>
          <w:b/>
          <w:i w:val="0"/>
          <w:color w:val="1A1A1A"/>
          <w:sz w:val="20"/>
        </w:rPr>
        <w:t xml:space="preserve">Non vérifié : </w:t>
      </w:r>
      <w:r>
        <w:rPr>
          <w:rFonts w:ascii="Arial" w:hAnsi="Arial"/>
          <w:b w:val="0"/>
          <w:i w:val="0"/>
          <w:color w:val="1A1A1A"/>
          <w:sz w:val="20"/>
        </w:rPr>
        <w:t>aucun réglage de voix dans ma configuration ; la synthèse n’a pas été testée aujourd’hui.</w:t>
      </w:r>
    </w:p>
    <w:p>
      <w:pPr>
        <w:keepNext/>
        <w:spacing w:before="240" w:after="100" w:line="264" w:lineRule="auto"/>
      </w:pPr>
      <w:r>
        <w:rPr>
          <w:rFonts w:ascii="Arial" w:hAnsi="Arial"/>
          <w:b/>
          <w:i w:val="0"/>
          <w:color w:val="00AED4"/>
          <w:sz w:val="28"/>
        </w:rPr>
        <w:t xml:space="preserve">10  </w:t>
      </w:r>
      <w:r>
        <w:rPr>
          <w:rFonts w:ascii="Arial" w:hAnsi="Arial"/>
          <w:b/>
          <w:i w:val="0"/>
          <w:color w:val="232754"/>
          <w:sz w:val="28"/>
        </w:rPr>
        <w:t>Mon autocritique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  <w:tblLayout w:type="fixed"/>
        <w:tblW w:w="9638" w:type="dxa"/>
      </w:tblPr>
      <w:tblGrid>
        <w:gridCol w:w="3175"/>
        <w:gridCol w:w="2494"/>
        <w:gridCol w:w="3969"/>
      </w:tblGrid>
      <w:tr>
        <w:trPr>
          <w:tblHeader w:val="true"/>
        </w:trPr>
        <w:tc>
          <w:tcPr>
            <w:tcW w:type="dxa" w:w="3175"/>
            <w:shd w:val="clear" w:color="auto" w:fill="23275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Ce que j’ai mal fait</w:t>
            </w:r>
          </w:p>
        </w:tc>
        <w:tc>
          <w:tcPr>
            <w:tcW w:type="dxa" w:w="2494"/>
            <w:shd w:val="clear" w:color="auto" w:fill="23275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Preuve</w:t>
            </w:r>
          </w:p>
        </w:tc>
        <w:tc>
          <w:tcPr>
            <w:tcW w:type="dxa" w:w="3969"/>
            <w:shd w:val="clear" w:color="auto" w:fill="23275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Correction appliquée</w:t>
            </w:r>
          </w:p>
        </w:tc>
      </w:tr>
      <w:tr>
        <w:tc>
          <w:tcPr>
            <w:tcW w:type="dxa" w:w="3175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32754"/>
                <w:sz w:val="18"/>
              </w:rPr>
              <w:t>Plan Proline remis sans le partager : Guy n’a pas pu l’ouvrir</w:t>
            </w:r>
          </w:p>
        </w:tc>
        <w:tc>
          <w:tcPr>
            <w:tcW w:type="dxa" w:w="249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B2A35"/>
                <w:sz w:val="18"/>
              </w:rPr>
              <w:t>27 oct., « pourquoi j’ai pas accès ? »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B2A35"/>
                <w:sz w:val="18"/>
              </w:rPr>
              <w:t>Partage vérifié avant chaque envoi de lien, dossier client compris</w:t>
            </w:r>
          </w:p>
        </w:tc>
      </w:tr>
      <w:tr>
        <w:tc>
          <w:tcPr>
            <w:tcW w:type="dxa" w:w="3175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8F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32754"/>
                <w:sz w:val="18"/>
              </w:rPr>
              <w:t>Veille MTN refaite cinq fois avant la bonne version, cinq fichiers à supprimer</w:t>
            </w:r>
          </w:p>
        </w:tc>
        <w:tc>
          <w:tcPr>
            <w:tcW w:type="dxa" w:w="2494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8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B2A35"/>
                <w:sz w:val="18"/>
              </w:rPr>
              <w:t>27 oct., veille mobile money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8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B2A35"/>
                <w:sz w:val="18"/>
              </w:rPr>
              <w:t>Je construis le fichier à la charte d’abord, puis je convertis, au lieu de l’outil de slides générique</w:t>
            </w:r>
          </w:p>
        </w:tc>
      </w:tr>
      <w:tr>
        <w:tc>
          <w:tcPr>
            <w:tcW w:type="dxa" w:w="3175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32754"/>
                <w:sz w:val="18"/>
              </w:rPr>
              <w:t>Pages presque vides sur les premiers rendus (plan Proline, posts, page Entreposage)</w:t>
            </w:r>
          </w:p>
        </w:tc>
        <w:tc>
          <w:tcPr>
            <w:tcW w:type="dxa" w:w="249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B2A35"/>
                <w:sz w:val="18"/>
              </w:rPr>
              <w:t>27 oct., contrôles visuels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B2A35"/>
                <w:sz w:val="18"/>
              </w:rPr>
              <w:t>Pas de saut de page forcé entre sections courtes ; contrôle de chaque page avant remise</w:t>
            </w:r>
          </w:p>
        </w:tc>
      </w:tr>
      <w:tr>
        <w:tc>
          <w:tcPr>
            <w:tcW w:type="dxa" w:w="3175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8F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32754"/>
                <w:sz w:val="18"/>
              </w:rPr>
              <w:t>Marque Proline jamais confirmée par Ruth avant de produire</w:t>
            </w:r>
          </w:p>
        </w:tc>
        <w:tc>
          <w:tcPr>
            <w:tcW w:type="dxa" w:w="2494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8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B2A35"/>
                <w:sz w:val="18"/>
              </w:rPr>
              <w:t>27 oct., plan marketing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8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B2A35"/>
                <w:sz w:val="18"/>
              </w:rPr>
              <w:t>Je redemande la validation du logo et des couleurs au prochain échange</w:t>
            </w:r>
          </w:p>
        </w:tc>
      </w:tr>
      <w:tr>
        <w:tc>
          <w:tcPr>
            <w:tcW w:type="dxa" w:w="3175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32754"/>
                <w:sz w:val="18"/>
              </w:rPr>
              <w:t>Budgets Proline et transporteurs donnés sans base client</w:t>
            </w:r>
          </w:p>
        </w:tc>
        <w:tc>
          <w:tcPr>
            <w:tcW w:type="dxa" w:w="249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B2A35"/>
                <w:sz w:val="18"/>
              </w:rPr>
              <w:t>27 oct., 32 M et 750 000 F CFA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B2A35"/>
                <w:sz w:val="18"/>
              </w:rPr>
              <w:t>Toujours signalés comme estimations, à valider avec le budget réel</w:t>
            </w:r>
          </w:p>
        </w:tc>
      </w:tr>
      <w:tr>
        <w:tc>
          <w:tcPr>
            <w:tcW w:type="dxa" w:w="3175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8F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32754"/>
                <w:sz w:val="18"/>
              </w:rPr>
              <w:t>Fin de réponse sans proposition, après l’étude concurrentielle Proline</w:t>
            </w:r>
          </w:p>
        </w:tc>
        <w:tc>
          <w:tcPr>
            <w:tcW w:type="dxa" w:w="2494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8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B2A35"/>
                <w:sz w:val="18"/>
              </w:rPr>
              <w:t>27 oct., 14 h 47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7F8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B2A35"/>
                <w:sz w:val="18"/>
              </w:rPr>
              <w:t>Chaque remise finit par la suite proposée</w:t>
            </w:r>
          </w:p>
        </w:tc>
      </w:tr>
    </w:tbl>
    <w:p>
      <w:pPr>
        <w:spacing w:before="0" w:after="80" w:line="264" w:lineRule="auto"/>
      </w:pPr>
    </w:p>
    <w:p>
      <w:pPr>
        <w:keepNext/>
        <w:spacing w:before="240" w:after="100" w:line="264" w:lineRule="auto"/>
      </w:pPr>
      <w:r>
        <w:rPr>
          <w:rFonts w:ascii="Arial" w:hAnsi="Arial"/>
          <w:b/>
          <w:i w:val="0"/>
          <w:color w:val="00AED4"/>
          <w:sz w:val="28"/>
        </w:rPr>
        <w:t xml:space="preserve">11  </w:t>
      </w:r>
      <w:r>
        <w:rPr>
          <w:rFonts w:ascii="Arial" w:hAnsi="Arial"/>
          <w:b/>
          <w:i w:val="0"/>
          <w:color w:val="232754"/>
          <w:sz w:val="28"/>
        </w:rPr>
        <w:t>Ce que je change dès maintenant</w:t>
      </w:r>
    </w:p>
    <w:p>
      <w:pPr>
        <w:spacing w:before="0" w:after="40" w:line="264" w:lineRule="auto"/>
        <w:ind w:left="255" w:hanging="198"/>
      </w:pPr>
      <w:r>
        <w:rPr>
          <w:rFonts w:ascii="Arial" w:hAnsi="Arial"/>
          <w:b w:val="0"/>
          <w:i w:val="0"/>
          <w:color w:val="00AED4"/>
          <w:sz w:val="15"/>
        </w:rPr>
        <w:t xml:space="preserve">■  </w:t>
      </w:r>
      <w:r>
        <w:rPr>
          <w:rFonts w:ascii="Arial" w:hAnsi="Arial"/>
          <w:b w:val="0"/>
          <w:i w:val="0"/>
          <w:color w:val="1A1A1A"/>
          <w:sz w:val="20"/>
        </w:rPr>
        <w:t>Je vérifie le partage avant d’envoyer un lien.</w:t>
      </w:r>
    </w:p>
    <w:p>
      <w:pPr>
        <w:spacing w:before="0" w:after="40" w:line="264" w:lineRule="auto"/>
        <w:ind w:left="255" w:hanging="198"/>
      </w:pPr>
      <w:r>
        <w:rPr>
          <w:rFonts w:ascii="Arial" w:hAnsi="Arial"/>
          <w:b w:val="0"/>
          <w:i w:val="0"/>
          <w:color w:val="00AED4"/>
          <w:sz w:val="15"/>
        </w:rPr>
        <w:t xml:space="preserve">■  </w:t>
      </w:r>
      <w:r>
        <w:rPr>
          <w:rFonts w:ascii="Arial" w:hAnsi="Arial"/>
          <w:b w:val="0"/>
          <w:i w:val="0"/>
          <w:color w:val="1A1A1A"/>
          <w:sz w:val="20"/>
        </w:rPr>
        <w:t>Je produis les présentations à la charte du client, sans passer par un modèle générique.</w:t>
      </w:r>
    </w:p>
    <w:p>
      <w:pPr>
        <w:spacing w:before="0" w:after="40" w:line="264" w:lineRule="auto"/>
        <w:ind w:left="255" w:hanging="198"/>
      </w:pPr>
      <w:r>
        <w:rPr>
          <w:rFonts w:ascii="Arial" w:hAnsi="Arial"/>
          <w:b w:val="0"/>
          <w:i w:val="0"/>
          <w:color w:val="00AED4"/>
          <w:sz w:val="15"/>
        </w:rPr>
        <w:t xml:space="preserve">■  </w:t>
      </w:r>
      <w:r>
        <w:rPr>
          <w:rFonts w:ascii="Arial" w:hAnsi="Arial"/>
          <w:b w:val="0"/>
          <w:i w:val="0"/>
          <w:color w:val="1A1A1A"/>
          <w:sz w:val="20"/>
        </w:rPr>
        <w:t>Je contrôle chaque page et je supprime les pages creuses avant la remise.</w:t>
      </w:r>
    </w:p>
    <w:p>
      <w:pPr>
        <w:spacing w:before="0" w:after="40" w:line="264" w:lineRule="auto"/>
        <w:ind w:left="255" w:hanging="198"/>
      </w:pPr>
      <w:r>
        <w:rPr>
          <w:rFonts w:ascii="Arial" w:hAnsi="Arial"/>
          <w:b w:val="0"/>
          <w:i w:val="0"/>
          <w:color w:val="00AED4"/>
          <w:sz w:val="15"/>
        </w:rPr>
        <w:t xml:space="preserve">■  </w:t>
      </w:r>
      <w:r>
        <w:rPr>
          <w:rFonts w:ascii="Arial" w:hAnsi="Arial"/>
          <w:b w:val="0"/>
          <w:i w:val="0"/>
          <w:color w:val="1A1A1A"/>
          <w:sz w:val="20"/>
        </w:rPr>
        <w:t>Je fais valider la marque d’un nouveau client avant le premier livrable.</w:t>
      </w:r>
    </w:p>
    <w:p>
      <w:pPr>
        <w:spacing w:before="0" w:after="40" w:line="264" w:lineRule="auto"/>
        <w:ind w:left="255" w:hanging="198"/>
      </w:pPr>
      <w:r>
        <w:rPr>
          <w:rFonts w:ascii="Arial" w:hAnsi="Arial"/>
          <w:b w:val="0"/>
          <w:i w:val="0"/>
          <w:color w:val="00AED4"/>
          <w:sz w:val="15"/>
        </w:rPr>
        <w:t xml:space="preserve">■  </w:t>
      </w:r>
      <w:r>
        <w:rPr>
          <w:rFonts w:ascii="Arial" w:hAnsi="Arial"/>
          <w:b w:val="0"/>
          <w:i w:val="0"/>
          <w:color w:val="1A1A1A"/>
          <w:sz w:val="20"/>
        </w:rPr>
        <w:t>Je termine chaque remise par la suite que je propose.</w:t>
      </w:r>
    </w:p>
    <w:p>
      <w:pPr>
        <w:keepNext/>
        <w:spacing w:before="240" w:after="100" w:line="264" w:lineRule="auto"/>
      </w:pPr>
      <w:r>
        <w:rPr>
          <w:rFonts w:ascii="Arial" w:hAnsi="Arial"/>
          <w:b/>
          <w:i w:val="0"/>
          <w:color w:val="00AED4"/>
          <w:sz w:val="28"/>
        </w:rPr>
        <w:t xml:space="preserve">12  </w:t>
      </w:r>
      <w:r>
        <w:rPr>
          <w:rFonts w:ascii="Arial" w:hAnsi="Arial"/>
          <w:b/>
          <w:i w:val="0"/>
          <w:color w:val="232754"/>
          <w:sz w:val="28"/>
        </w:rPr>
        <w:t>Ma proposition</w:t>
      </w:r>
    </w:p>
    <w:p>
      <w:pPr>
        <w:spacing w:before="0" w:after="40" w:line="264" w:lineRule="auto"/>
        <w:ind w:left="255" w:hanging="198"/>
      </w:pPr>
      <w:r>
        <w:rPr>
          <w:rFonts w:ascii="Arial" w:hAnsi="Arial"/>
          <w:b w:val="0"/>
          <w:i w:val="0"/>
          <w:color w:val="00AED4"/>
          <w:sz w:val="15"/>
        </w:rPr>
        <w:t xml:space="preserve">■  </w:t>
      </w:r>
      <w:r>
        <w:rPr>
          <w:rFonts w:ascii="Arial" w:hAnsi="Arial"/>
          <w:b/>
          <w:i w:val="0"/>
          <w:color w:val="1A1A1A"/>
          <w:sz w:val="20"/>
        </w:rPr>
        <w:t xml:space="preserve">A. </w:t>
      </w:r>
      <w:r>
        <w:rPr>
          <w:rFonts w:ascii="Arial" w:hAnsi="Arial"/>
          <w:b w:val="0"/>
          <w:i w:val="0"/>
          <w:color w:val="1A1A1A"/>
          <w:sz w:val="20"/>
        </w:rPr>
        <w:t>Terminer la connexion d’Instagram et de Facebook, pour programmer les posts MTN et Proline après accord.</w:t>
      </w:r>
    </w:p>
    <w:p>
      <w:pPr>
        <w:spacing w:before="0" w:after="40" w:line="264" w:lineRule="auto"/>
        <w:ind w:left="255" w:hanging="198"/>
      </w:pPr>
      <w:r>
        <w:rPr>
          <w:rFonts w:ascii="Arial" w:hAnsi="Arial"/>
          <w:b w:val="0"/>
          <w:i w:val="0"/>
          <w:color w:val="00AED4"/>
          <w:sz w:val="15"/>
        </w:rPr>
        <w:t xml:space="preserve">■  </w:t>
      </w:r>
      <w:r>
        <w:rPr>
          <w:rFonts w:ascii="Arial" w:hAnsi="Arial"/>
          <w:b/>
          <w:i w:val="0"/>
          <w:color w:val="1A1A1A"/>
          <w:sz w:val="20"/>
        </w:rPr>
        <w:t xml:space="preserve">B. </w:t>
      </w:r>
      <w:r>
        <w:rPr>
          <w:rFonts w:ascii="Arial" w:hAnsi="Arial"/>
          <w:b w:val="0"/>
          <w:i w:val="0"/>
          <w:color w:val="1A1A1A"/>
          <w:sz w:val="20"/>
        </w:rPr>
        <w:t>Relancer deux tâches en pause : le point du lundi et les échéances à 7 jours.</w:t>
      </w:r>
    </w:p>
    <w:p>
      <w:pPr>
        <w:spacing w:before="0" w:after="40" w:line="264" w:lineRule="auto"/>
        <w:ind w:left="255" w:hanging="198"/>
      </w:pPr>
      <w:r>
        <w:rPr>
          <w:rFonts w:ascii="Arial" w:hAnsi="Arial"/>
          <w:b w:val="0"/>
          <w:i w:val="0"/>
          <w:color w:val="00AED4"/>
          <w:sz w:val="15"/>
        </w:rPr>
        <w:t xml:space="preserve">■  </w:t>
      </w:r>
      <w:r>
        <w:rPr>
          <w:rFonts w:ascii="Arial" w:hAnsi="Arial"/>
          <w:b/>
          <w:i w:val="0"/>
          <w:color w:val="1A1A1A"/>
          <w:sz w:val="20"/>
        </w:rPr>
        <w:t xml:space="preserve">C. </w:t>
      </w:r>
      <w:r>
        <w:rPr>
          <w:rFonts w:ascii="Arial" w:hAnsi="Arial"/>
          <w:b w:val="0"/>
          <w:i w:val="0"/>
          <w:color w:val="1A1A1A"/>
          <w:sz w:val="20"/>
        </w:rPr>
        <w:t>Créer les trois modèles manquants : lettre d’information, veille en slides, plan média.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fldChar w:fldCharType="begin"/>
      <w:instrText xml:space="preserve">PAGE</w:instrText>
      <w:fldChar w:fldCharType="end"/>
    </w:r>
    <w:r>
      <w:rPr>
        <w:rFonts w:ascii="Arial" w:hAnsi="Arial"/>
        <w:b w:val="0"/>
        <w:i w:val="0"/>
        <w:color w:val="666666"/>
        <w:sz w:val="16"/>
      </w:rPr>
      <w:t xml:space="preserve"> / </w:t>
    </w:r>
    <w:r>
      <w:rPr>
        <w:color w:val="666666"/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080000" cy="35485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mstudio_couleur_fond_clai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000" cy="354857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 w:val="0"/>
        <w:i w:val="0"/>
        <w:color w:val="666666"/>
        <w:sz w:val="16"/>
      </w:rPr>
      <w:t xml:space="preserve">      État de mon environnement · Fatima, marketing et contenu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