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2948"/>
        <w:gridCol w:w="6690"/>
      </w:tblGrid>
      <w:tr>
        <w:tc>
          <w:tcPr>
            <w:tcW w:type="dxa" w:w="2948"/>
            <w:shd w:val="clear" w:color="auto" w:fill="FFCB05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8047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04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shd w:val="clear" w:color="auto" w:fill="FFCB05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D1D1B"/>
                <w:sz w:val="44"/>
              </w:rPr>
              <w:t>MTN Côte d’Ivoire</w:t>
            </w:r>
          </w:p>
          <w:p>
            <w:r>
              <w:rPr>
                <w:rFonts w:ascii="Arial" w:hAnsi="Arial"/>
                <w:b w:val="0"/>
                <w:i w:val="0"/>
                <w:color w:val="1D1D1B"/>
                <w:sz w:val="21"/>
              </w:rPr>
              <w:t>Ce que je sais de vous, à vérifier ensemble avant de commencer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FCB05"/>
          <w:sz w:val="20"/>
        </w:rPr>
        <w:t xml:space="preserve">■  </w:t>
      </w:r>
      <w:r>
        <w:rPr>
          <w:rFonts w:ascii="Arial" w:hAnsi="Arial"/>
          <w:b/>
          <w:i w:val="0"/>
          <w:color w:val="1D1D1B"/>
          <w:sz w:val="27"/>
        </w:rPr>
        <w:t>Qui vous êtes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2041"/>
        <w:gridCol w:w="5329"/>
        <w:gridCol w:w="2268"/>
      </w:tblGrid>
      <w:tr>
        <w:trPr>
          <w:tblHeader w:val="true"/>
        </w:trPr>
        <w:tc>
          <w:tcPr>
            <w:tcW w:type="dxa" w:w="2041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Rubrique</w:t>
            </w:r>
          </w:p>
        </w:tc>
        <w:tc>
          <w:tcPr>
            <w:tcW w:type="dxa" w:w="5329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Ce que j’ai relevé</w:t>
            </w:r>
          </w:p>
        </w:tc>
        <w:tc>
          <w:tcPr>
            <w:tcW w:type="dxa" w:w="2268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Raison sociale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 Côte d’Ivoire SA, filiale du groupe sud-africain MTN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mtn.ci, mtn.com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Activité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Opérateur de téléphonie mobile, fixe et internet ; services financiers mobiles (MoMo)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mtn.ci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Arrivée de MTN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Juillet 2005 : le groupe MTN reprend l’opérateur présent depuis 1996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Dealroom, Revelio Labs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Actionnariat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 Group détient 58,8 % de la filiale ivoirienne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mtn.com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Direction générale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Mitwa Ng’ambi, directrice générale depuis le 1er mars 2025, après Djibril Ouattara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Communiqué MTN Group, déc. 2024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Position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Deuxième opérateur par le chiffre d’affaires au 1er trimestre 2025, derrière Orange et devant Moov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Rapport ARTCI, via digitalmag.ci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Mobile Money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MoMo, lancé en 2009, numéro deux historique derrière Orange Money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mtn.com, moneywiki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Projets marquants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Construction du nouveau siège et essai de la 5G à Abidjan, lancés en décembre 2021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mtn.ci, mtn.com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Contact public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assistances.ci@mtn.com · +225 05 46 46 46 46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mtn.ci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FCB05"/>
          <w:sz w:val="20"/>
        </w:rPr>
        <w:t xml:space="preserve">■  </w:t>
      </w:r>
      <w:r>
        <w:rPr>
          <w:rFonts w:ascii="Arial" w:hAnsi="Arial"/>
          <w:b/>
          <w:i w:val="0"/>
          <w:color w:val="1D1D1B"/>
          <w:sz w:val="27"/>
        </w:rPr>
        <w:t>Votre marque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27" w:type="dxa"/>
      </w:tblPr>
      <w:tblGrid>
        <w:gridCol w:w="3209"/>
        <w:gridCol w:w="3209"/>
        <w:gridCol w:w="3209"/>
      </w:tblGrid>
      <w:tr>
        <w:tc>
          <w:tcPr>
            <w:tcW w:type="dxa" w:w="320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655999" cy="9935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_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93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655999" cy="993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_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93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9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655999" cy="9935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_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93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1D1D1B"/>
                <w:sz w:val="20"/>
              </w:rPr>
              <w:t xml:space="preserve">Jaune MTN  </w:t>
            </w:r>
            <w:r>
              <w:rPr>
                <w:rFonts w:ascii="Arial" w:hAnsi="Arial"/>
                <w:b w:val="0"/>
                <w:i w:val="0"/>
                <w:color w:val="666666"/>
                <w:sz w:val="19"/>
              </w:rPr>
              <w:t>#FFCB05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6666"/>
                <w:sz w:val="17"/>
              </w:rPr>
              <w:t>Couleur dominante, fonds et aplats</w:t>
            </w:r>
          </w:p>
        </w:tc>
        <w:tc>
          <w:tcPr>
            <w:tcW w:type="dxa" w:w="32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1D1D1B"/>
                <w:sz w:val="20"/>
              </w:rPr>
              <w:t xml:space="preserve">Noir  </w:t>
            </w:r>
            <w:r>
              <w:rPr>
                <w:rFonts w:ascii="Arial" w:hAnsi="Arial"/>
                <w:b w:val="0"/>
                <w:i w:val="0"/>
                <w:color w:val="666666"/>
                <w:sz w:val="19"/>
              </w:rPr>
              <w:t>#1D1D1B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6666"/>
                <w:sz w:val="17"/>
              </w:rPr>
              <w:t>Logo, titres, textes</w:t>
            </w:r>
          </w:p>
        </w:tc>
        <w:tc>
          <w:tcPr>
            <w:tcW w:type="dxa" w:w="32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1D1D1B"/>
                <w:sz w:val="20"/>
              </w:rPr>
              <w:t xml:space="preserve">Blanc  </w:t>
            </w:r>
            <w:r>
              <w:rPr>
                <w:rFonts w:ascii="Arial" w:hAnsi="Arial"/>
                <w:b w:val="0"/>
                <w:i w:val="0"/>
                <w:color w:val="666666"/>
                <w:sz w:val="19"/>
              </w:rPr>
              <w:t>#FFFFFF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6666"/>
                <w:sz w:val="17"/>
              </w:rPr>
              <w:t>Respiration, textes sur fond sombre</w:t>
            </w:r>
          </w:p>
        </w:tc>
      </w:tr>
    </w:tbl>
    <w:p>
      <w:pPr>
        <w:spacing w:before="0" w:after="80" w:line="264" w:lineRule="auto"/>
      </w:pP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Logo : </w:t>
      </w:r>
      <w:r>
        <w:rPr>
          <w:rFonts w:ascii="Arial" w:hAnsi="Arial"/>
          <w:b w:val="0"/>
          <w:i w:val="0"/>
          <w:color w:val="1A1A1A"/>
          <w:sz w:val="20"/>
        </w:rPr>
        <w:t>l’ovale MTN en noir sur fond jaune, relevé sur mtn.ci (version 2023, identité rafraîchie dans le cadre d’« Ambition 2025 »).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Police : </w:t>
      </w:r>
      <w:r>
        <w:rPr>
          <w:rFonts w:ascii="Arial" w:hAnsi="Arial"/>
          <w:b w:val="0"/>
          <w:i w:val="0"/>
          <w:color w:val="1A1A1A"/>
          <w:sz w:val="20"/>
        </w:rPr>
        <w:t>MTN Brighter Sans, la police propriétaire de la marque ; Arial en secours sur le site.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Couleurs : </w:t>
      </w:r>
      <w:r>
        <w:rPr>
          <w:rFonts w:ascii="Arial" w:hAnsi="Arial"/>
          <w:b w:val="0"/>
          <w:i w:val="0"/>
          <w:color w:val="1A1A1A"/>
          <w:sz w:val="20"/>
        </w:rPr>
        <w:t>mesurées dans le code du site mtn.ci ; un gris-bleu #235571 y apparaît ponctuellement, je ne l’ai pas retenu comme couleur de marque.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FCB05"/>
          <w:sz w:val="20"/>
        </w:rPr>
        <w:t xml:space="preserve">■  </w:t>
      </w:r>
      <w:r>
        <w:rPr>
          <w:rFonts w:ascii="Arial" w:hAnsi="Arial"/>
          <w:b/>
          <w:i w:val="0"/>
          <w:color w:val="1D1D1B"/>
          <w:sz w:val="27"/>
        </w:rPr>
        <w:t>Ce que nous avons déjà fait pour MTN Côte d’Ivoire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22 octobre : </w:t>
      </w:r>
      <w:r>
        <w:rPr>
          <w:rFonts w:ascii="Arial" w:hAnsi="Arial"/>
          <w:b w:val="0"/>
          <w:i w:val="0"/>
          <w:color w:val="1A1A1A"/>
          <w:sz w:val="20"/>
        </w:rPr>
        <w:t>cinq idées de publications pour les jeunes, un calendrier de 7 jours (20 publications avec visuels), la campagne « Ton talent a du réseau », cinq concepts TikTok et le lancement d’une offre étudiants.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Point d’attention : </w:t>
      </w:r>
      <w:r>
        <w:rPr>
          <w:rFonts w:ascii="Arial" w:hAnsi="Arial"/>
          <w:b w:val="0"/>
          <w:i w:val="0"/>
          <w:color w:val="1A1A1A"/>
          <w:sz w:val="20"/>
        </w:rPr>
        <w:t>ces travaux ont été préparés pour un autre interlocuteur ; je ne reprends rien sans votre accord.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FFCB05"/>
          <w:sz w:val="20"/>
        </w:rPr>
        <w:t xml:space="preserve">■  </w:t>
      </w:r>
      <w:r>
        <w:rPr>
          <w:rFonts w:ascii="Arial" w:hAnsi="Arial"/>
          <w:b/>
          <w:i w:val="0"/>
          <w:color w:val="1D1D1B"/>
          <w:sz w:val="27"/>
        </w:rPr>
        <w:t>Ce que je vous demande de confirmer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7" w:type="dxa"/>
      </w:tblPr>
      <w:tblGrid>
        <w:gridCol w:w="5102"/>
        <w:gridCol w:w="4535"/>
      </w:tblGrid>
      <w:tr>
        <w:trPr>
          <w:tblHeader w:val="true"/>
        </w:trPr>
        <w:tc>
          <w:tcPr>
            <w:tcW w:type="dxa" w:w="5102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Point</w:t>
            </w:r>
          </w:p>
        </w:tc>
        <w:tc>
          <w:tcPr>
            <w:tcW w:type="dxa" w:w="4535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Pourquoi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La charte officielle (guide de marque, logos haute définition, police)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Pour que chaque visuel soit conforme dès la première version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Votre périmètre : grand public, MoMo, entreprises, ou tout MTN CI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Les tons et les cibles diffèrent fortement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Les campagnes en cours et le calendrier des temps forts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Pour ne pas proposer ce qui existe déjà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D1D1B"/>
                <w:sz w:val="18"/>
              </w:rPr>
              <w:t>Le circuit de validation (communication, juridique, groupe)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6F4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Rien ne part sans votre accord écrit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66666"/>
        <w:sz w:val="16"/>
      </w:rPr>
      <w:t xml:space="preserve"> /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12000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" cy="342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 w:val="0"/>
        <w:i w:val="0"/>
        <w:color w:val="666666"/>
        <w:sz w:val="16"/>
      </w:rPr>
      <w:t xml:space="preserve">     MTN Côte d’Ivoire · fiche de vérification de l’entreprise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