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12000" cy="685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ris-b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68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Crédit d'équipement : e-mails aux dirigeants de PME</w:t>
      </w:r>
    </w:p>
    <w:p>
      <w:r>
        <w:rPr>
          <w:b/>
          <w:color w:val="E2001A"/>
        </w:rPr>
        <w:t>Banque des Entreprises · Coris Bank International Côte d'Ivoire · campagne de 60 e-mails personnalisés</w:t>
      </w:r>
    </w:p>
    <w:p>
      <w:pPr>
        <w:pStyle w:val="Heading1"/>
      </w:pPr>
      <w:r>
        <w:t>Sommaire</w:t>
      </w:r>
    </w:p>
    <w:p>
      <w:pPr>
        <w:pStyle w:val="ListBullet"/>
      </w:pPr>
      <w:r>
        <w:t>1. L'objectif</w:t>
      </w:r>
    </w:p>
    <w:p>
      <w:pPr>
        <w:pStyle w:val="ListBullet"/>
      </w:pPr>
      <w:r>
        <w:t>2. L'e-mail type</w:t>
      </w:r>
    </w:p>
    <w:p>
      <w:pPr>
        <w:pStyle w:val="ListBullet"/>
      </w:pPr>
      <w:r>
        <w:t>3. Les paragraphes par secteur</w:t>
      </w:r>
    </w:p>
    <w:p>
      <w:pPr>
        <w:pStyle w:val="ListBullet"/>
      </w:pPr>
      <w:r>
        <w:t>4. Les objets à tester</w:t>
      </w:r>
    </w:p>
    <w:p>
      <w:pPr>
        <w:pStyle w:val="ListBullet"/>
      </w:pPr>
      <w:r>
        <w:t>5. La relance à sept jours</w:t>
      </w:r>
    </w:p>
    <w:p>
      <w:pPr>
        <w:pStyle w:val="ListBullet"/>
      </w:pPr>
      <w:r>
        <w:t>6. Le tableur, mode d'emploi</w:t>
      </w:r>
    </w:p>
    <w:p>
      <w:pPr>
        <w:pStyle w:val="ListBullet"/>
      </w:pPr>
      <w:r>
        <w:t>7. Les règles d'envoi</w:t>
      </w:r>
    </w:p>
    <w:p>
      <w:pPr>
        <w:pStyle w:val="ListBullet"/>
      </w:pPr>
      <w:r>
        <w:t>8. Le suivi</w:t>
      </w:r>
    </w:p>
    <w:p>
      <w:pPr>
        <w:pStyle w:val="Heading1"/>
      </w:pPr>
      <w:r>
        <w:t>1. L'objectif</w:t>
      </w:r>
    </w:p>
    <w:p>
      <w:r>
        <w:rPr>
          <w:i w:val="0"/>
        </w:rPr>
        <w:t>Obtenir des rendez-vous avec des dirigeants de PME qui ont un projet d'équipement, pour leur présenter le crédit d'investissement de la banque. Un seul geste demandé dans l'e-mail : accepter un échange de vingt minutes. Objectif de la campagne : 6 rendez-vous pour 60 e-mails, soit un dirigeant sur dix.</w:t>
      </w:r>
    </w:p>
    <w:p>
      <w:pPr>
        <w:pStyle w:val="Heading1"/>
      </w:pPr>
      <w:r>
        <w:t>2. L'e-mail type</w:t>
      </w:r>
    </w:p>
    <w:p>
      <w:r>
        <w:rPr>
          <w:i w:val="0"/>
        </w:rPr>
        <w:t>Les éléments entre accolades sont remplis automatiquement par le tableur, ligne par ligne. La phrase personnelle est facultative : elle se met quand on connaît vraiment l'entreprise (un client, une rencontre, un projet dont on a entendu parler).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9"/>
          </w:tcPr>
          <w:p>
            <w:r>
              <w:rPr>
                <w:b/>
              </w:rPr>
              <w:t>Objet : {Entreprise} : un financement pour vos prochains équipements</w:t>
            </w:r>
          </w:p>
          <w:p/>
          <w:p>
            <w:r>
              <w:t>Bonjour {Prénom},</w:t>
            </w:r>
          </w:p>
          <w:p/>
          <w:p>
            <w:r>
              <w:t>Je suis Patrick, à la Banque des Entreprises de Coris Bank International Côte d'Ivoire. {Phrase personnelle, facultative}</w:t>
            </w:r>
          </w:p>
          <w:p/>
          <w:p>
            <w:r>
              <w:t>{Paragraphe du secteur}</w:t>
            </w:r>
          </w:p>
          <w:p/>
          <w:p>
            <w:r>
              <w:t>Notre crédit d'investissement est fait pour cela : il permet à {Entreprise} de financer ses équipements sur le moyen terme, avec un remboursement étalé que nous construisons avec vous à partir de votre activité.</w:t>
            </w:r>
          </w:p>
          <w:p/>
          <w:p>
            <w:r>
              <w:t>Je vous propose un échange de vingt minutes, à votre bureau, à l'agence ou par téléphone, pour regarder votre projet et vous dire ce que nous pouvons financer. Seriez-vous disponible dans les deux prochaines semaines ?</w:t>
            </w:r>
          </w:p>
          <w:p/>
          <w:p>
            <w:r>
              <w:t>Bien cordialement,</w:t>
            </w:r>
          </w:p>
          <w:p>
            <w:r>
              <w:t>Patrick {Nom}</w:t>
            </w:r>
          </w:p>
          <w:p>
            <w:r>
              <w:t>Banque des Entreprises, Coris Bank International Côte d'Ivoire</w:t>
            </w:r>
          </w:p>
          <w:p>
            <w:r>
              <w:t>{Téléphone direct}</w:t>
            </w:r>
          </w:p>
          <w:p>
            <w:r>
              <w:t>{E-mail}</w:t>
            </w:r>
          </w:p>
          <w:p/>
          <w:p>
            <w:r>
              <w:t>Si vous préférez ne plus recevoir de message de ma part, répondez simplement « stop » : je ne vous écrirai plus.</w:t>
            </w:r>
          </w:p>
        </w:tc>
      </w:tr>
    </w:tbl>
    <w:p/>
    <w:p>
      <w:pPr>
        <w:pStyle w:val="Heading2"/>
      </w:pPr>
      <w:r>
        <w:t>Exemple de rendu, secteur transport et logistique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>
              <w:rPr>
                <w:b/>
              </w:rPr>
              <w:t>Objet : [Entreprise] : un financement pour vos prochains équipements</w:t>
            </w:r>
          </w:p>
          <w:p/>
          <w:p>
            <w:r>
              <w:t>Bonjour [Prénom],</w:t>
            </w:r>
          </w:p>
          <w:p/>
          <w:p>
            <w:r>
              <w:t>Je suis Patrick, à la Banque des Entreprises de Coris Bank International Côte d'Ivoire.</w:t>
            </w:r>
          </w:p>
          <w:p/>
          <w:p>
            <w:r>
              <w:t>Dans le transport, chaque véhicule en plus, ou remplacé à temps, se traduit en tournées assurées et en contrats tenus. Renouveler ou agrandir une flotte au comptant pèse lourd sur la trésorerie d'une entreprise en croissance.</w:t>
            </w:r>
          </w:p>
          <w:p/>
          <w:p>
            <w:r>
              <w:t>Notre crédit d'investissement est fait pour cela : il permet à [Entreprise] de financer ses équipements sur le moyen terme, avec un remboursement étalé que nous construisons avec vous à partir de votre activité.</w:t>
            </w:r>
          </w:p>
          <w:p/>
          <w:p>
            <w:r>
              <w:t>Je vous propose un échange de vingt minutes, à votre bureau, à l'agence ou par téléphone, pour regarder votre projet et vous dire ce que nous pouvons financer. Seriez-vous disponible dans les deux prochaines semaines ?</w:t>
            </w:r>
          </w:p>
          <w:p/>
          <w:p>
            <w:r>
              <w:t>Bien cordialement,</w:t>
            </w:r>
          </w:p>
          <w:p>
            <w:r>
              <w:t>Patrick</w:t>
            </w:r>
          </w:p>
        </w:tc>
      </w:tr>
    </w:tbl>
    <w:p>
      <w:pPr>
        <w:pStyle w:val="Heading1"/>
      </w:pPr>
      <w:r>
        <w:t>3. Les paragraphes par secteur</w:t>
      </w:r>
    </w:p>
    <w:p>
      <w:r>
        <w:rPr>
          <w:i w:val="0"/>
        </w:rPr>
        <w:t>Douze paragraphes, un par secteur. Le tableur choisit le bon d'après la colonne « Secteur ». Un dirigeant dont le secteur n'est pas dans la liste reçoit le paragraphe « Autre secteur 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color="auto" w:fill="00539F"/>
          </w:tcPr>
          <w:p>
            <w:r>
              <w:rPr>
                <w:b/>
                <w:color w:val="FFFFFF"/>
              </w:rPr>
              <w:t>Secteur</w:t>
            </w:r>
          </w:p>
        </w:tc>
        <w:tc>
          <w:tcPr>
            <w:tcW w:type="dxa" w:w="7030"/>
            <w:shd w:val="clear" w:color="auto" w:fill="00539F"/>
          </w:tcPr>
          <w:p>
            <w:r>
              <w:rPr>
                <w:b/>
                <w:color w:val="FFFFFF"/>
              </w:rPr>
              <w:t>Paragraphe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BTP et génie civil</w:t>
            </w:r>
          </w:p>
        </w:tc>
        <w:tc>
          <w:tcPr>
            <w:tcW w:type="dxa" w:w="7030"/>
          </w:tcPr>
          <w:p>
            <w:r>
              <w:t>Dans le BTP, décrocher un chantier dépend souvent du matériel disponible : engins, bétonnières, échafaudages, véhicules de chantier. Les payer comptant immobilise la trésorerie dont vous avez besoin pour lancer les travaux.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Transport et logistique</w:t>
            </w:r>
          </w:p>
        </w:tc>
        <w:tc>
          <w:tcPr>
            <w:tcW w:type="dxa" w:w="7030"/>
          </w:tcPr>
          <w:p>
            <w:r>
              <w:t>Dans le transport, chaque véhicule en plus, ou remplacé à temps, se traduit en tournées assurées et en contrats tenus. Renouveler ou agrandir une flotte au comptant pèse lourd sur la trésorerie d'une entreprise en croissance.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Agro-industrie et transformation</w:t>
            </w:r>
          </w:p>
        </w:tc>
        <w:tc>
          <w:tcPr>
            <w:tcW w:type="dxa" w:w="7030"/>
          </w:tcPr>
          <w:p>
            <w:r>
              <w:t>Dans la transformation, la capacité de production tient aux machines : décortiqueuses, broyeurs, séchoirs, lignes de conditionnement, chambres froides. Une machine plus performante, c'est plus de volume traité et moins de pertes.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Commerce et distribution</w:t>
            </w:r>
          </w:p>
        </w:tc>
        <w:tc>
          <w:tcPr>
            <w:tcW w:type="dxa" w:w="7030"/>
          </w:tcPr>
          <w:p>
            <w:r>
              <w:t>Dans le commerce, mieux s'équiper veut souvent dire vendre plus : un véhicule de livraison, des chambres froides, du rayonnage, un système d'encaissement. Ces achats arrivent souvent au moment où le stock mobilise déjà la trésorerie.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Santé (clinique, laboratoire, cabinet)</w:t>
            </w:r>
          </w:p>
        </w:tc>
        <w:tc>
          <w:tcPr>
            <w:tcW w:type="dxa" w:w="7030"/>
          </w:tcPr>
          <w:p>
            <w:r>
              <w:t>Dans la santé, la qualité du plateau technique fait la différence pour vos patients : appareils d'imagerie, automates de laboratoire, mobilier médical. Ce sont des investissements lourds, qu'il est plus sain d'étaler que de régler en une fois.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Hôtellerie et restauration</w:t>
            </w:r>
          </w:p>
        </w:tc>
        <w:tc>
          <w:tcPr>
            <w:tcW w:type="dxa" w:w="7030"/>
          </w:tcPr>
          <w:p>
            <w:r>
              <w:t>Dans l'hôtellerie et la restauration, l'équipement se voit et se vit tous les jours : cuisine professionnelle, chambres froides, climatisation, groupe électrogène. Le moderniser au bon moment fait revenir les clients.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Industrie et production</w:t>
            </w:r>
          </w:p>
        </w:tc>
        <w:tc>
          <w:tcPr>
            <w:tcW w:type="dxa" w:w="7030"/>
          </w:tcPr>
          <w:p>
            <w:r>
              <w:t>Dans l'industrie, la compétitivité passe par l'outil de production : une machine plus récente, une nouvelle ligne, un groupe électrogène pour ne plus subir les coupures. Ces projets se financent mieux sur la durée qu'au comptant.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Imprimerie et communication</w:t>
            </w:r>
          </w:p>
        </w:tc>
        <w:tc>
          <w:tcPr>
            <w:tcW w:type="dxa" w:w="7030"/>
          </w:tcPr>
          <w:p>
            <w:r>
              <w:t>Dans l'impression et la communication, une machine récente, c'est des délais tenus et des commandes que l'on n'a plus à refuser. Le matériel coûte cher et se renouvelle vite : autant en étaler le coût sur sa durée d'utilisation.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Services numériques et télécoms</w:t>
            </w:r>
          </w:p>
        </w:tc>
        <w:tc>
          <w:tcPr>
            <w:tcW w:type="dxa" w:w="7030"/>
          </w:tcPr>
          <w:p>
            <w:r>
              <w:t>Dans le numérique, l'infrastructure suit la croissance : serveurs, matériel réseau, postes de travail, onduleurs. Financer ce matériel sur la durée garde votre trésorerie disponible pour recruter et développer vos offres.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Agriculture et élevage</w:t>
            </w:r>
          </w:p>
        </w:tc>
        <w:tc>
          <w:tcPr>
            <w:tcW w:type="dxa" w:w="7030"/>
          </w:tcPr>
          <w:p>
            <w:r>
              <w:t>En agriculture, un tracteur, un système d'irrigation ou un bâtiment d'élevage change le rendement d'une exploitation. Ces achats tombent rarement au moment où la récolte a rempli la caisse.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Éducation et formation</w:t>
            </w:r>
          </w:p>
        </w:tc>
        <w:tc>
          <w:tcPr>
            <w:tcW w:type="dxa" w:w="7030"/>
          </w:tcPr>
          <w:p>
            <w:r>
              <w:t>Dans l'enseignement privé, l'équipement compte pour les familles : salles informatiques, laboratoires, mobilier, transport scolaire. Étaler ces investissements évite de les faire attendre jusqu'à la rentrée suivante.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Autre secteur</w:t>
            </w:r>
          </w:p>
        </w:tc>
        <w:tc>
          <w:tcPr>
            <w:tcW w:type="dxa" w:w="7030"/>
          </w:tcPr>
          <w:p>
            <w:r>
              <w:t>Un nouvel équipement, c'est souvent le moyen le plus direct de gagner en capacité ou en efficacité. Le payer comptant immobilise pourtant une trésorerie dont l'entreprise a besoin au quotidien.</w:t>
            </w:r>
          </w:p>
        </w:tc>
      </w:tr>
    </w:tbl>
    <w:p>
      <w:pPr>
        <w:pStyle w:val="Heading1"/>
      </w:pPr>
      <w:r>
        <w:t>4. Les objets à tester</w:t>
      </w:r>
    </w:p>
    <w:p>
      <w:pPr>
        <w:pStyle w:val="ListBullet"/>
      </w:pPr>
      <w:r>
        <w:t>Objet A, par défaut : « {Entreprise} : un financement pour vos prochains équipements ».</w:t>
      </w:r>
    </w:p>
    <w:p>
      <w:pPr>
        <w:pStyle w:val="ListBullet"/>
      </w:pPr>
      <w:r>
        <w:t>Objet B : « {Prénom}, un financement pour {votre flotte, vos chantiers…} », la fin change avec le secteur.</w:t>
      </w:r>
    </w:p>
    <w:p>
      <w:r>
        <w:rPr>
          <w:i w:val="0"/>
        </w:rPr>
        <w:t>Pour comparer, mettre A sur une moitié des lignes et B sur l'autre (colonne « Objet (variante) »), puis comparer le nombre de réponses de chaque moitié.</w:t>
      </w:r>
    </w:p>
    <w:p>
      <w:pPr>
        <w:pStyle w:val="Heading1"/>
      </w:pPr>
      <w:r>
        <w:t>5. La relance à sept jours</w:t>
      </w:r>
    </w:p>
    <w:p>
      <w:r>
        <w:rPr>
          <w:i w:val="0"/>
        </w:rPr>
        <w:t>Une seule relance, sept jours après l'envoi, dans le même fil de discussion, à ceux qui n'ont pas répondu. Pas de deuxième relance par e-mail : un appel du chargé d'affaires vaut mieux.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9"/>
          </w:tcPr>
          <w:p>
            <w:r>
              <w:t>Bonjour {Prénom},</w:t>
            </w:r>
          </w:p>
          <w:p/>
          <w:p>
            <w:r>
              <w:t>Je me permets de revenir vers vous au sujet du financement des équipements de {Entreprise}. Si un projet d'achat est prévu dans les prochains mois, vingt minutes suffisent pour voir ensemble ce que nous pouvons financer. Quel moment vous conviendrait ?</w:t>
            </w:r>
          </w:p>
          <w:p/>
          <w:p>
            <w:r>
              <w:t>Bien cordialement,</w:t>
            </w:r>
          </w:p>
          <w:p>
            <w:r>
              <w:t>Patrick</w:t>
            </w:r>
          </w:p>
        </w:tc>
      </w:tr>
    </w:tbl>
    <w:p>
      <w:pPr>
        <w:pStyle w:val="Heading1"/>
      </w:pPr>
      <w:r>
        <w:t>6. Le tableur, mode d'emploi</w:t>
      </w:r>
    </w:p>
    <w:p>
      <w:pPr>
        <w:pStyle w:val="ListBullet"/>
      </w:pPr>
      <w:r>
        <w:t>Onglet « Dirigeants » : coller la liste dans les colonnes Prénom, Nom, Entreprise, Secteur (liste déroulante), E-mail, Ville, Relation avec la banque.</w:t>
      </w:r>
    </w:p>
    <w:p>
      <w:pPr>
        <w:pStyle w:val="ListBullet"/>
      </w:pPr>
      <w:r>
        <w:t>L'objet, l'e-mail complet et la relance s'écrivent seuls dans les colonnes K, L et M. On les copie dans la messagerie.</w:t>
      </w:r>
    </w:p>
    <w:p>
      <w:pPr>
        <w:pStyle w:val="ListBullet"/>
      </w:pPr>
      <w:r>
        <w:t>Onglet « Paramètres » : nom, téléphone et e-mail du signataire, une fois pour tous les e-mails. Les paragraphes de l'offre et du rendez-vous s'y modifient aussi.</w:t>
      </w:r>
    </w:p>
    <w:p>
      <w:pPr>
        <w:pStyle w:val="ListBullet"/>
      </w:pPr>
      <w:r>
        <w:t>Onglet « Secteurs » : modifier un paragraphe le change dans tous les e-mails du secteur.</w:t>
      </w:r>
    </w:p>
    <w:p>
      <w:pPr>
        <w:pStyle w:val="ListBullet"/>
      </w:pPr>
      <w:r>
        <w:t>Colonne « Statut » : passer chaque ligne de « À relire » à « Validé » avant l'envoi, puis à « Envoyé ». La date de relance se calcule à partir de la date d'envoi.</w:t>
      </w:r>
    </w:p>
    <w:p>
      <w:pPr>
        <w:pStyle w:val="ListBullet"/>
      </w:pPr>
      <w:r>
        <w:t>Onglet « Synthèse » : le compte des envois, des relances et des rendez-vous se met à jour seul.</w:t>
      </w:r>
    </w:p>
    <w:p>
      <w:pPr>
        <w:pStyle w:val="Heading1"/>
      </w:pPr>
      <w:r>
        <w:t>7. Les règles d'envoi</w:t>
      </w:r>
    </w:p>
    <w:p>
      <w:pPr>
        <w:pStyle w:val="ListBullet"/>
      </w:pPr>
      <w:r>
        <w:t>Envoyer depuis la boîte professionnelle du signataire, un e-mail à la fois, jamais en copie groupée.</w:t>
      </w:r>
    </w:p>
    <w:p>
      <w:pPr>
        <w:pStyle w:val="ListBullet"/>
      </w:pPr>
      <w:r>
        <w:t>Dix à quinze e-mails par jour, du mardi au jeudi entre 8 h et 10 h : les envois en masse depuis une boîte personnelle finissent en courrier indésirable.</w:t>
      </w:r>
    </w:p>
    <w:p>
      <w:pPr>
        <w:pStyle w:val="ListBullet"/>
      </w:pPr>
      <w:r>
        <w:t>Relire chaque e-mail : prénom bien orthographié, nom exact de l'entreprise, secteur juste.</w:t>
      </w:r>
    </w:p>
    <w:p>
      <w:pPr>
        <w:pStyle w:val="ListBullet"/>
      </w:pPr>
      <w:r>
        <w:t>N'écrire qu'aux dirigeants dont l'adresse a été obtenue de façon régulière (client, recommandation, rencontre, carte de visite). Une liste achetée ou récupérée sur Internet ne s'utilise pas.</w:t>
      </w:r>
    </w:p>
    <w:p>
      <w:pPr>
        <w:pStyle w:val="ListBullet"/>
      </w:pPr>
      <w:r>
        <w:t>Respecter tout « stop » sans délai : passer la ligne en « Ne plus contacter ».</w:t>
      </w:r>
    </w:p>
    <w:p>
      <w:pPr>
        <w:pStyle w:val="ListBullet"/>
      </w:pPr>
      <w:r>
        <w:t>Aucun taux, montant, durée ou délai de réponse dans l'e-mail : les conditions se donnent au rendez-vous, après étude du dossier.</w:t>
      </w:r>
    </w:p>
    <w:p>
      <w:pPr>
        <w:pStyle w:val="Heading1"/>
      </w:pPr>
      <w:r>
        <w:t>8. Le suivi</w:t>
      </w:r>
    </w:p>
    <w:p>
      <w:r>
        <w:rPr>
          <w:i w:val="0"/>
        </w:rPr>
        <w:t>Chaque vendredi : nombre d'envois, de réponses et de rendez-vous, lus dans l'onglet « Synthèse ». À 60 envois, comparer les objets A et B et les secteurs qui répondent le mieux, pour cibler la vague suivante.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539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539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539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