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20000" cy="610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rassivoi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61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48894F"/>
          <w:sz w:val="44"/>
        </w:rPr>
        <w:t>Brief créateurs · Noël 2026</w:t>
      </w:r>
    </w:p>
    <w:p>
      <w:r>
        <w:rPr>
          <w:i/>
          <w:color w:val="666666"/>
          <w:sz w:val="22"/>
        </w:rPr>
        <w:t>Bière Ivoire · campagne créateurs de contenu d'Abidjan · version 1 du 26 octobre 2026</w:t>
      </w:r>
    </w:p>
    <w:p>
      <w:pPr>
        <w:pStyle w:val="Heading1"/>
      </w:pPr>
      <w:r>
        <w:t>Sommaire</w:t>
      </w:r>
    </w:p>
    <w:p>
      <w:r>
        <w:t>1. La campagne en bref</w:t>
      </w:r>
    </w:p>
    <w:p>
      <w:r>
        <w:t>2. Le message</w:t>
      </w:r>
    </w:p>
    <w:p>
      <w:r>
        <w:t>3. Ce que nous attendons de vous</w:t>
      </w:r>
    </w:p>
    <w:p>
      <w:r>
        <w:t>4. Idées de contenus</w:t>
      </w:r>
    </w:p>
    <w:p>
      <w:r>
        <w:t>5. Ce qu'il faut faire, ce qu'il ne faut jamais faire</w:t>
      </w:r>
    </w:p>
    <w:p>
      <w:r>
        <w:t>6. Mentions obligatoires</w:t>
      </w:r>
    </w:p>
    <w:p>
      <w:r>
        <w:t>7. Calendrier et validation</w:t>
      </w:r>
    </w:p>
    <w:p>
      <w:r>
        <w:t>8. Ce que nous mesurons</w:t>
      </w:r>
    </w:p>
    <w:p>
      <w:pPr>
        <w:pStyle w:val="Heading1"/>
      </w:pPr>
      <w:r>
        <w:t>1. La campagne en bref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F6F1E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7087"/>
            <w:shd w:val="clear" w:color="auto" w:fill="F6F1E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Marque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Ivoire, la bière brassée en Côte d'Ivoire par Brassivoire depuis le 14 novembre 2016</w:t>
            </w:r>
          </w:p>
        </w:tc>
      </w:tr>
      <w:tr>
        <w:tc>
          <w:tcPr>
            <w:tcW w:type="dxa" w:w="2268"/>
            <w:shd w:val="clear" w:color="auto" w:fill="F6F1E7"/>
          </w:tcPr>
          <w:p>
            <w:r/>
            <w:r>
              <w:rPr>
                <w:sz w:val="20"/>
              </w:rPr>
              <w:t>Moment</w:t>
            </w:r>
          </w:p>
        </w:tc>
        <w:tc>
          <w:tcPr>
            <w:tcW w:type="dxa" w:w="7087"/>
            <w:shd w:val="clear" w:color="auto" w:fill="F6F1E7"/>
          </w:tcPr>
          <w:p>
            <w:r/>
            <w:r>
              <w:rPr>
                <w:sz w:val="20"/>
              </w:rPr>
              <w:t>Les fêtes de fin d'année 2026, et les 10 ans de la marque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Objectif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Faire d'Ivoire la bière des retrouvailles de fin d'année entre adultes</w:t>
            </w:r>
          </w:p>
        </w:tc>
      </w:tr>
      <w:tr>
        <w:tc>
          <w:tcPr>
            <w:tcW w:type="dxa" w:w="2268"/>
            <w:shd w:val="clear" w:color="auto" w:fill="F6F1E7"/>
          </w:tcPr>
          <w:p>
            <w:r/>
            <w:r>
              <w:rPr>
                <w:sz w:val="20"/>
              </w:rPr>
              <w:t>Public visé</w:t>
            </w:r>
          </w:p>
        </w:tc>
        <w:tc>
          <w:tcPr>
            <w:tcW w:type="dxa" w:w="7087"/>
            <w:shd w:val="clear" w:color="auto" w:fill="F6F1E7"/>
          </w:tcPr>
          <w:p>
            <w:r/>
            <w:r>
              <w:rPr>
                <w:sz w:val="20"/>
              </w:rPr>
              <w:t>Adultes de 25 ans et plus, à Abidjan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Réseaux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Instagram et TikTok (Facebook en relais)</w:t>
            </w:r>
          </w:p>
        </w:tc>
      </w:tr>
    </w:tbl>
    <w:p/>
    <w:p>
      <w:pPr>
        <w:pStyle w:val="Heading1"/>
      </w:pPr>
      <w:r>
        <w:t>2. Le message</w:t>
      </w:r>
    </w:p>
    <w:p>
      <w:r>
        <w:rPr>
          <w:b/>
          <w:color w:val="48894F"/>
          <w:sz w:val="26"/>
        </w:rPr>
        <w:t>« Dix ans qu'on se retrouve autour d'Ivoire. Cette année encore, on fête ensemble. »</w:t>
      </w:r>
    </w:p>
    <w:p>
      <w:r>
        <w:t>Noël et la Saint-Sylvestre, ce sont les retrouvailles : la famille qui rentre, les amis qu'on n'a pas vus de l'année, le maquis du quartier, la terrasse du vendredi soir. Ivoire est la bière de ces moments-là. Elle est brassée ici, et elle fête cette année ses dix ans avec ceux qui l'ont adoptée.</w:t>
      </w:r>
    </w:p>
    <w:p>
      <w:r>
        <w:t>Ce qu'on veut que votre communauté retienne : la convivialité, la fierté d'une bière d'ici, et la modération.</w:t>
      </w:r>
    </w:p>
    <w:p>
      <w:pPr>
        <w:pStyle w:val="Heading1"/>
      </w:pPr>
      <w:r>
        <w:t>3. Ce que nous attendons de vous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4535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984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Quantité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Vidéo courte (Reel ou TikTok)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Vertical 9:16, 30 à 60 secondes, sous-titrée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835"/>
            <w:shd w:val="clear" w:color="auto" w:fill="F6F1E7"/>
          </w:tcPr>
          <w:p>
            <w:r/>
            <w:r>
              <w:rPr>
                <w:sz w:val="20"/>
              </w:rPr>
              <w:t>Stories</w:t>
            </w:r>
          </w:p>
        </w:tc>
        <w:tc>
          <w:tcPr>
            <w:tcW w:type="dxa" w:w="4535"/>
            <w:shd w:val="clear" w:color="auto" w:fill="F6F1E7"/>
          </w:tcPr>
          <w:p>
            <w:r/>
            <w:r>
              <w:rPr>
                <w:sz w:val="20"/>
              </w:rPr>
              <w:t>Vertical 9:16, avec la mention partenariat</w:t>
            </w:r>
          </w:p>
        </w:tc>
        <w:tc>
          <w:tcPr>
            <w:tcW w:type="dxa" w:w="1984"/>
            <w:shd w:val="clear" w:color="auto" w:fill="F6F1E7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Publication photo ou carrousel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4:5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 (selon le contrat)</w:t>
            </w:r>
          </w:p>
        </w:tc>
      </w:tr>
      <w:tr>
        <w:tc>
          <w:tcPr>
            <w:tcW w:type="dxa" w:w="2835"/>
            <w:shd w:val="clear" w:color="auto" w:fill="F6F1E7"/>
          </w:tcPr>
          <w:p>
            <w:r/>
            <w:r>
              <w:rPr>
                <w:sz w:val="20"/>
              </w:rPr>
              <w:t>Fichiers sources</w:t>
            </w:r>
          </w:p>
        </w:tc>
        <w:tc>
          <w:tcPr>
            <w:tcW w:type="dxa" w:w="4535"/>
            <w:shd w:val="clear" w:color="auto" w:fill="F6F1E7"/>
          </w:tcPr>
          <w:p>
            <w:r/>
            <w:r>
              <w:rPr>
                <w:sz w:val="20"/>
              </w:rPr>
              <w:t>Vidéos et photos sans texte, pour une réutilisation par la marque</w:t>
            </w:r>
          </w:p>
        </w:tc>
        <w:tc>
          <w:tcPr>
            <w:tcW w:type="dxa" w:w="1984"/>
            <w:shd w:val="clear" w:color="auto" w:fill="F6F1E7"/>
          </w:tcPr>
          <w:p>
            <w:r/>
            <w:r>
              <w:rPr>
                <w:sz w:val="20"/>
              </w:rPr>
              <w:t>Tous</w:t>
            </w:r>
          </w:p>
        </w:tc>
      </w:tr>
    </w:tbl>
    <w:p/>
    <w:p>
      <w:r>
        <w:t>Le nombre exact de livrables, les dates et la rémunération sont fixés dans votre contrat.</w:t>
      </w:r>
    </w:p>
    <w:p>
      <w:pPr>
        <w:pStyle w:val="Heading1"/>
      </w:pPr>
      <w:r>
        <w:t>4. Idées de contenus</w:t>
      </w:r>
    </w:p>
    <w:p>
      <w:r>
        <w:t>Ce sont des pistes. Gardez votre ton : c'est pour lui qu'on vous a choisi.</w:t>
      </w:r>
    </w:p>
    <w:p>
      <w:pPr>
        <w:pStyle w:val="ListBullet"/>
      </w:pPr>
      <w:r>
        <w:t>« Le retour » : un ami ou un cousin rentre pour les fêtes, la bande se retrouve au maquis et trinque.</w:t>
      </w:r>
    </w:p>
    <w:p>
      <w:pPr>
        <w:pStyle w:val="ListBullet"/>
      </w:pPr>
      <w:r>
        <w:t>« La table de Noël » : un repas de fête ivoirien, et les accords qui vont avec une Ivoire bien fraîche (pour les créateurs food).</w:t>
      </w:r>
    </w:p>
    <w:p>
      <w:pPr>
        <w:pStyle w:val="ListBullet"/>
      </w:pPr>
      <w:r>
        <w:t>« Mes adresses de décembre » : trois lieux d'Abidjan où fêter la fin d'année entre amis (pour les créateurs bons plans).</w:t>
      </w:r>
    </w:p>
    <w:p>
      <w:pPr>
        <w:pStyle w:val="ListBullet"/>
      </w:pPr>
      <w:r>
        <w:t>« Dix ans déjà » : un souvenir de 2016, ce qui a changé, ce qui reste (la bande, les retrouvailles, Ivoire).</w:t>
      </w:r>
    </w:p>
    <w:p>
      <w:pPr>
        <w:pStyle w:val="ListBullet"/>
      </w:pPr>
      <w:r>
        <w:t>« On rentre comment ? » : la fin de soirée avec le chauffeur désigné ou le taxi. Le bon réflexe montré avec humour.</w:t>
      </w:r>
    </w:p>
    <w:p>
      <w:r>
        <w:t>Structure conseillée : une accroche dans les 3 premières secondes, le moment partagé, puis la fin avec le produit et le message de modération.</w:t>
      </w:r>
    </w:p>
    <w:p>
      <w:pPr>
        <w:pStyle w:val="Heading1"/>
      </w:pPr>
      <w:r>
        <w:t>5. Ce qu'il faut faire, ce qu'il ne faut jamais faire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49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À faire</w:t>
            </w:r>
          </w:p>
        </w:tc>
        <w:tc>
          <w:tcPr>
            <w:tcW w:type="dxa" w:w="4649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À ne jamais faire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20"/>
              </w:rPr>
              <w:t>Montrer des adultes de 25 ans et plus, et qui les paraissent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Montrer un mineur, même en arrière-plan, ou un adulte qui paraît mineur</w:t>
            </w:r>
          </w:p>
        </w:tc>
      </w:tr>
      <w:tr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Montrer le partage, la musique, la conversation, le repas</w:t>
            </w:r>
          </w:p>
        </w:tc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Montrer quelqu'un qui boit beaucoup, vite, ou qui paraît ivre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20"/>
              </w:rPr>
              <w:t>Montrer la bouteille servie fraîche, le geste de trinquer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Associer la bière à la conduite, au sport, au travail ou à la réussite</w:t>
            </w:r>
          </w:p>
        </w:tc>
      </w:tr>
      <w:tr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Rappeler le bon réflexe : on ne conduit pas après avoir bu</w:t>
            </w:r>
          </w:p>
        </w:tc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Suggérer que la bière rend plus séduisant, plus fort ou plus populaire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20"/>
              </w:rPr>
              <w:t>Rester vous-même, dans votre langage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Montrer une femme enceinte avec de l'alcool</w:t>
            </w:r>
          </w:p>
        </w:tc>
      </w:tr>
      <w:tr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Faire valider chaque contenu avant publication</w:t>
            </w:r>
          </w:p>
        </w:tc>
        <w:tc>
          <w:tcPr>
            <w:tcW w:type="dxa" w:w="4649"/>
            <w:shd w:val="clear" w:color="auto" w:fill="F6F1E7"/>
          </w:tcPr>
          <w:p>
            <w:r/>
            <w:r>
              <w:rPr>
                <w:sz w:val="20"/>
              </w:rPr>
              <w:t>Publier sans la mention partenariat ni le message de modération</w:t>
            </w:r>
          </w:p>
        </w:tc>
      </w:tr>
      <w:tr>
        <w:tc>
          <w:tcPr>
            <w:tcW w:type="dxa" w:w="464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Parler d'un prix, d'une promotion ou d'un jeu sans accord écrit de la marque</w:t>
            </w:r>
          </w:p>
        </w:tc>
      </w:tr>
    </w:tbl>
    <w:p/>
    <w:p>
      <w:pPr>
        <w:pStyle w:val="Heading1"/>
      </w:pPr>
      <w:r>
        <w:t>6. Mentions obligatoires</w:t>
      </w:r>
    </w:p>
    <w:p>
      <w:pPr>
        <w:pStyle w:val="ListBullet"/>
      </w:pPr>
      <w:r>
        <w:t>Mention de partenariat, visible dès le début : « Partenariat rémunéré avec Ivoire », ou l'outil « partenariat rémunéré » d'Instagram ou de TikTok.</w:t>
      </w:r>
    </w:p>
    <w:p>
      <w:pPr>
        <w:pStyle w:val="ListBullet"/>
      </w:pPr>
      <w:r>
        <w:t>Message sanitaire, à l'écran et dans la légende : « L'abus d'alcool est dangereux pour la santé. À consommer avec modération. »</w:t>
      </w:r>
    </w:p>
    <w:p>
      <w:pPr>
        <w:pStyle w:val="ListBullet"/>
      </w:pPr>
      <w:r>
        <w:t>Le compte de la marque identifié dans la publication.</w:t>
      </w:r>
    </w:p>
    <w:p>
      <w:pPr>
        <w:pStyle w:val="ListBullet"/>
      </w:pPr>
      <w:r>
        <w:t>Les mots-clés de la campagne : fournis avec le contrat.</w:t>
      </w:r>
    </w:p>
    <w:p>
      <w:pPr>
        <w:pStyle w:val="Heading1"/>
      </w:pPr>
      <w:r>
        <w:t>7. Calendrier et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2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4252"/>
            <w:shd w:val="clear" w:color="auto" w:fill="48894F"/>
          </w:tcPr>
          <w:p>
            <w:r/>
            <w:r>
              <w:rPr>
                <w:b/>
                <w:color w:val="FFFFFF"/>
                <w:sz w:val="20"/>
              </w:rPr>
              <w:t>Quand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Envoi de vos statistiques d'audience (âge, pays)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Avant la signature</w:t>
            </w:r>
          </w:p>
        </w:tc>
      </w:tr>
      <w:tr>
        <w:tc>
          <w:tcPr>
            <w:tcW w:type="dxa" w:w="5102"/>
            <w:shd w:val="clear" w:color="auto" w:fill="F6F1E7"/>
          </w:tcPr>
          <w:p>
            <w:r/>
            <w:r>
              <w:rPr>
                <w:sz w:val="20"/>
              </w:rPr>
              <w:t>Proposition d'idée (quelques lignes)</w:t>
            </w:r>
          </w:p>
        </w:tc>
        <w:tc>
          <w:tcPr>
            <w:tcW w:type="dxa" w:w="4252"/>
            <w:shd w:val="clear" w:color="auto" w:fill="F6F1E7"/>
          </w:tcPr>
          <w:p>
            <w:r/>
            <w:r>
              <w:rPr>
                <w:sz w:val="20"/>
              </w:rPr>
              <w:t>Date fixée au contrat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Envoi des contenus avant publication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Au moins 5 jours ouvrés avant la date de mise en ligne</w:t>
            </w:r>
          </w:p>
        </w:tc>
      </w:tr>
      <w:tr>
        <w:tc>
          <w:tcPr>
            <w:tcW w:type="dxa" w:w="5102"/>
            <w:shd w:val="clear" w:color="auto" w:fill="F6F1E7"/>
          </w:tcPr>
          <w:p>
            <w:r/>
            <w:r>
              <w:rPr>
                <w:sz w:val="20"/>
              </w:rPr>
              <w:t>Retour de la marque</w:t>
            </w:r>
          </w:p>
        </w:tc>
        <w:tc>
          <w:tcPr>
            <w:tcW w:type="dxa" w:w="4252"/>
            <w:shd w:val="clear" w:color="auto" w:fill="F6F1E7"/>
          </w:tcPr>
          <w:p>
            <w:r/>
            <w:r>
              <w:rPr>
                <w:sz w:val="20"/>
              </w:rPr>
              <w:t>Sous 2 jours ouvrés, une seule série de corrections incluse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Publication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Entre début décembre et le 31 décembre 2026, aux dates du contrat</w:t>
            </w:r>
          </w:p>
        </w:tc>
      </w:tr>
      <w:tr>
        <w:tc>
          <w:tcPr>
            <w:tcW w:type="dxa" w:w="5102"/>
            <w:shd w:val="clear" w:color="auto" w:fill="F6F1E7"/>
          </w:tcPr>
          <w:p>
            <w:r/>
            <w:r>
              <w:rPr>
                <w:sz w:val="20"/>
              </w:rPr>
              <w:t>Envoi des statistiques des publications</w:t>
            </w:r>
          </w:p>
        </w:tc>
        <w:tc>
          <w:tcPr>
            <w:tcW w:type="dxa" w:w="4252"/>
            <w:shd w:val="clear" w:color="auto" w:fill="F6F1E7"/>
          </w:tcPr>
          <w:p>
            <w:r/>
            <w:r>
              <w:rPr>
                <w:sz w:val="20"/>
              </w:rPr>
              <w:t>7 jours après chaque publication</w:t>
            </w:r>
          </w:p>
        </w:tc>
      </w:tr>
    </w:tbl>
    <w:p/>
    <w:p>
      <w:r>
        <w:t>Rien n'est publié sans l'accord écrit de Brassivoire. Un contenu publié sans validation peut être retiré à la demande de la marque.</w:t>
      </w:r>
    </w:p>
    <w:p>
      <w:pPr>
        <w:pStyle w:val="Heading1"/>
      </w:pPr>
      <w:r>
        <w:t>8. Ce que nous mesurons</w:t>
      </w:r>
    </w:p>
    <w:p>
      <w:pPr>
        <w:pStyle w:val="ListBullet"/>
      </w:pPr>
      <w:r>
        <w:t>La portée et les vues de chaque publication (captures des statistiques).</w:t>
      </w:r>
    </w:p>
    <w:p>
      <w:pPr>
        <w:pStyle w:val="ListBullet"/>
      </w:pPr>
      <w:r>
        <w:t>Les interactions : j'aime, commentaires, partages, enregistrements.</w:t>
      </w:r>
    </w:p>
    <w:p>
      <w:pPr>
        <w:pStyle w:val="ListBullet"/>
      </w:pPr>
      <w:r>
        <w:t>La part d'audience de 18 ans et plus qui a vu le contenu.</w:t>
      </w:r>
    </w:p>
    <w:p>
      <w:pPr>
        <w:pStyle w:val="ListBullet"/>
      </w:pPr>
      <w:r>
        <w:t>Le ton des commentaires : nous signalons ensemble tout commentaire problématique.</w:t>
      </w:r>
    </w:p>
    <w:p>
      <w:pPr>
        <w:pStyle w:val="Heading2"/>
      </w:pPr>
      <w:r>
        <w:t>Contact</w:t>
      </w:r>
    </w:p>
    <w:p>
      <w:r>
        <w:t>Didier, Marques, Brassivoire · e-mail et téléphone à compléter</w:t>
      </w:r>
    </w:p>
    <w:sectPr w:rsidR="00FC693F" w:rsidRPr="0006063C" w:rsidSect="00034616">
      <w:footerReference w:type="default" r:id="rId10"/>
      <w:pgSz w:w="12240" w:h="15840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Brassivoire · L'abus d'alcool est dangereux pour la santé. À consommer avec modération.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889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E37F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