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20000" cy="610387"/>
            <wp:docPr id="1" name="Picture 1"/>
            <wp:cNvGraphicFramePr>
              <a:graphicFrameLocks noChangeAspect="1"/>
            </wp:cNvGraphicFramePr>
            <a:graphic>
              <a:graphicData uri="http://schemas.openxmlformats.org/drawingml/2006/picture">
                <pic:pic>
                  <pic:nvPicPr>
                    <pic:cNvPr id="0" name="logo-brassivoire.png"/>
                    <pic:cNvPicPr/>
                  </pic:nvPicPr>
                  <pic:blipFill>
                    <a:blip r:embed="rId9"/>
                    <a:stretch>
                      <a:fillRect/>
                    </a:stretch>
                  </pic:blipFill>
                  <pic:spPr>
                    <a:xfrm>
                      <a:off x="0" y="0"/>
                      <a:ext cx="1620000" cy="610387"/>
                    </a:xfrm>
                    <a:prstGeom prst="rect"/>
                  </pic:spPr>
                </pic:pic>
              </a:graphicData>
            </a:graphic>
          </wp:inline>
        </w:drawing>
      </w:r>
    </w:p>
    <w:p>
      <w:r>
        <w:rPr>
          <w:b/>
          <w:color w:val="48894F"/>
          <w:sz w:val="44"/>
        </w:rPr>
        <w:t>Contrat de prestation de création de contenu</w:t>
      </w:r>
    </w:p>
    <w:p>
      <w:r>
        <w:rPr>
          <w:i/>
          <w:color w:val="666666"/>
          <w:sz w:val="22"/>
        </w:rPr>
        <w:t>Contrat type · campagne Noël 2026 · version 1 du 26 octobre 2026 · à faire relire par le service juridique avant tout usage</w:t>
      </w:r>
    </w:p>
    <w:p>
      <w:pPr>
        <w:pStyle w:val="Heading1"/>
      </w:pPr>
      <w:r>
        <w:t>Entre les soussignés</w:t>
      </w:r>
    </w:p>
    <w:p>
      <w:r>
        <w:t>BRASSIVOIRE, société anonyme au capital de [à compléter] F CFA, immatriculée au Registre du Commerce et du Crédit Mobilier d'Abidjan sous le numéro [à compléter], dont le siège est à Anyama, Zone Industrielle de PK24, représentée par [nom, fonction], ci-après « la Marque » ;</w:t>
      </w:r>
    </w:p>
    <w:p>
      <w:r>
        <w:t>Et [nom et prénoms du créateur], né(e) le [date], demeurant à [adresse], titulaire de la pièce d'identité n° [à compléter], exerçant sous le nom « [nom de scène] » et sur le compte [lien du compte], ou la société [raison sociale] qui le représente, ci-après « le Créateur ».</w:t>
      </w:r>
    </w:p>
    <w:p>
      <w:pPr>
        <w:pStyle w:val="Heading2"/>
      </w:pPr>
      <w:r>
        <w:t>Article 1 · Objet</w:t>
      </w:r>
    </w:p>
    <w:p>
      <w:r>
        <w:t>Le présent contrat fixe les conditions dans lesquelles le Créateur conçoit, réalise et publie des contenus pour la marque [Ivoire] dans le cadre de la campagne de fin d'année 2026 (ci-après « la Campagne »), selon le brief joint en annexe 1.</w:t>
      </w:r>
    </w:p>
    <w:p>
      <w:pPr>
        <w:pStyle w:val="Heading2"/>
      </w:pPr>
      <w:r>
        <w:t>Article 2 · Livrables et calendrier</w:t>
      </w:r>
    </w:p>
    <w:p>
      <w:r>
        <w:t>Le Créateur réalise et publie les contenus décrits en annexe 2 (nombre, formats, réseaux, dates de publication).</w:t>
      </w:r>
    </w:p>
    <w:p>
      <w:r>
        <w:t>Les dates peuvent être déplacées d'un commun accord écrit, y compris par e-mail ou par message.</w:t>
      </w:r>
    </w:p>
    <w:p>
      <w:pPr>
        <w:pStyle w:val="Heading2"/>
      </w:pPr>
      <w:r>
        <w:t>Article 3 · Validation préalable</w:t>
      </w:r>
    </w:p>
    <w:p>
      <w:r>
        <w:t>Chaque contenu est soumis à la Marque au moins cinq (5) jours ouvrés avant sa publication. La Marque répond sous deux (2) jours ouvrés. Une série de corrections est comprise dans la rémunération.</w:t>
      </w:r>
    </w:p>
    <w:p>
      <w:r>
        <w:t>Aucun contenu ne peut être publié sans l'accord écrit de la Marque. Le Créateur publie le contenu tel qu'il a été validé, sans modification.</w:t>
      </w:r>
    </w:p>
    <w:p>
      <w:pPr>
        <w:pStyle w:val="Heading2"/>
      </w:pPr>
      <w:r>
        <w:t>Article 4 · Règles propres à une boisson alcoolisée</w:t>
      </w:r>
    </w:p>
    <w:p>
      <w:r>
        <w:t>Le Créateur déclare avoir au moins vingt-cinq (25) ans et s'engage à ce que toute personne apparaissant dans les contenus ait au moins vingt-cinq (25) ans et les paraisse.</w:t>
      </w:r>
    </w:p>
    <w:p>
      <w:r>
        <w:t>Le Créateur s'engage à ce qu'aucun contenu : (a) ne montre ou ne s'adresse à un mineur ; (b) ne montre une consommation excessive ou une personne en état d'ivresse ; (c) n'associe la consommation à la conduite, au sport, au travail, à la réussite sociale ou à la séduction ; (d) ne montre une femme enceinte consommant de l'alcool.</w:t>
      </w:r>
    </w:p>
    <w:p>
      <w:r>
        <w:t>Chaque contenu porte le message « L'abus d'alcool est dangereux pour la santé. À consommer avec modération. »</w:t>
      </w:r>
    </w:p>
    <w:p>
      <w:r>
        <w:t>Le Créateur respecte les règles de la communication publicitaire en vigueur en Côte d'Ivoire, notamment la loi n° 2020-522 du 16 juin 2020 et ses textes d'application, ainsi que le code de marketing responsable de la Marque qui lui est remis en annexe 3.</w:t>
      </w:r>
    </w:p>
    <w:p>
      <w:pPr>
        <w:pStyle w:val="Heading2"/>
      </w:pPr>
      <w:r>
        <w:t>Article 5 · Audience</w:t>
      </w:r>
    </w:p>
    <w:p>
      <w:r>
        <w:t>Avant la signature, le Créateur remet une capture de ses statistiques d'audience (âge et pays) datant de moins de trente (30) jours. Il déclare qu'au moins [70] % de son audience a dix-huit (18) ans ou plus.</w:t>
      </w:r>
    </w:p>
    <w:p>
      <w:r>
        <w:t>Sept (7) jours après chaque publication, il remet les statistiques de cette publication (portée, vues, interactions, âge de l'audience touchée).</w:t>
      </w:r>
    </w:p>
    <w:p>
      <w:r>
        <w:t>Le Créateur s'interdit d'acheter des abonnés, des vues ou des interactions.</w:t>
      </w:r>
    </w:p>
    <w:p>
      <w:pPr>
        <w:pStyle w:val="Heading2"/>
      </w:pPr>
      <w:r>
        <w:t>Article 6 · Transparence</w:t>
      </w:r>
    </w:p>
    <w:p>
      <w:r>
        <w:t>Chaque contenu porte, de façon visible dès le début, la mention « Partenariat rémunéré avec [marque] » ou l'outil de partenariat rémunéré du réseau concerné.</w:t>
      </w:r>
    </w:p>
    <w:p>
      <w:pPr>
        <w:pStyle w:val="Heading2"/>
      </w:pPr>
      <w:r>
        <w:t>Article 7 · Rémunération</w:t>
      </w:r>
    </w:p>
    <w:p>
      <w:r>
        <w:t>En contrepartie des prestations et de la cession de droits de l'article 8, la Marque verse au Créateur la somme forfaitaire de [montant] F CFA [hors taxes / toutes taxes comprises, à préciser].</w:t>
      </w:r>
    </w:p>
    <w:p>
      <w:r>
        <w:t>Elle est payée en deux fois : [50] % à la signature et [50] % après la publication du dernier contenu et la remise des statistiques, sur facture, par virement ou paiement mobile, sous [30] jours.</w:t>
      </w:r>
    </w:p>
    <w:p>
      <w:r>
        <w:t>Les obligations fiscales et sociales liées à cette rémunération sont à préciser selon le statut du Créateur (personne physique ou société).</w:t>
      </w:r>
    </w:p>
    <w:p>
      <w:pPr>
        <w:pStyle w:val="Heading2"/>
      </w:pPr>
      <w:r>
        <w:t>Article 8 · Droits d'utilisation</w:t>
      </w:r>
    </w:p>
    <w:p>
      <w:r>
        <w:t>Le Créateur cède à la Marque, pour une durée de [6] mois à compter de la première publication et pour le territoire de la Côte d'Ivoire, le droit de reproduire, republier et diffuser les contenus, y compris en publicité payante sur les réseaux sociaux et sur les sites de la Marque.</w:t>
      </w:r>
    </w:p>
    <w:p>
      <w:r>
        <w:t>Le Créateur garantit qu'il détient les droits sur les musiques, images et personnes apparaissant dans les contenus, et qu'il a obtenu l'accord écrit de chaque personne filmée ou photographiée.</w:t>
      </w:r>
    </w:p>
    <w:p>
      <w:r>
        <w:t>Le Créateur peut conserver les contenus sur son compte après la Campagne, sauf demande de retrait de la Marque.</w:t>
      </w:r>
    </w:p>
    <w:p>
      <w:pPr>
        <w:pStyle w:val="Heading2"/>
      </w:pPr>
      <w:r>
        <w:t>Article 9 · Exclusivité</w:t>
      </w:r>
    </w:p>
    <w:p>
      <w:r>
        <w:t>Pendant la Campagne et [30] jours après, le Créateur s'interdit toute collaboration avec une marque de bière concurrente. Il déclare ses partenariats en cours avec des marques de boissons alcoolisées : [à compléter].</w:t>
      </w:r>
    </w:p>
    <w:p>
      <w:pPr>
        <w:pStyle w:val="Heading2"/>
      </w:pPr>
      <w:r>
        <w:t>Article 10 · Image et réputation</w:t>
      </w:r>
    </w:p>
    <w:p>
      <w:r>
        <w:t>Le Créateur s'engage à ne tenir, pendant la durée du contrat, aucun propos ou comportement public de nature à nuire gravement à l'image de la Marque. En cas de manquement grave, la Marque peut résilier le contrat et demander le retrait des contenus.</w:t>
      </w:r>
    </w:p>
    <w:p>
      <w:pPr>
        <w:pStyle w:val="Heading2"/>
      </w:pPr>
      <w:r>
        <w:t>Article 11 · Confidentialité et données personnelles</w:t>
      </w:r>
    </w:p>
    <w:p>
      <w:r>
        <w:t>Les informations transmises par la Marque (brief, dates, produits) restent confidentielles jusqu'à leur publication.</w:t>
      </w:r>
    </w:p>
    <w:p>
      <w:r>
        <w:t>Les données personnelles échangées sont traitées conformément à la loi n° 2013-450 du 19 juin 2013 relative à la protection des données à caractère personnel.</w:t>
      </w:r>
    </w:p>
    <w:p>
      <w:pPr>
        <w:pStyle w:val="Heading2"/>
      </w:pPr>
      <w:r>
        <w:t>Article 12 · Résiliation</w:t>
      </w:r>
    </w:p>
    <w:p>
      <w:r>
        <w:t>En cas de manquement d'une partie non corrigé dans les cinq (5) jours suivant une mise en demeure écrite, l'autre partie peut résilier le contrat. Les sommes déjà versées pour des contenus publiés et conformes restent acquises au Créateur.</w:t>
      </w:r>
    </w:p>
    <w:p>
      <w:pPr>
        <w:pStyle w:val="Heading2"/>
      </w:pPr>
      <w:r>
        <w:t>Article 13 · Loi applicable et litiges</w:t>
      </w:r>
    </w:p>
    <w:p>
      <w:r>
        <w:t>Le contrat est soumis au droit ivoirien. Les parties recherchent d'abord une solution amiable. À défaut, le litige est porté devant le Tribunal de commerce d'Abidjan.</w:t>
      </w:r>
    </w:p>
    <w:p>
      <w:pPr>
        <w:pStyle w:val="Heading2"/>
      </w:pPr>
      <w:r>
        <w:t>Annexes</w:t>
      </w:r>
    </w:p>
    <w:p>
      <w:pPr>
        <w:pStyle w:val="ListBullet"/>
      </w:pPr>
      <w:r>
        <w:t>Annexe 1 : brief de la Campagne</w:t>
      </w:r>
    </w:p>
    <w:p>
      <w:pPr>
        <w:pStyle w:val="ListBullet"/>
      </w:pPr>
      <w:r>
        <w:t>Annexe 2 : livrables, réseaux et dates de publication</w:t>
      </w:r>
    </w:p>
    <w:p>
      <w:pPr>
        <w:pStyle w:val="ListBullet"/>
      </w:pPr>
      <w:r>
        <w:t>Annexe 3 : code de marketing responsable de la Marque</w:t>
      </w:r>
    </w:p>
    <w:p>
      <w:pPr>
        <w:pStyle w:val="ListBullet"/>
      </w:pPr>
      <w:r>
        <w:t>Annexe 4 : statistiques d'audience remises par le Créateur</w:t>
      </w:r>
    </w:p>
    <w:p/>
    <w:p>
      <w:r>
        <w:t>Fait à Abidjan, le [date], en deux exemplaires originaux.</w:t>
      </w:r>
    </w:p>
    <w:tbl>
      <w:tblPr>
        <w:tblStyle w:val="TableGrid"/>
        <w:tblW w:type="auto" w:w="0"/>
        <w:tblLook w:firstColumn="1" w:firstRow="1" w:lastColumn="0" w:lastRow="0" w:noHBand="0" w:noVBand="1" w:val="04A0"/>
      </w:tblPr>
      <w:tblGrid>
        <w:gridCol w:w="4873"/>
        <w:gridCol w:w="4873"/>
      </w:tblGrid>
      <w:tr>
        <w:tc>
          <w:tcPr>
            <w:tcW w:type="dxa" w:w="4649"/>
            <w:shd w:val="clear" w:color="auto" w:fill="48894F"/>
          </w:tcPr>
          <w:p>
            <w:r/>
            <w:r>
              <w:rPr>
                <w:b/>
                <w:color w:val="FFFFFF"/>
                <w:sz w:val="20"/>
              </w:rPr>
              <w:t>Pour la Marque</w:t>
            </w:r>
          </w:p>
        </w:tc>
        <w:tc>
          <w:tcPr>
            <w:tcW w:type="dxa" w:w="4649"/>
            <w:shd w:val="clear" w:color="auto" w:fill="48894F"/>
          </w:tcPr>
          <w:p>
            <w:r/>
            <w:r>
              <w:rPr>
                <w:b/>
                <w:color w:val="FFFFFF"/>
                <w:sz w:val="20"/>
              </w:rPr>
              <w:t>Le Créateur</w:t>
            </w:r>
          </w:p>
        </w:tc>
      </w:tr>
      <w:tr>
        <w:tc>
          <w:tcPr>
            <w:tcW w:type="dxa" w:w="4649"/>
          </w:tcPr>
          <w:p>
            <w:r/>
            <w:r>
              <w:rPr>
                <w:sz w:val="20"/>
              </w:rPr>
              <w:t>Nom, fonction, signature</w:t>
              <w:br/>
              <w:br/>
              <w:br/>
            </w:r>
          </w:p>
        </w:tc>
        <w:tc>
          <w:tcPr>
            <w:tcW w:type="dxa" w:w="4649"/>
          </w:tcPr>
          <w:p>
            <w:r/>
            <w:r>
              <w:rPr>
                <w:sz w:val="20"/>
              </w:rPr>
              <w:t>Nom, signature, précédée de « lu et approuvé »</w:t>
              <w:br/>
              <w:br/>
              <w:br/>
            </w:r>
          </w:p>
        </w:tc>
      </w:tr>
    </w:tbl>
    <w:p/>
    <w:sectPr w:rsidR="00FC693F" w:rsidRPr="0006063C" w:rsidSect="00034616">
      <w:footerReference w:type="default" r:id="rId10"/>
      <w:pgSz w:w="12240" w:h="15840"/>
      <w:pgMar w:top="90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Brassivoire · L'abus d'alcool est dangereux pour la santé. À consommer avec modération.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A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4889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E37F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