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ook w:firstColumn="1" w:firstRow="1" w:lastColumn="0" w:lastRow="0" w:noHBand="0" w:noVBand="1" w:val="04A0"/>
        <w:tblW w:w="9865" w:type="dxa"/>
        <w:tblLayout w:type="fixed"/>
      </w:tblPr>
      <w:tblGrid>
        <w:gridCol w:w="9865"/>
      </w:tblGrid>
      <w:tr>
        <w:tc>
          <w:tcPr>
            <w:tcW w:type="dxa" w:w="9865"/>
            <w:shd w:val="clear" w:color="auto" w:fill="EE5B22"/>
          </w:tcPr>
          <w:p>
            <w:pPr>
              <w:spacing w:before="120" w:after="40"/>
              <w:jc w:val="center"/>
            </w:pPr>
            <w:r>
              <w:rPr>
                <w:rFonts w:ascii="Space Grotesk" w:hAnsi="Space Grotesk" w:eastAsia="Space Grotesk"/>
                <w:b/>
                <w:i w:val="0"/>
                <w:color w:val="FFFFFF"/>
                <w:sz w:val="36"/>
              </w:rPr>
              <w:t>📇 Fiches compte avant rendez-vous</w:t>
            </w:r>
          </w:p>
          <w:p>
            <w:pPr>
              <w:spacing w:after="120"/>
              <w:jc w:val="center"/>
            </w:pPr>
            <w:r>
              <w:rPr>
                <w:rFonts w:ascii="Inter" w:hAnsi="Inter" w:eastAsia="Inter"/>
                <w:b w:val="0"/>
                <w:i w:val="0"/>
                <w:color w:val="FFE3D6"/>
                <w:sz w:val="19"/>
              </w:rPr>
              <w:t>Ubipharm Côte d'Ivoire et Neemba Côte d'Ivoire · à relire avant le premier contact</w:t>
            </w:r>
          </w:p>
        </w:tc>
      </w:tr>
    </w:tbl>
    <w:p>
      <w:pPr>
        <w:spacing w:after="0"/>
      </w:pPr>
    </w:p>
    <w:p>
      <w:pPr>
        <w:keepNext/>
        <w:spacing w:before="160" w:after="60"/>
      </w:pPr>
      <w:r>
        <w:rPr>
          <w:rFonts w:ascii="Space Grotesk" w:hAnsi="Space Grotesk" w:eastAsia="Space Grotesk"/>
          <w:b/>
          <w:i w:val="0"/>
          <w:color w:val="EE5B22"/>
          <w:sz w:val="25"/>
          <w:u w:val="single"/>
        </w:rPr>
        <w:t>💊 Ubipharm Côte d'Ivoire</w:t>
      </w:r>
    </w:p>
    <w:tbl>
      <w:tblPr>
        <w:tblLook w:firstColumn="1" w:firstRow="1" w:lastColumn="0" w:lastRow="0" w:noHBand="0" w:noVBand="1" w:val="04A0"/>
        <w:tblW w:w="9865" w:type="dxa"/>
        <w:tblLayout w:type="fixed"/>
      </w:tblPr>
      <w:tblGrid>
        <w:gridCol w:w="2466"/>
        <w:gridCol w:w="2466"/>
        <w:gridCol w:w="2466"/>
        <w:gridCol w:w="2466"/>
      </w:tblGrid>
      <w:tr>
        <w:tc>
          <w:tcPr>
            <w:tcW w:type="dxa" w:w="2466"/>
            <w:shd w:val="clear" w:color="auto" w:fill="F6F8FA"/>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1991</w:t>
            </w:r>
          </w:p>
          <w:p>
            <w:pPr>
              <w:spacing w:after="80"/>
              <w:jc w:val="center"/>
            </w:pPr>
            <w:r>
              <w:rPr>
                <w:rFonts w:ascii="Inter" w:hAnsi="Inter" w:eastAsia="Inter"/>
                <w:b w:val="0"/>
                <w:i w:val="0"/>
                <w:color w:val="5F5F64"/>
                <w:sz w:val="16"/>
              </w:rPr>
              <w:t>grossiste répartiteur</w:t>
            </w:r>
          </w:p>
        </w:tc>
        <w:tc>
          <w:tcPr>
            <w:tcW w:type="dxa" w:w="2466"/>
            <w:shd w:val="clear" w:color="auto" w:fill="EEF2F5"/>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Yopougon</w:t>
            </w:r>
          </w:p>
          <w:p>
            <w:pPr>
              <w:spacing w:after="80"/>
              <w:jc w:val="center"/>
            </w:pPr>
            <w:r>
              <w:rPr>
                <w:rFonts w:ascii="Inter" w:hAnsi="Inter" w:eastAsia="Inter"/>
                <w:b w:val="0"/>
                <w:i w:val="0"/>
                <w:color w:val="5F5F64"/>
                <w:sz w:val="16"/>
              </w:rPr>
              <w:t>zone industrielle</w:t>
            </w:r>
          </w:p>
        </w:tc>
        <w:tc>
          <w:tcPr>
            <w:tcW w:type="dxa" w:w="2466"/>
            <w:shd w:val="clear" w:color="auto" w:fill="F6F8FA"/>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2026</w:t>
            </w:r>
          </w:p>
          <w:p>
            <w:pPr>
              <w:spacing w:after="80"/>
              <w:jc w:val="center"/>
            </w:pPr>
            <w:r>
              <w:rPr>
                <w:rFonts w:ascii="Inter" w:hAnsi="Inter" w:eastAsia="Inter"/>
                <w:b w:val="0"/>
                <w:i w:val="0"/>
                <w:color w:val="5F5F64"/>
                <w:sz w:val="16"/>
              </w:rPr>
              <w:t>prix national d'excellence</w:t>
            </w:r>
          </w:p>
        </w:tc>
        <w:tc>
          <w:tcPr>
            <w:tcW w:type="dxa" w:w="2466"/>
            <w:shd w:val="clear" w:color="auto" w:fill="EEF2F5"/>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90 / 100</w:t>
            </w:r>
          </w:p>
          <w:p>
            <w:pPr>
              <w:spacing w:after="80"/>
              <w:jc w:val="center"/>
            </w:pPr>
            <w:r>
              <w:rPr>
                <w:rFonts w:ascii="Inter" w:hAnsi="Inter" w:eastAsia="Inter"/>
                <w:b w:val="0"/>
                <w:i w:val="0"/>
                <w:color w:val="5F5F64"/>
                <w:sz w:val="16"/>
              </w:rPr>
              <w:t>note du compte</w:t>
            </w:r>
          </w:p>
        </w:tc>
      </w:tr>
    </w:tbl>
    <w:p>
      <w:pPr>
        <w:spacing w:after="0"/>
      </w:pP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2041"/>
        <w:gridCol w:w="7824"/>
      </w:tblGrid>
      <w:tr>
        <w:trPr>
          <w:tblHeader w:val="true"/>
        </w:trPr>
        <w:tc>
          <w:tcPr>
            <w:tcW w:type="dxa" w:w="2041"/>
            <w:shd w:val="clear" w:color="auto" w:fill="EE5B22"/>
          </w:tcPr>
          <w:p>
            <w:r>
              <w:rPr>
                <w:rFonts w:ascii="Inter" w:hAnsi="Inter" w:eastAsia="Inter"/>
                <w:b/>
                <w:i w:val="0"/>
                <w:color w:val="FFFFFF"/>
                <w:sz w:val="18"/>
              </w:rPr>
            </w:r>
          </w:p>
        </w:tc>
        <w:tc>
          <w:tcPr>
            <w:tcW w:type="dxa" w:w="7824"/>
            <w:shd w:val="clear" w:color="auto" w:fill="EE5B22"/>
          </w:tcPr>
          <w:p>
            <w:r>
              <w:rPr>
                <w:rFonts w:ascii="Inter" w:hAnsi="Inter" w:eastAsia="Inter"/>
                <w:b/>
                <w:i w:val="0"/>
                <w:color w:val="FFFFFF"/>
                <w:sz w:val="18"/>
              </w:rPr>
              <w:t>Ce qu'on sait</w:t>
            </w:r>
          </w:p>
        </w:tc>
      </w:tr>
      <w:tr>
        <w:tc>
          <w:tcPr>
            <w:tcW w:type="dxa" w:w="2041"/>
          </w:tcPr>
          <w:p>
            <w:pPr>
              <w:spacing w:after="20"/>
            </w:pPr>
            <w:r>
              <w:rPr>
                <w:rFonts w:ascii="Inter" w:hAnsi="Inter" w:eastAsia="Inter"/>
                <w:b/>
                <w:i w:val="0"/>
                <w:color w:val="11202E"/>
                <w:sz w:val="18"/>
              </w:rPr>
              <w:t>🏢 Activité</w:t>
            </w:r>
          </w:p>
        </w:tc>
        <w:tc>
          <w:tcPr>
            <w:tcW w:type="dxa" w:w="7824"/>
          </w:tcPr>
          <w:p>
            <w:pPr>
              <w:spacing w:after="20"/>
            </w:pPr>
            <w:r>
              <w:rPr>
                <w:rFonts w:ascii="Inter" w:hAnsi="Inter" w:eastAsia="Inter"/>
                <w:b w:val="0"/>
                <w:i w:val="0"/>
                <w:color w:val="11202E"/>
                <w:sz w:val="18"/>
              </w:rPr>
              <w:t>Grossiste répartiteur de médicaments : achète aux laboratoires, stocke et livre les pharmacies du pays. Filiale du groupe UbiPharm, qui appartient en partie à des pharmaciens.</w:t>
            </w:r>
          </w:p>
        </w:tc>
      </w:tr>
      <w:tr>
        <w:tc>
          <w:tcPr>
            <w:tcW w:type="dxa" w:w="2041"/>
            <w:shd w:val="clear" w:color="auto" w:fill="F6F8FA"/>
          </w:tcPr>
          <w:p>
            <w:pPr>
              <w:spacing w:after="20"/>
            </w:pPr>
            <w:r>
              <w:rPr>
                <w:rFonts w:ascii="Inter" w:hAnsi="Inter" w:eastAsia="Inter"/>
                <w:b/>
                <w:i w:val="0"/>
                <w:color w:val="11202E"/>
                <w:sz w:val="18"/>
              </w:rPr>
              <w:t>📍 Où</w:t>
            </w:r>
          </w:p>
        </w:tc>
        <w:tc>
          <w:tcPr>
            <w:tcW w:type="dxa" w:w="7824"/>
            <w:shd w:val="clear" w:color="auto" w:fill="F6F8FA"/>
          </w:tcPr>
          <w:p>
            <w:pPr>
              <w:spacing w:after="20"/>
            </w:pPr>
            <w:r>
              <w:rPr>
                <w:rFonts w:ascii="Inter" w:hAnsi="Inter" w:eastAsia="Inter"/>
                <w:b w:val="0"/>
                <w:i w:val="0"/>
                <w:color w:val="11202E"/>
                <w:sz w:val="18"/>
              </w:rPr>
              <w:t>Siège et dépôt dans la zone industrielle de Yopougon, à quelques minutes de notre parc de Yopougon.</w:t>
            </w:r>
          </w:p>
        </w:tc>
      </w:tr>
      <w:tr>
        <w:tc>
          <w:tcPr>
            <w:tcW w:type="dxa" w:w="2041"/>
          </w:tcPr>
          <w:p>
            <w:pPr>
              <w:spacing w:after="20"/>
            </w:pPr>
            <w:r>
              <w:rPr>
                <w:rFonts w:ascii="Inter" w:hAnsi="Inter" w:eastAsia="Inter"/>
                <w:b/>
                <w:i w:val="0"/>
                <w:color w:val="11202E"/>
                <w:sz w:val="18"/>
              </w:rPr>
              <w:t>📰 Actualité</w:t>
            </w:r>
          </w:p>
        </w:tc>
        <w:tc>
          <w:tcPr>
            <w:tcW w:type="dxa" w:w="7824"/>
          </w:tcPr>
          <w:p>
            <w:pPr>
              <w:spacing w:after="20"/>
            </w:pPr>
            <w:r>
              <w:rPr>
                <w:rFonts w:ascii="Inter" w:hAnsi="Inter" w:eastAsia="Inter"/>
                <w:b w:val="0"/>
                <w:i w:val="0"/>
                <w:color w:val="11202E"/>
                <w:sz w:val="18"/>
              </w:rPr>
              <w:t>Prix national d'excellence 2026 de la meilleure entreprise du commerce intérieur (août 2026), saluée pour la sécurité de l'approvisionnement en médicaments. Le groupe fête ses 35 ans.</w:t>
            </w:r>
          </w:p>
        </w:tc>
      </w:tr>
      <w:tr>
        <w:tc>
          <w:tcPr>
            <w:tcW w:type="dxa" w:w="2041"/>
            <w:shd w:val="clear" w:color="auto" w:fill="F6F8FA"/>
          </w:tcPr>
          <w:p>
            <w:pPr>
              <w:spacing w:after="20"/>
            </w:pPr>
            <w:r>
              <w:rPr>
                <w:rFonts w:ascii="Inter" w:hAnsi="Inter" w:eastAsia="Inter"/>
                <w:b/>
                <w:i w:val="0"/>
                <w:color w:val="11202E"/>
                <w:sz w:val="18"/>
              </w:rPr>
              <w:t>📦 Besoin probable</w:t>
            </w:r>
          </w:p>
        </w:tc>
        <w:tc>
          <w:tcPr>
            <w:tcW w:type="dxa" w:w="7824"/>
            <w:shd w:val="clear" w:color="auto" w:fill="F6F8FA"/>
          </w:tcPr>
          <w:p>
            <w:pPr>
              <w:spacing w:after="20"/>
            </w:pPr>
            <w:r>
              <w:rPr>
                <w:rFonts w:ascii="Inter" w:hAnsi="Inter" w:eastAsia="Inter"/>
                <w:b w:val="0"/>
                <w:i w:val="0"/>
                <w:color w:val="11202E"/>
                <w:sz w:val="18"/>
              </w:rPr>
              <w:t>Stock de débordement tracé lot par lot (premier périmé, premier sorti), pics de stock avant les campagnes de santé, transport vers les agences.</w:t>
            </w:r>
          </w:p>
        </w:tc>
      </w:tr>
      <w:tr>
        <w:tc>
          <w:tcPr>
            <w:tcW w:type="dxa" w:w="2041"/>
          </w:tcPr>
          <w:p>
            <w:pPr>
              <w:spacing w:after="20"/>
            </w:pPr>
            <w:r>
              <w:rPr>
                <w:rFonts w:ascii="Inter" w:hAnsi="Inter" w:eastAsia="Inter"/>
                <w:b/>
                <w:i w:val="0"/>
                <w:color w:val="11202E"/>
                <w:sz w:val="18"/>
              </w:rPr>
              <w:t>🏬 Parc à proposer</w:t>
            </w:r>
          </w:p>
        </w:tc>
        <w:tc>
          <w:tcPr>
            <w:tcW w:type="dxa" w:w="7824"/>
          </w:tcPr>
          <w:p>
            <w:pPr>
              <w:spacing w:after="20"/>
            </w:pPr>
            <w:r>
              <w:rPr>
                <w:rFonts w:ascii="Inter" w:hAnsi="Inter" w:eastAsia="Inter"/>
                <w:b w:val="0"/>
                <w:i w:val="0"/>
                <w:color w:val="11202E"/>
                <w:sz w:val="18"/>
              </w:rPr>
              <w:t>Yopougon pour le débordement, AeroHub pour les produits arrivés par avion.</w:t>
            </w:r>
          </w:p>
        </w:tc>
      </w:tr>
    </w:tbl>
    <w:p>
      <w:pPr>
        <w:spacing w:after="0"/>
      </w:pPr>
    </w:p>
    <w:p>
      <w:pPr>
        <w:spacing w:after="60"/>
      </w:pPr>
      <w:r>
        <w:rPr>
          <w:rFonts w:ascii="Inter" w:hAnsi="Inter" w:eastAsia="Inter"/>
          <w:b/>
          <w:i w:val="0"/>
          <w:color w:val="11202E"/>
          <w:sz w:val="22"/>
        </w:rPr>
        <w:t>Qui rencontrer</w:t>
      </w: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3628"/>
        <w:gridCol w:w="2948"/>
        <w:gridCol w:w="3288"/>
      </w:tblGrid>
      <w:tr>
        <w:trPr>
          <w:tblHeader w:val="true"/>
        </w:trPr>
        <w:tc>
          <w:tcPr>
            <w:tcW w:type="dxa" w:w="3628"/>
            <w:shd w:val="clear" w:color="auto" w:fill="EE5B22"/>
          </w:tcPr>
          <w:p>
            <w:r>
              <w:rPr>
                <w:rFonts w:ascii="Inter" w:hAnsi="Inter" w:eastAsia="Inter"/>
                <w:b/>
                <w:i w:val="0"/>
                <w:color w:val="FFFFFF"/>
                <w:sz w:val="18"/>
              </w:rPr>
              <w:t>Personne</w:t>
            </w:r>
          </w:p>
        </w:tc>
        <w:tc>
          <w:tcPr>
            <w:tcW w:type="dxa" w:w="2948"/>
            <w:shd w:val="clear" w:color="auto" w:fill="EE5B22"/>
          </w:tcPr>
          <w:p>
            <w:r>
              <w:rPr>
                <w:rFonts w:ascii="Inter" w:hAnsi="Inter" w:eastAsia="Inter"/>
                <w:b/>
                <w:i w:val="0"/>
                <w:color w:val="FFFFFF"/>
                <w:sz w:val="18"/>
              </w:rPr>
              <w:t>Rôle dans la décision</w:t>
            </w:r>
          </w:p>
        </w:tc>
        <w:tc>
          <w:tcPr>
            <w:tcW w:type="dxa" w:w="3288"/>
            <w:shd w:val="clear" w:color="auto" w:fill="EE5B22"/>
          </w:tcPr>
          <w:p>
            <w:r>
              <w:rPr>
                <w:rFonts w:ascii="Inter" w:hAnsi="Inter" w:eastAsia="Inter"/>
                <w:b/>
                <w:i w:val="0"/>
                <w:color w:val="FFFFFF"/>
                <w:sz w:val="18"/>
              </w:rPr>
              <w:t>Où la trouver</w:t>
            </w:r>
          </w:p>
        </w:tc>
      </w:tr>
      <w:tr>
        <w:tc>
          <w:tcPr>
            <w:tcW w:type="dxa" w:w="3628"/>
          </w:tcPr>
          <w:p>
            <w:pPr>
              <w:spacing w:after="20"/>
            </w:pPr>
            <w:r>
              <w:rPr>
                <w:rFonts w:ascii="Inter" w:hAnsi="Inter" w:eastAsia="Inter"/>
                <w:b/>
                <w:i w:val="0"/>
                <w:color w:val="11202E"/>
                <w:sz w:val="18"/>
              </w:rPr>
              <w:t>Pétanguy Isaak Coulibaly, directeur général</w:t>
            </w:r>
          </w:p>
        </w:tc>
        <w:tc>
          <w:tcPr>
            <w:tcW w:type="dxa" w:w="2948"/>
          </w:tcPr>
          <w:p>
            <w:pPr>
              <w:spacing w:after="20"/>
            </w:pPr>
            <w:r>
              <w:rPr>
                <w:rFonts w:ascii="Inter" w:hAnsi="Inter" w:eastAsia="Inter"/>
                <w:b w:val="0"/>
                <w:i w:val="0"/>
                <w:color w:val="11202E"/>
                <w:sz w:val="18"/>
              </w:rPr>
              <w:t>Signe</w:t>
            </w:r>
          </w:p>
        </w:tc>
        <w:tc>
          <w:tcPr>
            <w:tcW w:type="dxa" w:w="3288"/>
          </w:tcPr>
          <w:p>
            <w:pPr>
              <w:spacing w:after="20"/>
            </w:pPr>
            <w:r>
              <w:rPr>
                <w:rFonts w:ascii="Inter" w:hAnsi="Inter" w:eastAsia="Inter"/>
                <w:b w:val="0"/>
                <w:i w:val="0"/>
                <w:color w:val="11202E"/>
                <w:sz w:val="18"/>
              </w:rPr>
              <w:t>Site officiel du groupe</w:t>
            </w:r>
          </w:p>
        </w:tc>
      </w:tr>
      <w:tr>
        <w:tc>
          <w:tcPr>
            <w:tcW w:type="dxa" w:w="3628"/>
            <w:shd w:val="clear" w:color="auto" w:fill="F6F8FA"/>
          </w:tcPr>
          <w:p>
            <w:pPr>
              <w:spacing w:after="20"/>
            </w:pPr>
            <w:r>
              <w:rPr>
                <w:rFonts w:ascii="Inter" w:hAnsi="Inter" w:eastAsia="Inter"/>
                <w:b/>
                <w:i w:val="0"/>
                <w:color w:val="11202E"/>
                <w:sz w:val="18"/>
              </w:rPr>
              <w:t>Hugues Allani, service achat</w:t>
            </w:r>
          </w:p>
        </w:tc>
        <w:tc>
          <w:tcPr>
            <w:tcW w:type="dxa" w:w="2948"/>
            <w:shd w:val="clear" w:color="auto" w:fill="F6F8FA"/>
          </w:tcPr>
          <w:p>
            <w:pPr>
              <w:spacing w:after="20"/>
            </w:pPr>
            <w:r>
              <w:rPr>
                <w:rFonts w:ascii="Inter" w:hAnsi="Inter" w:eastAsia="Inter"/>
                <w:b w:val="0"/>
                <w:i w:val="0"/>
                <w:color w:val="11202E"/>
                <w:sz w:val="18"/>
              </w:rPr>
              <w:t>Compare les offres</w:t>
            </w:r>
          </w:p>
        </w:tc>
        <w:tc>
          <w:tcPr>
            <w:tcW w:type="dxa" w:w="3288"/>
            <w:shd w:val="clear" w:color="auto" w:fill="F6F8FA"/>
          </w:tcPr>
          <w:p>
            <w:pPr>
              <w:spacing w:after="20"/>
            </w:pPr>
            <w:r>
              <w:rPr>
                <w:rFonts w:ascii="Inter" w:hAnsi="Inter" w:eastAsia="Inter"/>
                <w:b w:val="0"/>
                <w:i w:val="0"/>
                <w:color w:val="11202E"/>
                <w:sz w:val="18"/>
              </w:rPr>
              <w:t>Site officiel du groupe</w:t>
            </w:r>
          </w:p>
        </w:tc>
      </w:tr>
      <w:tr>
        <w:tc>
          <w:tcPr>
            <w:tcW w:type="dxa" w:w="3628"/>
          </w:tcPr>
          <w:p>
            <w:pPr>
              <w:spacing w:after="20"/>
            </w:pPr>
            <w:r>
              <w:rPr>
                <w:rFonts w:ascii="Inter" w:hAnsi="Inter" w:eastAsia="Inter"/>
                <w:b/>
                <w:i w:val="0"/>
                <w:color w:val="11202E"/>
                <w:sz w:val="18"/>
              </w:rPr>
              <w:t>Kikanminan Mathieu Coulibaly, directeur d'exploitation des agences</w:t>
            </w:r>
          </w:p>
        </w:tc>
        <w:tc>
          <w:tcPr>
            <w:tcW w:type="dxa" w:w="2948"/>
          </w:tcPr>
          <w:p>
            <w:pPr>
              <w:spacing w:after="20"/>
            </w:pPr>
            <w:r>
              <w:rPr>
                <w:rFonts w:ascii="Inter" w:hAnsi="Inter" w:eastAsia="Inter"/>
                <w:b w:val="0"/>
                <w:i w:val="0"/>
                <w:color w:val="11202E"/>
                <w:sz w:val="18"/>
              </w:rPr>
              <w:t>Choisit, vit le problème au quotidien</w:t>
            </w:r>
          </w:p>
        </w:tc>
        <w:tc>
          <w:tcPr>
            <w:tcW w:type="dxa" w:w="3288"/>
          </w:tcPr>
          <w:p>
            <w:pPr>
              <w:spacing w:after="20"/>
            </w:pPr>
            <w:r>
              <w:rPr>
                <w:rFonts w:ascii="Inter" w:hAnsi="Inter" w:eastAsia="Inter"/>
                <w:b w:val="0"/>
                <w:i w:val="0"/>
                <w:color w:val="11202E"/>
                <w:sz w:val="18"/>
              </w:rPr>
              <w:t>LinkedIn (poste à confirmer)</w:t>
            </w:r>
          </w:p>
        </w:tc>
      </w:tr>
      <w:tr>
        <w:tc>
          <w:tcPr>
            <w:tcW w:type="dxa" w:w="3628"/>
            <w:shd w:val="clear" w:color="auto" w:fill="F6F8FA"/>
          </w:tcPr>
          <w:p>
            <w:pPr>
              <w:spacing w:after="20"/>
            </w:pPr>
            <w:r>
              <w:rPr>
                <w:rFonts w:ascii="Inter" w:hAnsi="Inter" w:eastAsia="Inter"/>
                <w:b/>
                <w:i w:val="0"/>
                <w:color w:val="11202E"/>
                <w:sz w:val="18"/>
              </w:rPr>
              <w:t>Brahima Koné, service administratif et financier</w:t>
            </w:r>
          </w:p>
        </w:tc>
        <w:tc>
          <w:tcPr>
            <w:tcW w:type="dxa" w:w="2948"/>
            <w:shd w:val="clear" w:color="auto" w:fill="F6F8FA"/>
          </w:tcPr>
          <w:p>
            <w:pPr>
              <w:spacing w:after="20"/>
            </w:pPr>
            <w:r>
              <w:rPr>
                <w:rFonts w:ascii="Inter" w:hAnsi="Inter" w:eastAsia="Inter"/>
                <w:b w:val="0"/>
                <w:i w:val="0"/>
                <w:color w:val="11202E"/>
                <w:sz w:val="18"/>
              </w:rPr>
              <w:t>Valide le coût</w:t>
            </w:r>
          </w:p>
        </w:tc>
        <w:tc>
          <w:tcPr>
            <w:tcW w:type="dxa" w:w="3288"/>
            <w:shd w:val="clear" w:color="auto" w:fill="F6F8FA"/>
          </w:tcPr>
          <w:p>
            <w:pPr>
              <w:spacing w:after="20"/>
            </w:pPr>
            <w:r>
              <w:rPr>
                <w:rFonts w:ascii="Inter" w:hAnsi="Inter" w:eastAsia="Inter"/>
                <w:b w:val="0"/>
                <w:i w:val="0"/>
                <w:color w:val="11202E"/>
                <w:sz w:val="18"/>
              </w:rPr>
              <w:t>Site officiel du groupe</w:t>
            </w:r>
          </w:p>
        </w:tc>
      </w:tr>
    </w:tbl>
    <w:p>
      <w:pPr>
        <w:spacing w:after="0"/>
      </w:pP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Inter" w:hAnsi="Inter" w:eastAsia="Inter"/>
                <w:b/>
                <w:i w:val="0"/>
                <w:color w:val="EE5B22"/>
                <w:sz w:val="20"/>
              </w:rPr>
              <w:t>💬 L'angle d'attaque</w:t>
            </w:r>
          </w:p>
          <w:p>
            <w:pPr>
              <w:spacing w:after="20"/>
            </w:pPr>
            <w:r>
              <w:rPr>
                <w:rFonts w:ascii="Inter" w:hAnsi="Inter" w:eastAsia="Inter"/>
                <w:b w:val="0"/>
                <w:i w:val="0"/>
                <w:color w:val="11202E"/>
                <w:sz w:val="19"/>
              </w:rPr>
              <w:t>« Vous venez d'être distingués pour la sécurité de l'approvisionnement en médicaments. Un stock de débordement tracé lot par lot, à quelques minutes de votre dépôt, est une assurance de plus quand les volumes montent. »</w:t>
            </w:r>
          </w:p>
        </w:tc>
      </w:tr>
    </w:tbl>
    <w:p>
      <w:pPr>
        <w:spacing w:after="0"/>
      </w:pPr>
    </w:p>
    <w:p>
      <w:pPr>
        <w:spacing w:after="60"/>
      </w:pPr>
      <w:r>
        <w:rPr>
          <w:rFonts w:ascii="Inter" w:hAnsi="Inter" w:eastAsia="Inter"/>
          <w:b/>
          <w:i w:val="0"/>
          <w:color w:val="11202E"/>
          <w:sz w:val="22"/>
        </w:rPr>
        <w:t>Les 5 questions à poser</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Que se passe-t-il quand votre dépôt de Yopougon est plein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Quels produits pourraient sortir de votre dépôt sans gêner vos livraisons quotidiennes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Comment suivez-vous aujourd'hui les lots et les dates de péremption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Avez-vous des besoins de stockage pour vos agences de l'intérieur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Qui, chez vous, doit voir notre parc avant de décider ?</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Inter" w:hAnsi="Inter" w:eastAsia="Inter"/>
                <w:b/>
                <w:i w:val="0"/>
                <w:color w:val="EE5B22"/>
                <w:sz w:val="20"/>
              </w:rPr>
              <w:t>⚠️ L'objection à prévoir</w:t>
            </w:r>
          </w:p>
          <w:p>
            <w:pPr>
              <w:spacing w:after="20"/>
            </w:pPr>
            <w:r>
              <w:rPr>
                <w:rFonts w:ascii="Inter" w:hAnsi="Inter" w:eastAsia="Inter"/>
                <w:b/>
                <w:i w:val="0"/>
                <w:color w:val="11202E"/>
                <w:sz w:val="19"/>
              </w:rPr>
              <w:t xml:space="preserve">« Les médicaments demandent des conditions particulières. » </w:t>
            </w:r>
            <w:r>
              <w:rPr>
                <w:rFonts w:ascii="Inter" w:hAnsi="Inter" w:eastAsia="Inter"/>
                <w:b w:val="0"/>
                <w:i w:val="0"/>
                <w:color w:val="11202E"/>
                <w:sz w:val="19"/>
              </w:rPr>
              <w:t>Répondre franchement sur ce que Proline peut garantir (température, sécurité, traçabilité) et ne rien promettre sur le froid tant que l'équipe n'a pas confirmé. Proposer la visite pour juger sur place.</w:t>
            </w:r>
          </w:p>
        </w:tc>
      </w:tr>
    </w:tbl>
    <w:p>
      <w:pPr>
        <w:spacing w:after="0"/>
      </w:pPr>
    </w:p>
    <w:p>
      <w:r>
        <w:br w:type="page"/>
      </w:r>
    </w:p>
    <w:p>
      <w:pPr>
        <w:keepNext/>
        <w:spacing w:before="160" w:after="60"/>
      </w:pPr>
      <w:r>
        <w:rPr>
          <w:rFonts w:ascii="Space Grotesk" w:hAnsi="Space Grotesk" w:eastAsia="Space Grotesk"/>
          <w:b/>
          <w:i w:val="0"/>
          <w:color w:val="EE5B22"/>
          <w:sz w:val="25"/>
          <w:u w:val="single"/>
        </w:rPr>
        <w:t>🚜 Neemba Côte d'Ivoire</w:t>
      </w:r>
    </w:p>
    <w:tbl>
      <w:tblPr>
        <w:tblLook w:firstColumn="1" w:firstRow="1" w:lastColumn="0" w:lastRow="0" w:noHBand="0" w:noVBand="1" w:val="04A0"/>
        <w:tblW w:w="9865" w:type="dxa"/>
        <w:tblLayout w:type="fixed"/>
      </w:tblPr>
      <w:tblGrid>
        <w:gridCol w:w="2466"/>
        <w:gridCol w:w="2466"/>
        <w:gridCol w:w="2466"/>
        <w:gridCol w:w="2466"/>
      </w:tblGrid>
      <w:tr>
        <w:tc>
          <w:tcPr>
            <w:tcW w:type="dxa" w:w="2466"/>
            <w:shd w:val="clear" w:color="auto" w:fill="F6F8FA"/>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Caterpillar</w:t>
            </w:r>
          </w:p>
          <w:p>
            <w:pPr>
              <w:spacing w:after="80"/>
              <w:jc w:val="center"/>
            </w:pPr>
            <w:r>
              <w:rPr>
                <w:rFonts w:ascii="Inter" w:hAnsi="Inter" w:eastAsia="Inter"/>
                <w:b w:val="0"/>
                <w:i w:val="0"/>
                <w:color w:val="5F5F64"/>
                <w:sz w:val="16"/>
              </w:rPr>
              <w:t>concessionnaire exclusif</w:t>
            </w:r>
          </w:p>
        </w:tc>
        <w:tc>
          <w:tcPr>
            <w:tcW w:type="dxa" w:w="2466"/>
            <w:shd w:val="clear" w:color="auto" w:fill="EEF2F5"/>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Yopougon</w:t>
            </w:r>
          </w:p>
          <w:p>
            <w:pPr>
              <w:spacing w:after="80"/>
              <w:jc w:val="center"/>
            </w:pPr>
            <w:r>
              <w:rPr>
                <w:rFonts w:ascii="Inter" w:hAnsi="Inter" w:eastAsia="Inter"/>
                <w:b w:val="0"/>
                <w:i w:val="0"/>
                <w:color w:val="5F5F64"/>
                <w:sz w:val="16"/>
              </w:rPr>
              <w:t>route de Dabou</w:t>
            </w:r>
          </w:p>
        </w:tc>
        <w:tc>
          <w:tcPr>
            <w:tcW w:type="dxa" w:w="2466"/>
            <w:shd w:val="clear" w:color="auto" w:fill="F6F8FA"/>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500 machines</w:t>
            </w:r>
          </w:p>
          <w:p>
            <w:pPr>
              <w:spacing w:after="80"/>
              <w:jc w:val="center"/>
            </w:pPr>
            <w:r>
              <w:rPr>
                <w:rFonts w:ascii="Inter" w:hAnsi="Inter" w:eastAsia="Inter"/>
                <w:b w:val="0"/>
                <w:i w:val="0"/>
                <w:color w:val="5F5F64"/>
                <w:sz w:val="16"/>
              </w:rPr>
              <w:t>stock régional</w:t>
            </w:r>
          </w:p>
        </w:tc>
        <w:tc>
          <w:tcPr>
            <w:tcW w:type="dxa" w:w="2466"/>
            <w:shd w:val="clear" w:color="auto" w:fill="EEF2F5"/>
          </w:tcPr>
          <w:p>
            <w:pPr>
              <w:spacing w:before="80"/>
              <w:jc w:val="center"/>
            </w:pPr>
            <w:r>
              <w:rPr>
                <w:rFonts w:ascii="Inter" w:hAnsi="Inter" w:eastAsia="Inter"/>
                <w:b w:val="0"/>
                <w:i w:val="0"/>
                <w:color w:val="11202E"/>
                <w:sz w:val="36"/>
              </w:rPr>
              <w:t>🎯</w:t>
            </w:r>
          </w:p>
          <w:p>
            <w:pPr>
              <w:spacing w:after="0"/>
              <w:jc w:val="center"/>
            </w:pPr>
            <w:r>
              <w:rPr>
                <w:rFonts w:ascii="Inter" w:hAnsi="Inter" w:eastAsia="Inter"/>
                <w:b/>
                <w:i w:val="0"/>
                <w:color w:val="EE5B22"/>
                <w:sz w:val="32"/>
              </w:rPr>
              <w:t>100 / 100</w:t>
            </w:r>
          </w:p>
          <w:p>
            <w:pPr>
              <w:spacing w:after="80"/>
              <w:jc w:val="center"/>
            </w:pPr>
            <w:r>
              <w:rPr>
                <w:rFonts w:ascii="Inter" w:hAnsi="Inter" w:eastAsia="Inter"/>
                <w:b w:val="0"/>
                <w:i w:val="0"/>
                <w:color w:val="5F5F64"/>
                <w:sz w:val="16"/>
              </w:rPr>
              <w:t>note du compte</w:t>
            </w:r>
          </w:p>
        </w:tc>
      </w:tr>
    </w:tbl>
    <w:p>
      <w:pPr>
        <w:spacing w:after="0"/>
      </w:pP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2041"/>
        <w:gridCol w:w="7824"/>
      </w:tblGrid>
      <w:tr>
        <w:trPr>
          <w:tblHeader w:val="true"/>
        </w:trPr>
        <w:tc>
          <w:tcPr>
            <w:tcW w:type="dxa" w:w="2041"/>
            <w:shd w:val="clear" w:color="auto" w:fill="EE5B22"/>
          </w:tcPr>
          <w:p>
            <w:r>
              <w:rPr>
                <w:rFonts w:ascii="Inter" w:hAnsi="Inter" w:eastAsia="Inter"/>
                <w:b/>
                <w:i w:val="0"/>
                <w:color w:val="FFFFFF"/>
                <w:sz w:val="18"/>
              </w:rPr>
            </w:r>
          </w:p>
        </w:tc>
        <w:tc>
          <w:tcPr>
            <w:tcW w:type="dxa" w:w="7824"/>
            <w:shd w:val="clear" w:color="auto" w:fill="EE5B22"/>
          </w:tcPr>
          <w:p>
            <w:r>
              <w:rPr>
                <w:rFonts w:ascii="Inter" w:hAnsi="Inter" w:eastAsia="Inter"/>
                <w:b/>
                <w:i w:val="0"/>
                <w:color w:val="FFFFFF"/>
                <w:sz w:val="18"/>
              </w:rPr>
              <w:t>Ce qu'on sait</w:t>
            </w:r>
          </w:p>
        </w:tc>
      </w:tr>
      <w:tr>
        <w:tc>
          <w:tcPr>
            <w:tcW w:type="dxa" w:w="2041"/>
          </w:tcPr>
          <w:p>
            <w:pPr>
              <w:spacing w:after="20"/>
            </w:pPr>
            <w:r>
              <w:rPr>
                <w:rFonts w:ascii="Inter" w:hAnsi="Inter" w:eastAsia="Inter"/>
                <w:b/>
                <w:i w:val="0"/>
                <w:color w:val="11202E"/>
                <w:sz w:val="18"/>
              </w:rPr>
              <w:t>🏢 Activité</w:t>
            </w:r>
          </w:p>
        </w:tc>
        <w:tc>
          <w:tcPr>
            <w:tcW w:type="dxa" w:w="7824"/>
          </w:tcPr>
          <w:p>
            <w:pPr>
              <w:spacing w:after="20"/>
            </w:pPr>
            <w:r>
              <w:rPr>
                <w:rFonts w:ascii="Inter" w:hAnsi="Inter" w:eastAsia="Inter"/>
                <w:b w:val="0"/>
                <w:i w:val="0"/>
                <w:color w:val="11202E"/>
                <w:sz w:val="18"/>
              </w:rPr>
              <w:t>Concessionnaire exclusif Caterpillar en Côte d'Ivoire : vente et location d'engins, pièces de rechange, entretien et formation. Agences à Abidjan, San-Pédro et Bouaké.</w:t>
            </w:r>
          </w:p>
        </w:tc>
      </w:tr>
      <w:tr>
        <w:tc>
          <w:tcPr>
            <w:tcW w:type="dxa" w:w="2041"/>
            <w:shd w:val="clear" w:color="auto" w:fill="F6F8FA"/>
          </w:tcPr>
          <w:p>
            <w:pPr>
              <w:spacing w:after="20"/>
            </w:pPr>
            <w:r>
              <w:rPr>
                <w:rFonts w:ascii="Inter" w:hAnsi="Inter" w:eastAsia="Inter"/>
                <w:b/>
                <w:i w:val="0"/>
                <w:color w:val="11202E"/>
                <w:sz w:val="18"/>
              </w:rPr>
              <w:t>📍 Où</w:t>
            </w:r>
          </w:p>
        </w:tc>
        <w:tc>
          <w:tcPr>
            <w:tcW w:type="dxa" w:w="7824"/>
            <w:shd w:val="clear" w:color="auto" w:fill="F6F8FA"/>
          </w:tcPr>
          <w:p>
            <w:pPr>
              <w:spacing w:after="20"/>
            </w:pPr>
            <w:r>
              <w:rPr>
                <w:rFonts w:ascii="Inter" w:hAnsi="Inter" w:eastAsia="Inter"/>
                <w:b w:val="0"/>
                <w:i w:val="0"/>
                <w:color w:val="11202E"/>
                <w:sz w:val="18"/>
              </w:rPr>
              <w:t>Route de Dabou, Yopougon : 13 500 m² de bâtiments couverts sur environ 10 hectares.</w:t>
            </w:r>
          </w:p>
        </w:tc>
      </w:tr>
      <w:tr>
        <w:tc>
          <w:tcPr>
            <w:tcW w:type="dxa" w:w="2041"/>
          </w:tcPr>
          <w:p>
            <w:pPr>
              <w:spacing w:after="20"/>
            </w:pPr>
            <w:r>
              <w:rPr>
                <w:rFonts w:ascii="Inter" w:hAnsi="Inter" w:eastAsia="Inter"/>
                <w:b/>
                <w:i w:val="0"/>
                <w:color w:val="11202E"/>
                <w:sz w:val="18"/>
              </w:rPr>
              <w:t>📰 Actualité</w:t>
            </w:r>
          </w:p>
        </w:tc>
        <w:tc>
          <w:tcPr>
            <w:tcW w:type="dxa" w:w="7824"/>
          </w:tcPr>
          <w:p>
            <w:pPr>
              <w:spacing w:after="20"/>
            </w:pPr>
            <w:r>
              <w:rPr>
                <w:rFonts w:ascii="Inter" w:hAnsi="Inter" w:eastAsia="Inter"/>
                <w:b w:val="0"/>
                <w:i w:val="0"/>
                <w:color w:val="11202E"/>
                <w:sz w:val="18"/>
              </w:rPr>
              <w:t>Stock régional à Yopougon pour 500 machines et 1 000 groupes électrogènes, plus de 20 millions d'euros de matériel (inauguré en 2024). Nouveau centre de formation en avril 2026. Fournisseur principal de la mine de Koné (Montage Gold).</w:t>
            </w:r>
          </w:p>
        </w:tc>
      </w:tr>
      <w:tr>
        <w:tc>
          <w:tcPr>
            <w:tcW w:type="dxa" w:w="2041"/>
            <w:shd w:val="clear" w:color="auto" w:fill="F6F8FA"/>
          </w:tcPr>
          <w:p>
            <w:pPr>
              <w:spacing w:after="20"/>
            </w:pPr>
            <w:r>
              <w:rPr>
                <w:rFonts w:ascii="Inter" w:hAnsi="Inter" w:eastAsia="Inter"/>
                <w:b/>
                <w:i w:val="0"/>
                <w:color w:val="11202E"/>
                <w:sz w:val="18"/>
              </w:rPr>
              <w:t>📦 Besoin probable</w:t>
            </w:r>
          </w:p>
        </w:tc>
        <w:tc>
          <w:tcPr>
            <w:tcW w:type="dxa" w:w="7824"/>
            <w:shd w:val="clear" w:color="auto" w:fill="F6F8FA"/>
          </w:tcPr>
          <w:p>
            <w:pPr>
              <w:spacing w:after="20"/>
            </w:pPr>
            <w:r>
              <w:rPr>
                <w:rFonts w:ascii="Inter" w:hAnsi="Inter" w:eastAsia="Inter"/>
                <w:b w:val="0"/>
                <w:i w:val="0"/>
                <w:color w:val="11202E"/>
                <w:sz w:val="18"/>
              </w:rPr>
              <w:t>Terre-plein pour engins en attente de livraison quand le stock régional est plein, pièces lourdes, transport hors-gabarit vers les chantiers et les mines.</w:t>
            </w:r>
          </w:p>
        </w:tc>
      </w:tr>
      <w:tr>
        <w:tc>
          <w:tcPr>
            <w:tcW w:type="dxa" w:w="2041"/>
          </w:tcPr>
          <w:p>
            <w:pPr>
              <w:spacing w:after="20"/>
            </w:pPr>
            <w:r>
              <w:rPr>
                <w:rFonts w:ascii="Inter" w:hAnsi="Inter" w:eastAsia="Inter"/>
                <w:b/>
                <w:i w:val="0"/>
                <w:color w:val="11202E"/>
                <w:sz w:val="18"/>
              </w:rPr>
              <w:t>🏬 Parc à proposer</w:t>
            </w:r>
          </w:p>
        </w:tc>
        <w:tc>
          <w:tcPr>
            <w:tcW w:type="dxa" w:w="7824"/>
          </w:tcPr>
          <w:p>
            <w:pPr>
              <w:spacing w:after="20"/>
            </w:pPr>
            <w:r>
              <w:rPr>
                <w:rFonts w:ascii="Inter" w:hAnsi="Inter" w:eastAsia="Inter"/>
                <w:b w:val="0"/>
                <w:i w:val="0"/>
                <w:color w:val="11202E"/>
                <w:sz w:val="18"/>
              </w:rPr>
              <w:t>Yopougon (même zone) et le terre-plein de 70 000 m² ; chariots jusqu'à 45 tonnes.</w:t>
            </w:r>
          </w:p>
        </w:tc>
      </w:tr>
    </w:tbl>
    <w:p>
      <w:pPr>
        <w:spacing w:after="0"/>
      </w:pPr>
    </w:p>
    <w:p>
      <w:pPr>
        <w:spacing w:after="60"/>
      </w:pPr>
      <w:r>
        <w:rPr>
          <w:rFonts w:ascii="Inter" w:hAnsi="Inter" w:eastAsia="Inter"/>
          <w:b/>
          <w:i w:val="0"/>
          <w:color w:val="11202E"/>
          <w:sz w:val="22"/>
        </w:rPr>
        <w:t>Qui rencontrer</w:t>
      </w:r>
    </w:p>
    <w:tbl>
      <w:tblPr>
        <w:tblStyle w:val="TableGrid"/>
        <w:jc w:val="center"/>
        <w:tblLook w:firstColumn="1" w:firstRow="1" w:lastColumn="0" w:lastRow="0" w:noHBand="0" w:noVBand="1" w:val="04A0"/>
        <w:tblW w:w="9865" w:type="dxa"/>
        <w:tblLayout w:type="fixed"/>
        <w:tblBorders>
          <w:top w:val="single" w:sz="4" w:color="D8E0E6"/>
          <w:left w:val="single" w:sz="4" w:color="D8E0E6"/>
          <w:bottom w:val="single" w:sz="4" w:color="D8E0E6"/>
          <w:right w:val="single" w:sz="4" w:color="D8E0E6"/>
          <w:insideH w:val="single" w:sz="4" w:color="D8E0E6"/>
          <w:insideV w:val="single" w:sz="4" w:color="D8E0E6"/>
        </w:tblBorders>
      </w:tblPr>
      <w:tblGrid>
        <w:gridCol w:w="3628"/>
        <w:gridCol w:w="2948"/>
        <w:gridCol w:w="3288"/>
      </w:tblGrid>
      <w:tr>
        <w:trPr>
          <w:tblHeader w:val="true"/>
        </w:trPr>
        <w:tc>
          <w:tcPr>
            <w:tcW w:type="dxa" w:w="3628"/>
            <w:shd w:val="clear" w:color="auto" w:fill="EE5B22"/>
          </w:tcPr>
          <w:p>
            <w:r>
              <w:rPr>
                <w:rFonts w:ascii="Inter" w:hAnsi="Inter" w:eastAsia="Inter"/>
                <w:b/>
                <w:i w:val="0"/>
                <w:color w:val="FFFFFF"/>
                <w:sz w:val="18"/>
              </w:rPr>
              <w:t>Personne</w:t>
            </w:r>
          </w:p>
        </w:tc>
        <w:tc>
          <w:tcPr>
            <w:tcW w:type="dxa" w:w="2948"/>
            <w:shd w:val="clear" w:color="auto" w:fill="EE5B22"/>
          </w:tcPr>
          <w:p>
            <w:r>
              <w:rPr>
                <w:rFonts w:ascii="Inter" w:hAnsi="Inter" w:eastAsia="Inter"/>
                <w:b/>
                <w:i w:val="0"/>
                <w:color w:val="FFFFFF"/>
                <w:sz w:val="18"/>
              </w:rPr>
              <w:t>Rôle dans la décision</w:t>
            </w:r>
          </w:p>
        </w:tc>
        <w:tc>
          <w:tcPr>
            <w:tcW w:type="dxa" w:w="3288"/>
            <w:shd w:val="clear" w:color="auto" w:fill="EE5B22"/>
          </w:tcPr>
          <w:p>
            <w:r>
              <w:rPr>
                <w:rFonts w:ascii="Inter" w:hAnsi="Inter" w:eastAsia="Inter"/>
                <w:b/>
                <w:i w:val="0"/>
                <w:color w:val="FFFFFF"/>
                <w:sz w:val="18"/>
              </w:rPr>
              <w:t>Où la trouver</w:t>
            </w:r>
          </w:p>
        </w:tc>
      </w:tr>
      <w:tr>
        <w:tc>
          <w:tcPr>
            <w:tcW w:type="dxa" w:w="3628"/>
          </w:tcPr>
          <w:p>
            <w:pPr>
              <w:spacing w:after="20"/>
            </w:pPr>
            <w:r>
              <w:rPr>
                <w:rFonts w:ascii="Inter" w:hAnsi="Inter" w:eastAsia="Inter"/>
                <w:b/>
                <w:i w:val="0"/>
                <w:color w:val="11202E"/>
                <w:sz w:val="18"/>
              </w:rPr>
              <w:t>Régis Apetey, directeur général</w:t>
            </w:r>
          </w:p>
        </w:tc>
        <w:tc>
          <w:tcPr>
            <w:tcW w:type="dxa" w:w="2948"/>
          </w:tcPr>
          <w:p>
            <w:pPr>
              <w:spacing w:after="20"/>
            </w:pPr>
            <w:r>
              <w:rPr>
                <w:rFonts w:ascii="Inter" w:hAnsi="Inter" w:eastAsia="Inter"/>
                <w:b w:val="0"/>
                <w:i w:val="0"/>
                <w:color w:val="11202E"/>
                <w:sz w:val="18"/>
              </w:rPr>
              <w:t>Signe, porte la vision « plus que des machines »</w:t>
            </w:r>
          </w:p>
        </w:tc>
        <w:tc>
          <w:tcPr>
            <w:tcW w:type="dxa" w:w="3288"/>
          </w:tcPr>
          <w:p>
            <w:pPr>
              <w:spacing w:after="20"/>
            </w:pPr>
            <w:r>
              <w:rPr>
                <w:rFonts w:ascii="Inter" w:hAnsi="Inter" w:eastAsia="Inter"/>
                <w:b w:val="0"/>
                <w:i w:val="0"/>
                <w:color w:val="11202E"/>
                <w:sz w:val="18"/>
              </w:rPr>
              <w:t>Presse (Agence Ecofin, APA)</w:t>
            </w:r>
          </w:p>
        </w:tc>
      </w:tr>
      <w:tr>
        <w:tc>
          <w:tcPr>
            <w:tcW w:type="dxa" w:w="3628"/>
            <w:shd w:val="clear" w:color="auto" w:fill="F6F8FA"/>
          </w:tcPr>
          <w:p>
            <w:pPr>
              <w:spacing w:after="20"/>
            </w:pPr>
            <w:r>
              <w:rPr>
                <w:rFonts w:ascii="Inter" w:hAnsi="Inter" w:eastAsia="Inter"/>
                <w:b/>
                <w:i w:val="0"/>
                <w:color w:val="11202E"/>
                <w:sz w:val="18"/>
              </w:rPr>
              <w:t>Pamela Koukoui, directrice logistique</w:t>
            </w:r>
          </w:p>
        </w:tc>
        <w:tc>
          <w:tcPr>
            <w:tcW w:type="dxa" w:w="2948"/>
            <w:shd w:val="clear" w:color="auto" w:fill="F6F8FA"/>
          </w:tcPr>
          <w:p>
            <w:pPr>
              <w:spacing w:after="20"/>
            </w:pPr>
            <w:r>
              <w:rPr>
                <w:rFonts w:ascii="Inter" w:hAnsi="Inter" w:eastAsia="Inter"/>
                <w:b w:val="0"/>
                <w:i w:val="0"/>
                <w:color w:val="11202E"/>
                <w:sz w:val="18"/>
              </w:rPr>
              <w:t>Choisit</w:t>
            </w:r>
          </w:p>
        </w:tc>
        <w:tc>
          <w:tcPr>
            <w:tcW w:type="dxa" w:w="3288"/>
            <w:shd w:val="clear" w:color="auto" w:fill="F6F8FA"/>
          </w:tcPr>
          <w:p>
            <w:pPr>
              <w:spacing w:after="20"/>
            </w:pPr>
            <w:r>
              <w:rPr>
                <w:rFonts w:ascii="Inter" w:hAnsi="Inter" w:eastAsia="Inter"/>
                <w:b w:val="0"/>
                <w:i w:val="0"/>
                <w:color w:val="11202E"/>
                <w:sz w:val="18"/>
              </w:rPr>
              <w:t>LinkedIn (poste confirmé)</w:t>
            </w:r>
          </w:p>
        </w:tc>
      </w:tr>
      <w:tr>
        <w:tc>
          <w:tcPr>
            <w:tcW w:type="dxa" w:w="3628"/>
          </w:tcPr>
          <w:p>
            <w:pPr>
              <w:spacing w:after="20"/>
            </w:pPr>
            <w:r>
              <w:rPr>
                <w:rFonts w:ascii="Inter" w:hAnsi="Inter" w:eastAsia="Inter"/>
                <w:b/>
                <w:i w:val="0"/>
                <w:color w:val="11202E"/>
                <w:sz w:val="18"/>
              </w:rPr>
              <w:t>Didier Gnanvou Kouakou, responsable supply chain</w:t>
            </w:r>
          </w:p>
        </w:tc>
        <w:tc>
          <w:tcPr>
            <w:tcW w:type="dxa" w:w="2948"/>
          </w:tcPr>
          <w:p>
            <w:pPr>
              <w:spacing w:after="20"/>
            </w:pPr>
            <w:r>
              <w:rPr>
                <w:rFonts w:ascii="Inter" w:hAnsi="Inter" w:eastAsia="Inter"/>
                <w:b w:val="0"/>
                <w:i w:val="0"/>
                <w:color w:val="11202E"/>
                <w:sz w:val="18"/>
              </w:rPr>
              <w:t>Vit le problème au quotidien</w:t>
            </w:r>
          </w:p>
        </w:tc>
        <w:tc>
          <w:tcPr>
            <w:tcW w:type="dxa" w:w="3288"/>
          </w:tcPr>
          <w:p>
            <w:pPr>
              <w:spacing w:after="20"/>
            </w:pPr>
            <w:r>
              <w:rPr>
                <w:rFonts w:ascii="Inter" w:hAnsi="Inter" w:eastAsia="Inter"/>
                <w:b w:val="0"/>
                <w:i w:val="0"/>
                <w:color w:val="11202E"/>
                <w:sz w:val="18"/>
              </w:rPr>
              <w:t>LinkedIn (poste à confirmer)</w:t>
            </w:r>
          </w:p>
        </w:tc>
      </w:tr>
    </w:tbl>
    <w:p>
      <w:pPr>
        <w:spacing w:after="0"/>
      </w:pP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Inter" w:hAnsi="Inter" w:eastAsia="Inter"/>
                <w:b/>
                <w:i w:val="0"/>
                <w:color w:val="EE5B22"/>
                <w:sz w:val="20"/>
              </w:rPr>
              <w:t>💬 L'angle d'attaque</w:t>
            </w:r>
          </w:p>
          <w:p>
            <w:pPr>
              <w:spacing w:after="20"/>
            </w:pPr>
            <w:r>
              <w:rPr>
                <w:rFonts w:ascii="Inter" w:hAnsi="Inter" w:eastAsia="Inter"/>
                <w:b w:val="0"/>
                <w:i w:val="0"/>
                <w:color w:val="11202E"/>
                <w:sz w:val="19"/>
              </w:rPr>
              <w:t>« Votre stock régional vous fait livrer une machine en 7 jours en Côte d'Ivoire. Quand il déborde, nos 70 000 m² de terre-plein et nos chariots de 45 tonnes, dans la même zone, gardent ce délai intact. »</w:t>
            </w:r>
          </w:p>
        </w:tc>
      </w:tr>
    </w:tbl>
    <w:p>
      <w:pPr>
        <w:spacing w:after="0"/>
      </w:pPr>
    </w:p>
    <w:p>
      <w:pPr>
        <w:spacing w:after="60"/>
      </w:pPr>
      <w:r>
        <w:rPr>
          <w:rFonts w:ascii="Inter" w:hAnsi="Inter" w:eastAsia="Inter"/>
          <w:b/>
          <w:i w:val="0"/>
          <w:color w:val="11202E"/>
          <w:sz w:val="22"/>
        </w:rPr>
        <w:t>Les 5 questions à poser</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Votre stock régional est-il déjà plein à certaines périodes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Où attendent les machines vendues avant la livraison au client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Comment transportez-vous les engins vers San-Pédro, Bouaké et les mines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Les pièces lourdes et les groupes électrogènes ont-ils leur propre zone ?</w:t>
      </w:r>
    </w:p>
    <w:p>
      <w:pPr>
        <w:spacing w:after="40"/>
        <w:ind w:left="283" w:hanging="198"/>
      </w:pPr>
      <w:r>
        <w:rPr>
          <w:rFonts w:ascii="Inter" w:hAnsi="Inter" w:eastAsia="Inter"/>
          <w:b/>
          <w:i w:val="0"/>
          <w:color w:val="EE5B22"/>
          <w:sz w:val="20"/>
        </w:rPr>
        <w:t xml:space="preserve">• </w:t>
      </w:r>
      <w:r>
        <w:rPr>
          <w:rFonts w:ascii="Inter" w:hAnsi="Inter" w:eastAsia="Inter"/>
          <w:b w:val="0"/>
          <w:i w:val="0"/>
          <w:color w:val="11202E"/>
          <w:sz w:val="20"/>
        </w:rPr>
        <w:t>Qui, chez vous, doit voir notre parc avant de décider ?</w:t>
      </w:r>
    </w:p>
    <w:tbl>
      <w:tblPr>
        <w:tblLook w:firstColumn="1" w:firstRow="1" w:lastColumn="0" w:lastRow="0" w:noHBand="0" w:noVBand="1" w:val="04A0"/>
        <w:tblW w:w="9865" w:type="dxa"/>
        <w:tblLayout w:type="fixed"/>
      </w:tblPr>
      <w:tblGrid>
        <w:gridCol w:w="9865"/>
      </w:tblGrid>
      <w:tr>
        <w:tc>
          <w:tcPr>
            <w:tcW w:type="dxa" w:w="9865"/>
            <w:shd w:val="clear" w:color="auto" w:fill="F6F8FA"/>
          </w:tcPr>
          <w:p>
            <w:r>
              <w:rPr>
                <w:rFonts w:ascii="Inter" w:hAnsi="Inter" w:eastAsia="Inter"/>
                <w:b/>
                <w:i w:val="0"/>
                <w:color w:val="EE5B22"/>
                <w:sz w:val="20"/>
              </w:rPr>
              <w:t>⚠️ L'objection à prévoir</w:t>
            </w:r>
          </w:p>
          <w:p>
            <w:pPr>
              <w:spacing w:after="20"/>
            </w:pPr>
            <w:r>
              <w:rPr>
                <w:rFonts w:ascii="Inter" w:hAnsi="Inter" w:eastAsia="Inter"/>
                <w:b/>
                <w:i w:val="0"/>
                <w:color w:val="11202E"/>
                <w:sz w:val="19"/>
              </w:rPr>
              <w:t xml:space="preserve">« Nous avons nos propres 10 hectares. » </w:t>
            </w:r>
            <w:r>
              <w:rPr>
                <w:rFonts w:ascii="Inter" w:hAnsi="Inter" w:eastAsia="Inter"/>
                <w:b w:val="0"/>
                <w:i w:val="0"/>
                <w:color w:val="11202E"/>
                <w:sz w:val="19"/>
              </w:rPr>
              <w:t>C'est justement l'argument : on ne remplace pas leur site, on prend le surplus et les pointes, sans qu'ils aient à investir dans plus de surface.</w:t>
            </w:r>
          </w:p>
        </w:tc>
      </w:tr>
    </w:tbl>
    <w:p>
      <w:pPr>
        <w:spacing w:after="0"/>
      </w:pPr>
    </w:p>
    <w:p>
      <w:pPr>
        <w:spacing w:after="60"/>
      </w:pPr>
      <w:r>
        <w:rPr>
          <w:rFonts w:ascii="Inter" w:hAnsi="Inter" w:eastAsia="Inter"/>
          <w:b w:val="0"/>
          <w:i/>
          <w:color w:val="6B8195"/>
          <w:sz w:val="17"/>
        </w:rPr>
        <w:t>Les informations publiques viennent des sites officiels d'UbiPharm et de Neemba et de la presse économique (août et septembre 2026). Aucun prix ni délai ne s'annonce sans l'accord de la direction de Proline.</w:t>
      </w:r>
    </w:p>
    <w:sectPr w:rsidR="00FC693F" w:rsidRPr="0006063C" w:rsidSect="00034616">
      <w:headerReference w:type="default" r:id="rId9"/>
      <w:footerReference w:type="default" r:id="rId10"/>
      <w:pgSz w:w="11906" w:h="16838"/>
      <w:pgMar w:top="907" w:right="1020" w:bottom="85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Inter" w:hAnsi="Inter" w:eastAsia="Inter"/>
        <w:b w:val="0"/>
        <w:i w:val="0"/>
        <w:color w:val="5F5F64"/>
        <w:sz w:val="16"/>
      </w:rPr>
      <w:t xml:space="preserve">PROLINE LOGISTICS · 30 octobre 2026 · document de travail commercial · page </w:t>
    </w:r>
    <w:fldSimple w:instr="PAGE">
      <w:r>
        <w:rPr>
          <w:sz w:val="16"/>
          <w:color w:val="5F5F64"/>
        </w:rPr>
        <w:t>1</w:t>
      </w:r>
    </w:fldSimple>
    <w:r>
      <w:rPr>
        <w:rFonts w:ascii="Inter" w:hAnsi="Inter" w:eastAsia="Inter"/>
        <w:b w:val="0"/>
        <w:i w:val="0"/>
        <w:color w:val="5F5F64"/>
        <w:sz w:val="16"/>
      </w:rPr>
      <w:t xml:space="preserve"> / </w:t>
    </w:r>
    <w:fldSimple w:instr="NUMPAGES">
      <w:r>
        <w:rPr>
          <w:sz w:val="16"/>
          <w:color w:val="5F5F6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904186" cy="324000"/>
          <wp:docPr id="1" name="Picture 1"/>
          <wp:cNvGraphicFramePr>
            <a:graphicFrameLocks noChangeAspect="1"/>
          </wp:cNvGraphicFramePr>
          <a:graphic>
            <a:graphicData uri="http://schemas.openxmlformats.org/drawingml/2006/picture">
              <pic:pic>
                <pic:nvPicPr>
                  <pic:cNvPr id="0" name="prl_logo.png"/>
                  <pic:cNvPicPr/>
                </pic:nvPicPr>
                <pic:blipFill>
                  <a:blip r:embed="rId1"/>
                  <a:stretch>
                    <a:fillRect/>
                  </a:stretch>
                </pic:blipFill>
                <pic:spPr>
                  <a:xfrm>
                    <a:off x="0" y="0"/>
                    <a:ext cx="904186" cy="324000"/>
                  </a:xfrm>
                  <a:prstGeom prst="rect"/>
                </pic:spPr>
              </pic:pic>
            </a:graphicData>
          </a:graphic>
        </wp:inline>
      </w:drawing>
    </w:r>
    <w:r>
      <w:rPr>
        <w:rFonts w:ascii="Inter" w:hAnsi="Inter" w:eastAsia="Inter"/>
        <w:b w:val="0"/>
        <w:i w:val="0"/>
        <w:color w:val="5F5F64"/>
        <w:sz w:val="16"/>
      </w:rPr>
      <w:t xml:space="preserve">      Fiches compte avant rendez-vous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Inter" w:hAnsi="Inter" w:eastAsia="Inte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