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W w:w="9865" w:type="dxa"/>
        <w:tblLayout w:type="fixed"/>
      </w:tblPr>
      <w:tblGrid>
        <w:gridCol w:w="9865"/>
      </w:tblGrid>
      <w:tr>
        <w:tc>
          <w:tcPr>
            <w:tcW w:type="dxa" w:w="9865"/>
            <w:shd w:val="clear" w:color="auto" w:fill="D9501C"/>
          </w:tcPr>
          <w:p>
            <w:pPr>
              <w:spacing w:before="120" w:after="40"/>
              <w:jc w:val="center"/>
            </w:pPr>
            <w:r>
              <w:rPr>
                <w:rFonts w:ascii="Space Grotesk" w:hAnsi="Space Grotesk" w:eastAsia="Space Grotesk"/>
                <w:b/>
                <w:i w:val="0"/>
                <w:color w:val="FFFFFF"/>
                <w:sz w:val="36"/>
              </w:rPr>
              <w:t>🛡️ Argumentaire commercial face aux concurrents</w:t>
            </w:r>
          </w:p>
          <w:p>
            <w:pPr>
              <w:spacing w:after="120"/>
              <w:jc w:val="center"/>
            </w:pPr>
            <w:r>
              <w:rPr>
                <w:rFonts w:ascii="Inter" w:hAnsi="Inter" w:eastAsia="Inter"/>
                <w:b w:val="0"/>
                <w:i w:val="0"/>
                <w:color w:val="FFE3D6"/>
                <w:sz w:val="19"/>
              </w:rPr>
              <w:t>Comment gagner un client quand il compare Proline à AGL, Ayiman, LTA, OTL ou CAP Logistics</w:t>
            </w:r>
          </w:p>
        </w:tc>
      </w:tr>
    </w:tbl>
    <w:p>
      <w:pPr>
        <w:spacing w:after="0"/>
      </w:pPr>
    </w:p>
    <w:tbl>
      <w:tblPr>
        <w:tblLook w:firstColumn="1" w:firstRow="1" w:lastColumn="0" w:lastRow="0" w:noHBand="0" w:noVBand="1" w:val="04A0"/>
        <w:tblW w:w="9865" w:type="dxa"/>
        <w:tblLayout w:type="fixed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F6F8FA"/>
          </w:tcPr>
          <w:p>
            <w:pPr>
              <w:spacing w:before="80"/>
              <w:jc w:val="center"/>
            </w:pPr>
            <w:r>
              <w:rPr>
                <w:rFonts w:ascii="Inter" w:hAnsi="Inter" w:eastAsia="Inter"/>
                <w:b w:val="0"/>
                <w:i w:val="0"/>
                <w:color w:val="11202E"/>
                <w:sz w:val="36"/>
              </w:rPr>
              <w:t>🏗️</w:t>
            </w:r>
          </w:p>
          <w:p>
            <w:pPr>
              <w:spacing w:after="0"/>
              <w:jc w:val="center"/>
            </w:pPr>
            <w:r>
              <w:rPr>
                <w:rFonts w:ascii="Inter" w:hAnsi="Inter" w:eastAsia="Inter"/>
                <w:b/>
                <w:i w:val="0"/>
                <w:color w:val="D9501C"/>
                <w:sz w:val="32"/>
              </w:rPr>
              <w:t>4 parcs</w:t>
            </w:r>
          </w:p>
          <w:p>
            <w:pPr>
              <w:spacing w:after="80"/>
              <w:jc w:val="center"/>
            </w:pPr>
            <w:r>
              <w:rPr>
                <w:rFonts w:ascii="Inter" w:hAnsi="Inter" w:eastAsia="Inter"/>
                <w:b w:val="0"/>
                <w:i w:val="0"/>
                <w:color w:val="5F5F64"/>
                <w:sz w:val="16"/>
              </w:rPr>
              <w:t>Yopougon, Vridi, AeroHub, Ndotre</w:t>
            </w:r>
          </w:p>
        </w:tc>
        <w:tc>
          <w:tcPr>
            <w:tcW w:type="dxa" w:w="2466"/>
            <w:shd w:val="clear" w:color="auto" w:fill="EEF2F5"/>
          </w:tcPr>
          <w:p>
            <w:pPr>
              <w:spacing w:before="80"/>
              <w:jc w:val="center"/>
            </w:pPr>
            <w:r>
              <w:rPr>
                <w:rFonts w:ascii="Inter" w:hAnsi="Inter" w:eastAsia="Inter"/>
                <w:b w:val="0"/>
                <w:i w:val="0"/>
                <w:color w:val="11202E"/>
                <w:sz w:val="36"/>
              </w:rPr>
              <w:t>📦</w:t>
            </w:r>
          </w:p>
          <w:p>
            <w:pPr>
              <w:spacing w:after="0"/>
              <w:jc w:val="center"/>
            </w:pPr>
            <w:r>
              <w:rPr>
                <w:rFonts w:ascii="Inter" w:hAnsi="Inter" w:eastAsia="Inter"/>
                <w:b/>
                <w:i w:val="0"/>
                <w:color w:val="D9501C"/>
                <w:sz w:val="32"/>
              </w:rPr>
              <w:t>43 000 m²</w:t>
            </w:r>
          </w:p>
          <w:p>
            <w:pPr>
              <w:spacing w:after="80"/>
              <w:jc w:val="center"/>
            </w:pPr>
            <w:r>
              <w:rPr>
                <w:rFonts w:ascii="Inter" w:hAnsi="Inter" w:eastAsia="Inter"/>
                <w:b w:val="0"/>
                <w:i w:val="0"/>
                <w:color w:val="5F5F64"/>
                <w:sz w:val="16"/>
              </w:rPr>
              <w:t>d'entrepôts rackés</w:t>
            </w:r>
          </w:p>
        </w:tc>
        <w:tc>
          <w:tcPr>
            <w:tcW w:type="dxa" w:w="2466"/>
            <w:shd w:val="clear" w:color="auto" w:fill="F6F8FA"/>
          </w:tcPr>
          <w:p>
            <w:pPr>
              <w:spacing w:before="80"/>
              <w:jc w:val="center"/>
            </w:pPr>
            <w:r>
              <w:rPr>
                <w:rFonts w:ascii="Inter" w:hAnsi="Inter" w:eastAsia="Inter"/>
                <w:b w:val="0"/>
                <w:i w:val="0"/>
                <w:color w:val="11202E"/>
                <w:sz w:val="36"/>
              </w:rPr>
              <w:t>🏗️</w:t>
            </w:r>
          </w:p>
          <w:p>
            <w:pPr>
              <w:spacing w:after="0"/>
              <w:jc w:val="center"/>
            </w:pPr>
            <w:r>
              <w:rPr>
                <w:rFonts w:ascii="Inter" w:hAnsi="Inter" w:eastAsia="Inter"/>
                <w:b/>
                <w:i w:val="0"/>
                <w:color w:val="D9501C"/>
                <w:sz w:val="32"/>
              </w:rPr>
              <w:t>30 chariots</w:t>
            </w:r>
          </w:p>
          <w:p>
            <w:pPr>
              <w:spacing w:after="80"/>
              <w:jc w:val="center"/>
            </w:pPr>
            <w:r>
              <w:rPr>
                <w:rFonts w:ascii="Inter" w:hAnsi="Inter" w:eastAsia="Inter"/>
                <w:b w:val="0"/>
                <w:i w:val="0"/>
                <w:color w:val="5F5F64"/>
                <w:sz w:val="16"/>
              </w:rPr>
              <w:t>de 2,5 à 45 tonnes</w:t>
            </w:r>
          </w:p>
        </w:tc>
        <w:tc>
          <w:tcPr>
            <w:tcW w:type="dxa" w:w="2466"/>
            <w:shd w:val="clear" w:color="auto" w:fill="EEF2F5"/>
          </w:tcPr>
          <w:p>
            <w:pPr>
              <w:spacing w:before="80"/>
              <w:jc w:val="center"/>
            </w:pPr>
            <w:r>
              <w:rPr>
                <w:rFonts w:ascii="Inter" w:hAnsi="Inter" w:eastAsia="Inter"/>
                <w:b w:val="0"/>
                <w:i w:val="0"/>
                <w:color w:val="11202E"/>
                <w:sz w:val="36"/>
              </w:rPr>
              <w:t>⏱️</w:t>
            </w:r>
          </w:p>
          <w:p>
            <w:pPr>
              <w:spacing w:after="0"/>
              <w:jc w:val="center"/>
            </w:pPr>
            <w:r>
              <w:rPr>
                <w:rFonts w:ascii="Inter" w:hAnsi="Inter" w:eastAsia="Inter"/>
                <w:b/>
                <w:i w:val="0"/>
                <w:color w:val="D9501C"/>
                <w:sz w:val="32"/>
              </w:rPr>
              <w:t>24 h</w:t>
            </w:r>
          </w:p>
          <w:p>
            <w:pPr>
              <w:spacing w:after="80"/>
              <w:jc w:val="center"/>
            </w:pPr>
            <w:r>
              <w:rPr>
                <w:rFonts w:ascii="Inter" w:hAnsi="Inter" w:eastAsia="Inter"/>
                <w:b w:val="0"/>
                <w:i w:val="0"/>
                <w:color w:val="5F5F64"/>
                <w:sz w:val="16"/>
              </w:rPr>
              <w:t>pour répondre à une demande</w:t>
            </w:r>
          </w:p>
        </w:tc>
      </w:tr>
    </w:tbl>
    <w:p>
      <w:pPr>
        <w:spacing w:after="0"/>
      </w:pPr>
    </w:p>
    <w:p>
      <w:pPr>
        <w:keepNext/>
        <w:spacing w:before="160" w:after="60"/>
      </w:pPr>
      <w:r>
        <w:rPr>
          <w:rFonts w:ascii="Space Grotesk" w:hAnsi="Space Grotesk" w:eastAsia="Space Grotesk"/>
          <w:b/>
          <w:i w:val="0"/>
          <w:color w:val="D9501C"/>
          <w:sz w:val="25"/>
          <w:u w:val="single"/>
        </w:rPr>
        <w:t>💡 Notre position en une phrase</w:t>
      </w:r>
    </w:p>
    <w:tbl>
      <w:tblPr>
        <w:tblLook w:firstColumn="1" w:firstRow="1" w:lastColumn="0" w:lastRow="0" w:noHBand="0" w:noVBand="1" w:val="04A0"/>
        <w:tblW w:w="9865" w:type="dxa"/>
        <w:tblLayout w:type="fixed"/>
      </w:tblPr>
      <w:tblGrid>
        <w:gridCol w:w="9865"/>
      </w:tblGrid>
      <w:tr>
        <w:tc>
          <w:tcPr>
            <w:tcW w:type="dxa" w:w="9865"/>
            <w:shd w:val="clear" w:color="auto" w:fill="F6F8FA"/>
          </w:tcPr>
          <w:p>
            <w:r>
              <w:rPr>
                <w:rFonts w:ascii="Inter" w:hAnsi="Inter" w:eastAsia="Inter"/>
                <w:b/>
                <w:i w:val="0"/>
                <w:color w:val="D9501C"/>
                <w:sz w:val="20"/>
              </w:rPr>
              <w:t>À retenir et à répéter</w:t>
            </w:r>
          </w:p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11202E"/>
                <w:sz w:val="19"/>
              </w:rPr>
              <w:t>« Du quai à l'entrepôt, avec nos propres moyens : votre stock visible, vos livraisons suivies, à Yopougon, à Vridi et à l'aéroport. »</w:t>
            </w:r>
          </w:p>
          <w:p>
            <w:pPr>
              <w:spacing w:after="20"/>
            </w:pPr>
            <w:r>
              <w:rPr>
                <w:rFonts w:ascii="Inter" w:hAnsi="Inter" w:eastAsia="Inter"/>
                <w:b/>
                <w:i w:val="0"/>
                <w:color w:val="11202E"/>
                <w:sz w:val="19"/>
              </w:rPr>
              <w:t xml:space="preserve">Ce qu'on vend : </w:t>
            </w:r>
            <w:r>
              <w:rPr>
                <w:rFonts w:ascii="Inter" w:hAnsi="Inter" w:eastAsia="Inter"/>
                <w:b w:val="0"/>
                <w:i w:val="0"/>
                <w:color w:val="11202E"/>
                <w:sz w:val="19"/>
              </w:rPr>
              <w:t>la proximité (port, zone industrielle, aéroport), la preuve (rapport de stock, visite) et la réactivité (réponse sous 24 heures).</w:t>
            </w:r>
          </w:p>
          <w:p>
            <w:pPr>
              <w:spacing w:after="20"/>
            </w:pPr>
            <w:r>
              <w:rPr>
                <w:rFonts w:ascii="Inter" w:hAnsi="Inter" w:eastAsia="Inter"/>
                <w:b/>
                <w:i w:val="0"/>
                <w:color w:val="11202E"/>
                <w:sz w:val="19"/>
              </w:rPr>
              <w:t xml:space="preserve">Ce qu'on ne vend pas : </w:t>
            </w:r>
            <w:r>
              <w:rPr>
                <w:rFonts w:ascii="Inter" w:hAnsi="Inter" w:eastAsia="Inter"/>
                <w:b w:val="0"/>
                <w:i w:val="0"/>
                <w:color w:val="11202E"/>
                <w:sz w:val="19"/>
              </w:rPr>
              <w:t>la taille. Sur ce terrain, AGL gagne toujours.</w:t>
            </w:r>
          </w:p>
        </w:tc>
      </w:tr>
    </w:tbl>
    <w:p>
      <w:pPr>
        <w:spacing w:after="0"/>
      </w:pPr>
    </w:p>
    <w:p>
      <w:pPr>
        <w:keepNext/>
        <w:spacing w:before="160" w:after="60"/>
      </w:pPr>
      <w:r>
        <w:rPr>
          <w:rFonts w:ascii="Space Grotesk" w:hAnsi="Space Grotesk" w:eastAsia="Space Grotesk"/>
          <w:b/>
          <w:i w:val="0"/>
          <w:color w:val="D9501C"/>
          <w:sz w:val="25"/>
          <w:u w:val="single"/>
        </w:rPr>
        <w:t>⚔️ Face à chaque concurrent</w:t>
      </w:r>
    </w:p>
    <w:tbl>
      <w:tblPr>
        <w:tblStyle w:val="TableGrid"/>
        <w:jc w:val="center"/>
        <w:tblLook w:firstColumn="1" w:firstRow="1" w:lastColumn="0" w:lastRow="0" w:noHBand="0" w:noVBand="1" w:val="04A0"/>
        <w:tblW w:w="9865" w:type="dxa"/>
        <w:tblLayout w:type="fixed"/>
        <w:tblBorders>
          <w:top w:val="single" w:sz="4" w:color="D8E0E6"/>
          <w:left w:val="single" w:sz="4" w:color="D8E0E6"/>
          <w:bottom w:val="single" w:sz="4" w:color="D8E0E6"/>
          <w:right w:val="single" w:sz="4" w:color="D8E0E6"/>
          <w:insideH w:val="single" w:sz="4" w:color="D8E0E6"/>
          <w:insideV w:val="single" w:sz="4" w:color="D8E0E6"/>
        </w:tblBorders>
      </w:tblPr>
      <w:tblGrid>
        <w:gridCol w:w="1474"/>
        <w:gridCol w:w="2381"/>
        <w:gridCol w:w="2494"/>
        <w:gridCol w:w="3515"/>
      </w:tblGrid>
      <w:tr>
        <w:trPr>
          <w:tblHeader w:val="true"/>
        </w:trPr>
        <w:tc>
          <w:tcPr>
            <w:tcW w:type="dxa" w:w="1474"/>
            <w:shd w:val="clear" w:color="auto" w:fill="D9501C"/>
          </w:tcPr>
          <w:p>
            <w:r>
              <w:rPr>
                <w:rFonts w:ascii="Inter" w:hAnsi="Inter" w:eastAsia="Inter"/>
                <w:b/>
                <w:i w:val="0"/>
                <w:color w:val="FFFFFF"/>
                <w:sz w:val="18"/>
              </w:rPr>
              <w:t>Concurrent</w:t>
            </w:r>
          </w:p>
        </w:tc>
        <w:tc>
          <w:tcPr>
            <w:tcW w:type="dxa" w:w="2381"/>
            <w:shd w:val="clear" w:color="auto" w:fill="D9501C"/>
          </w:tcPr>
          <w:p>
            <w:r>
              <w:rPr>
                <w:rFonts w:ascii="Inter" w:hAnsi="Inter" w:eastAsia="Inter"/>
                <w:b/>
                <w:i w:val="0"/>
                <w:color w:val="FFFFFF"/>
                <w:sz w:val="18"/>
              </w:rPr>
              <w:t>Sa force</w:t>
            </w:r>
          </w:p>
        </w:tc>
        <w:tc>
          <w:tcPr>
            <w:tcW w:type="dxa" w:w="2494"/>
            <w:shd w:val="clear" w:color="auto" w:fill="D9501C"/>
          </w:tcPr>
          <w:p>
            <w:r>
              <w:rPr>
                <w:rFonts w:ascii="Inter" w:hAnsi="Inter" w:eastAsia="Inter"/>
                <w:b/>
                <w:i w:val="0"/>
                <w:color w:val="FFFFFF"/>
                <w:sz w:val="18"/>
              </w:rPr>
              <w:t>Notre angle</w:t>
            </w:r>
          </w:p>
        </w:tc>
        <w:tc>
          <w:tcPr>
            <w:tcW w:type="dxa" w:w="3515"/>
            <w:shd w:val="clear" w:color="auto" w:fill="D9501C"/>
          </w:tcPr>
          <w:p>
            <w:r>
              <w:rPr>
                <w:rFonts w:ascii="Inter" w:hAnsi="Inter" w:eastAsia="Inter"/>
                <w:b/>
                <w:i w:val="0"/>
                <w:color w:val="FFFFFF"/>
                <w:sz w:val="18"/>
              </w:rPr>
              <w:t>La phrase à dire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>
              <w:rPr>
                <w:rFonts w:ascii="Inter" w:hAnsi="Inter" w:eastAsia="Inter"/>
                <w:b/>
                <w:i w:val="0"/>
                <w:color w:val="11202E"/>
                <w:sz w:val="16"/>
              </w:rPr>
              <w:t>AGL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11202E"/>
                <w:sz w:val="16"/>
              </w:rPr>
              <w:t>Taille (315 000 m² en Côte d'Ivoire), froid, logiciel maison</w:t>
            </w:r>
          </w:p>
        </w:tc>
        <w:tc>
          <w:tcPr>
            <w:tcW w:type="dxa" w:w="2494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11202E"/>
                <w:sz w:val="16"/>
              </w:rPr>
              <w:t>Un client moyen est mieux servi par un acteur où il compte</w:t>
            </w:r>
          </w:p>
        </w:tc>
        <w:tc>
          <w:tcPr>
            <w:tcW w:type="dxa" w:w="3515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11202E"/>
                <w:sz w:val="16"/>
              </w:rPr>
              <w:t>« Chez nous, votre stock n'est pas une ligne parmi des milliers : vous avez un interlocuteur qui répond sous 24 heures. »</w:t>
            </w:r>
          </w:p>
        </w:tc>
      </w:tr>
      <w:tr>
        <w:tc>
          <w:tcPr>
            <w:tcW w:type="dxa" w:w="1474"/>
            <w:shd w:val="clear" w:color="auto" w:fill="F6F8FA"/>
          </w:tcPr>
          <w:p>
            <w:pPr>
              <w:spacing w:after="20"/>
            </w:pPr>
            <w:r>
              <w:rPr>
                <w:rFonts w:ascii="Inter" w:hAnsi="Inter" w:eastAsia="Inter"/>
                <w:b/>
                <w:i w:val="0"/>
                <w:color w:val="11202E"/>
                <w:sz w:val="16"/>
              </w:rPr>
              <w:t>Ayiman Logistics</w:t>
            </w:r>
          </w:p>
        </w:tc>
        <w:tc>
          <w:tcPr>
            <w:tcW w:type="dxa" w:w="2381"/>
            <w:shd w:val="clear" w:color="auto" w:fill="F6F8FA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11202E"/>
                <w:sz w:val="16"/>
              </w:rPr>
              <w:t>Spécialiste de l'énergie et des mines, label de sûreté TAPA</w:t>
            </w:r>
          </w:p>
        </w:tc>
        <w:tc>
          <w:tcPr>
            <w:tcW w:type="dxa" w:w="2494"/>
            <w:shd w:val="clear" w:color="auto" w:fill="F6F8FA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11202E"/>
                <w:sz w:val="16"/>
              </w:rPr>
              <w:t>Nous servons plusieurs secteurs, avec des emplacements à Abidjan</w:t>
            </w:r>
          </w:p>
        </w:tc>
        <w:tc>
          <w:tcPr>
            <w:tcW w:type="dxa" w:w="3515"/>
            <w:shd w:val="clear" w:color="auto" w:fill="F6F8FA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11202E"/>
                <w:sz w:val="16"/>
              </w:rPr>
              <w:t>« Si vous n'êtes pas dans l'énergie, vous voulez un logisticien qui connaît vos produits, pas ceux d'un autre secteur. »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>
              <w:rPr>
                <w:rFonts w:ascii="Inter" w:hAnsi="Inter" w:eastAsia="Inter"/>
                <w:b/>
                <w:i w:val="0"/>
                <w:color w:val="11202E"/>
                <w:sz w:val="16"/>
              </w:rPr>
              <w:t>LTA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11202E"/>
                <w:sz w:val="16"/>
              </w:rPr>
              <w:t>Transit et douane, 60 000 m²</w:t>
            </w:r>
          </w:p>
        </w:tc>
        <w:tc>
          <w:tcPr>
            <w:tcW w:type="dxa" w:w="2494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11202E"/>
                <w:sz w:val="16"/>
              </w:rPr>
              <w:t>Transport et entreposage avec nos propres moyens</w:t>
            </w:r>
          </w:p>
        </w:tc>
        <w:tc>
          <w:tcPr>
            <w:tcW w:type="dxa" w:w="3515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11202E"/>
                <w:sz w:val="16"/>
              </w:rPr>
              <w:t>« Nous ne sous-traitons pas vos camions : la même équipe charge, transporte et stocke. »</w:t>
            </w:r>
          </w:p>
        </w:tc>
      </w:tr>
      <w:tr>
        <w:tc>
          <w:tcPr>
            <w:tcW w:type="dxa" w:w="1474"/>
            <w:shd w:val="clear" w:color="auto" w:fill="F6F8FA"/>
          </w:tcPr>
          <w:p>
            <w:pPr>
              <w:spacing w:after="20"/>
            </w:pPr>
            <w:r>
              <w:rPr>
                <w:rFonts w:ascii="Inter" w:hAnsi="Inter" w:eastAsia="Inter"/>
                <w:b/>
                <w:i w:val="0"/>
                <w:color w:val="11202E"/>
                <w:sz w:val="16"/>
              </w:rPr>
              <w:t>OTL</w:t>
            </w:r>
          </w:p>
        </w:tc>
        <w:tc>
          <w:tcPr>
            <w:tcW w:type="dxa" w:w="2381"/>
            <w:shd w:val="clear" w:color="auto" w:fill="F6F8FA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11202E"/>
                <w:sz w:val="16"/>
              </w:rPr>
              <w:t>Export, entrepôts à Abidjan et San-Pédro</w:t>
            </w:r>
          </w:p>
        </w:tc>
        <w:tc>
          <w:tcPr>
            <w:tcW w:type="dxa" w:w="2494"/>
            <w:shd w:val="clear" w:color="auto" w:fill="F6F8FA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11202E"/>
                <w:sz w:val="16"/>
              </w:rPr>
              <w:t>Quatre emplacements à Abidjan, dont l'aéroport</w:t>
            </w:r>
          </w:p>
        </w:tc>
        <w:tc>
          <w:tcPr>
            <w:tcW w:type="dxa" w:w="3515"/>
            <w:shd w:val="clear" w:color="auto" w:fill="F6F8FA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11202E"/>
                <w:sz w:val="16"/>
              </w:rPr>
              <w:t>« Pour vos flux à l'import comme à l'export, nous avons le port, la zone industrielle et l'aéroport. »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>
              <w:rPr>
                <w:rFonts w:ascii="Inter" w:hAnsi="Inter" w:eastAsia="Inter"/>
                <w:b/>
                <w:i w:val="0"/>
                <w:color w:val="11202E"/>
                <w:sz w:val="16"/>
              </w:rPr>
              <w:t>CAP Logistics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11202E"/>
                <w:sz w:val="16"/>
              </w:rPr>
              <w:t>Transport routier depuis 2003, froid près de l'aéroport</w:t>
            </w:r>
          </w:p>
        </w:tc>
        <w:tc>
          <w:tcPr>
            <w:tcW w:type="dxa" w:w="2494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11202E"/>
                <w:sz w:val="16"/>
              </w:rPr>
              <w:t>Entrepôts rackés et terre-plein en plus du transport</w:t>
            </w:r>
          </w:p>
        </w:tc>
        <w:tc>
          <w:tcPr>
            <w:tcW w:type="dxa" w:w="3515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11202E"/>
                <w:sz w:val="16"/>
              </w:rPr>
              <w:t>« Le transport seul ne suffit pas : nous gardons aussi votre stock et vous le montrons chaque jour. »</w:t>
            </w:r>
          </w:p>
        </w:tc>
      </w:tr>
      <w:tr>
        <w:tc>
          <w:tcPr>
            <w:tcW w:type="dxa" w:w="1474"/>
            <w:shd w:val="clear" w:color="auto" w:fill="F6F8FA"/>
          </w:tcPr>
          <w:p>
            <w:pPr>
              <w:spacing w:after="20"/>
            </w:pPr>
            <w:r>
              <w:rPr>
                <w:rFonts w:ascii="Inter" w:hAnsi="Inter" w:eastAsia="Inter"/>
                <w:b/>
                <w:i w:val="0"/>
                <w:color w:val="11202E"/>
                <w:sz w:val="16"/>
              </w:rPr>
              <w:t>LOGITRANS</w:t>
            </w:r>
          </w:p>
        </w:tc>
        <w:tc>
          <w:tcPr>
            <w:tcW w:type="dxa" w:w="2381"/>
            <w:shd w:val="clear" w:color="auto" w:fill="F6F8FA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11202E"/>
                <w:sz w:val="16"/>
              </w:rPr>
              <w:t>Commissaire en douane, 5 000 m²</w:t>
            </w:r>
          </w:p>
        </w:tc>
        <w:tc>
          <w:tcPr>
            <w:tcW w:type="dxa" w:w="2494"/>
            <w:shd w:val="clear" w:color="auto" w:fill="F6F8FA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11202E"/>
                <w:sz w:val="16"/>
              </w:rPr>
              <w:t>Capacité bien supérieure</w:t>
            </w:r>
          </w:p>
        </w:tc>
        <w:tc>
          <w:tcPr>
            <w:tcW w:type="dxa" w:w="3515"/>
            <w:shd w:val="clear" w:color="auto" w:fill="F6F8FA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11202E"/>
                <w:sz w:val="16"/>
              </w:rPr>
              <w:t>« Quand votre volume grandit, nous avons la place : 43 000 m² rackés. »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>
              <w:rPr>
                <w:rFonts w:ascii="Inter" w:hAnsi="Inter" w:eastAsia="Inter"/>
                <w:b/>
                <w:i w:val="0"/>
                <w:color w:val="11202E"/>
                <w:sz w:val="16"/>
              </w:rPr>
              <w:t>Miengnoli Group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11202E"/>
                <w:sz w:val="16"/>
              </w:rPr>
              <w:t>Facturation à l'usage</w:t>
            </w:r>
          </w:p>
        </w:tc>
        <w:tc>
          <w:tcPr>
            <w:tcW w:type="dxa" w:w="2494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11202E"/>
                <w:sz w:val="16"/>
              </w:rPr>
              <w:t>Engagements de service écrits</w:t>
            </w:r>
          </w:p>
        </w:tc>
        <w:tc>
          <w:tcPr>
            <w:tcW w:type="dxa" w:w="3515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11202E"/>
                <w:sz w:val="16"/>
              </w:rPr>
              <w:t>« Le prix à l'usage est utile ; ce qui coûte cher, c'est une erreur de stock. Nous vous montrons comment nous l'évitons. »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rFonts w:ascii="Inter" w:hAnsi="Inter" w:eastAsia="Inter"/>
          <w:b w:val="0"/>
          <w:i/>
          <w:color w:val="6B8195"/>
          <w:sz w:val="17"/>
        </w:rPr>
        <w:t>Ce que chaque concurrent affiche est relevé sur son site au 27 octobre 2026 (étude concurrentielle de Fatima). Ne jamais dénigrer un concurrent devant un client.</w:t>
      </w:r>
    </w:p>
    <w:p>
      <w:pPr>
        <w:keepNext/>
        <w:spacing w:before="160" w:after="60"/>
      </w:pPr>
      <w:r>
        <w:rPr>
          <w:rFonts w:ascii="Space Grotesk" w:hAnsi="Space Grotesk" w:eastAsia="Space Grotesk"/>
          <w:b/>
          <w:i w:val="0"/>
          <w:color w:val="D9501C"/>
          <w:sz w:val="25"/>
          <w:u w:val="single"/>
        </w:rPr>
        <w:t>🧭 Les trois preuves à apporter à chaque rendez-vous</w:t>
      </w:r>
    </w:p>
    <w:tbl>
      <w:tblPr>
        <w:tblStyle w:val="TableGrid"/>
        <w:jc w:val="center"/>
        <w:tblLook w:firstColumn="1" w:firstRow="1" w:lastColumn="0" w:lastRow="0" w:noHBand="0" w:noVBand="1" w:val="04A0"/>
        <w:tblW w:w="9865" w:type="dxa"/>
        <w:tblLayout w:type="fixed"/>
        <w:tblBorders>
          <w:top w:val="single" w:sz="4" w:color="D8E0E6"/>
          <w:left w:val="single" w:sz="4" w:color="D8E0E6"/>
          <w:bottom w:val="single" w:sz="4" w:color="D8E0E6"/>
          <w:right w:val="single" w:sz="4" w:color="D8E0E6"/>
          <w:insideH w:val="single" w:sz="4" w:color="D8E0E6"/>
          <w:insideV w:val="single" w:sz="4" w:color="D8E0E6"/>
        </w:tblBorders>
      </w:tblPr>
      <w:tblGrid>
        <w:gridCol w:w="680"/>
        <w:gridCol w:w="2608"/>
        <w:gridCol w:w="6577"/>
      </w:tblGrid>
      <w:tr>
        <w:trPr>
          <w:tblHeader w:val="true"/>
        </w:trPr>
        <w:tc>
          <w:tcPr>
            <w:tcW w:type="dxa" w:w="680"/>
            <w:shd w:val="clear" w:color="auto" w:fill="D9501C"/>
          </w:tcPr>
          <w:p>
            <w:r>
              <w:rPr>
                <w:rFonts w:ascii="Inter" w:hAnsi="Inter" w:eastAsia="Inter"/>
                <w:b/>
                <w:i w:val="0"/>
                <w:color w:val="FFFFFF"/>
                <w:sz w:val="18"/>
              </w:rPr>
            </w:r>
          </w:p>
        </w:tc>
        <w:tc>
          <w:tcPr>
            <w:tcW w:type="dxa" w:w="2608"/>
            <w:shd w:val="clear" w:color="auto" w:fill="D9501C"/>
          </w:tcPr>
          <w:p>
            <w:r>
              <w:rPr>
                <w:rFonts w:ascii="Inter" w:hAnsi="Inter" w:eastAsia="Inter"/>
                <w:b/>
                <w:i w:val="0"/>
                <w:color w:val="FFFFFF"/>
                <w:sz w:val="18"/>
              </w:rPr>
              <w:t>Preuve</w:t>
            </w:r>
          </w:p>
        </w:tc>
        <w:tc>
          <w:tcPr>
            <w:tcW w:type="dxa" w:w="6576"/>
            <w:shd w:val="clear" w:color="auto" w:fill="D9501C"/>
          </w:tcPr>
          <w:p>
            <w:r>
              <w:rPr>
                <w:rFonts w:ascii="Inter" w:hAnsi="Inter" w:eastAsia="Inter"/>
                <w:b/>
                <w:i w:val="0"/>
                <w:color w:val="FFFFFF"/>
                <w:sz w:val="18"/>
              </w:rPr>
              <w:t>Comment l'utiliser</w:t>
            </w:r>
          </w:p>
        </w:tc>
      </w:tr>
      <w:tr>
        <w:tc>
          <w:tcPr>
            <w:tcW w:type="dxa" w:w="680"/>
          </w:tcPr>
          <w:p>
            <w:pPr>
              <w:spacing w:after="20"/>
            </w:pPr>
            <w:r>
              <w:rPr>
                <w:rFonts w:ascii="Inter" w:hAnsi="Inter" w:eastAsia="Inter"/>
                <w:b/>
                <w:i w:val="0"/>
                <w:color w:val="11202E"/>
                <w:sz w:val="17"/>
              </w:rPr>
              <w:t>👀</w:t>
            </w:r>
          </w:p>
        </w:tc>
        <w:tc>
          <w:tcPr>
            <w:tcW w:type="dxa" w:w="2608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11202E"/>
                <w:sz w:val="17"/>
              </w:rPr>
              <w:t>La visite de site</w:t>
            </w:r>
          </w:p>
        </w:tc>
        <w:tc>
          <w:tcPr>
            <w:tcW w:type="dxa" w:w="6576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11202E"/>
                <w:sz w:val="17"/>
              </w:rPr>
              <w:t>La proposer à chaque prospect ; c'est le meilleur moyen de signer en logistique</w:t>
            </w:r>
          </w:p>
        </w:tc>
      </w:tr>
      <w:tr>
        <w:tc>
          <w:tcPr>
            <w:tcW w:type="dxa" w:w="680"/>
            <w:shd w:val="clear" w:color="auto" w:fill="F6F8FA"/>
          </w:tcPr>
          <w:p>
            <w:pPr>
              <w:spacing w:after="20"/>
            </w:pPr>
            <w:r>
              <w:rPr>
                <w:rFonts w:ascii="Inter" w:hAnsi="Inter" w:eastAsia="Inter"/>
                <w:b/>
                <w:i w:val="0"/>
                <w:color w:val="11202E"/>
                <w:sz w:val="17"/>
              </w:rPr>
              <w:t>📊</w:t>
            </w:r>
          </w:p>
        </w:tc>
        <w:tc>
          <w:tcPr>
            <w:tcW w:type="dxa" w:w="2608"/>
            <w:shd w:val="clear" w:color="auto" w:fill="F6F8FA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11202E"/>
                <w:sz w:val="17"/>
              </w:rPr>
              <w:t>Le rapport de stock type</w:t>
            </w:r>
          </w:p>
        </w:tc>
        <w:tc>
          <w:tcPr>
            <w:tcW w:type="dxa" w:w="6576"/>
            <w:shd w:val="clear" w:color="auto" w:fill="F6F8FA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11202E"/>
                <w:sz w:val="17"/>
              </w:rPr>
              <w:t>Le montrer sur papier ou à l'écran, sans données client</w:t>
            </w:r>
          </w:p>
        </w:tc>
      </w:tr>
      <w:tr>
        <w:tc>
          <w:tcPr>
            <w:tcW w:type="dxa" w:w="680"/>
          </w:tcPr>
          <w:p>
            <w:pPr>
              <w:spacing w:after="20"/>
            </w:pPr>
            <w:r>
              <w:rPr>
                <w:rFonts w:ascii="Inter" w:hAnsi="Inter" w:eastAsia="Inter"/>
                <w:b/>
                <w:i w:val="0"/>
                <w:color w:val="11202E"/>
                <w:sz w:val="17"/>
              </w:rPr>
              <w:t>🤝</w:t>
            </w:r>
          </w:p>
        </w:tc>
        <w:tc>
          <w:tcPr>
            <w:tcW w:type="dxa" w:w="2608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11202E"/>
                <w:sz w:val="17"/>
              </w:rPr>
              <w:t>Les références</w:t>
            </w:r>
          </w:p>
        </w:tc>
        <w:tc>
          <w:tcPr>
            <w:tcW w:type="dxa" w:w="6576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11202E"/>
                <w:sz w:val="17"/>
              </w:rPr>
              <w:t>Ne citer que les clients qui ont donné leur accord ; dire « un grand groupe agroalimentaire » sinon</w:t>
            </w:r>
          </w:p>
        </w:tc>
      </w:tr>
    </w:tbl>
    <w:p>
      <w:pPr>
        <w:spacing w:after="0"/>
      </w:pPr>
    </w:p>
    <w:p>
      <w:pPr>
        <w:keepNext/>
        <w:spacing w:before="160" w:after="60"/>
      </w:pPr>
      <w:r>
        <w:rPr>
          <w:rFonts w:ascii="Space Grotesk" w:hAnsi="Space Grotesk" w:eastAsia="Space Grotesk"/>
          <w:b/>
          <w:i w:val="0"/>
          <w:color w:val="D9501C"/>
          <w:sz w:val="25"/>
          <w:u w:val="single"/>
        </w:rPr>
        <w:t>🛡️ Les objections, et ce qu'on répond</w:t>
      </w:r>
    </w:p>
    <w:tbl>
      <w:tblPr>
        <w:tblStyle w:val="TableGrid"/>
        <w:jc w:val="center"/>
        <w:tblLook w:firstColumn="1" w:firstRow="1" w:lastColumn="0" w:lastRow="0" w:noHBand="0" w:noVBand="1" w:val="04A0"/>
        <w:tblW w:w="9865" w:type="dxa"/>
        <w:tblLayout w:type="fixed"/>
        <w:tblBorders>
          <w:top w:val="single" w:sz="4" w:color="D8E0E6"/>
          <w:left w:val="single" w:sz="4" w:color="D8E0E6"/>
          <w:bottom w:val="single" w:sz="4" w:color="D8E0E6"/>
          <w:right w:val="single" w:sz="4" w:color="D8E0E6"/>
          <w:insideH w:val="single" w:sz="4" w:color="D8E0E6"/>
          <w:insideV w:val="single" w:sz="4" w:color="D8E0E6"/>
        </w:tblBorders>
      </w:tblPr>
      <w:tblGrid>
        <w:gridCol w:w="2494"/>
        <w:gridCol w:w="4876"/>
        <w:gridCol w:w="2494"/>
      </w:tblGrid>
      <w:tr>
        <w:trPr>
          <w:tblHeader w:val="true"/>
        </w:trPr>
        <w:tc>
          <w:tcPr>
            <w:tcW w:type="dxa" w:w="2494"/>
            <w:shd w:val="clear" w:color="auto" w:fill="D9501C"/>
          </w:tcPr>
          <w:p>
            <w:r>
              <w:rPr>
                <w:rFonts w:ascii="Inter" w:hAnsi="Inter" w:eastAsia="Inter"/>
                <w:b/>
                <w:i w:val="0"/>
                <w:color w:val="FFFFFF"/>
                <w:sz w:val="18"/>
              </w:rPr>
              <w:t>Ce que dit le client</w:t>
            </w:r>
          </w:p>
        </w:tc>
        <w:tc>
          <w:tcPr>
            <w:tcW w:type="dxa" w:w="4876"/>
            <w:shd w:val="clear" w:color="auto" w:fill="D9501C"/>
          </w:tcPr>
          <w:p>
            <w:r>
              <w:rPr>
                <w:rFonts w:ascii="Inter" w:hAnsi="Inter" w:eastAsia="Inter"/>
                <w:b/>
                <w:i w:val="0"/>
                <w:color w:val="FFFFFF"/>
                <w:sz w:val="18"/>
              </w:rPr>
              <w:t>Ce qu'on répond</w:t>
            </w:r>
          </w:p>
        </w:tc>
        <w:tc>
          <w:tcPr>
            <w:tcW w:type="dxa" w:w="2494"/>
            <w:shd w:val="clear" w:color="auto" w:fill="D9501C"/>
          </w:tcPr>
          <w:p>
            <w:r>
              <w:rPr>
                <w:rFonts w:ascii="Inter" w:hAnsi="Inter" w:eastAsia="Inter"/>
                <w:b/>
                <w:i w:val="0"/>
                <w:color w:val="FFFFFF"/>
                <w:sz w:val="18"/>
              </w:rPr>
              <w:t>Ce qu'on propose</w:t>
            </w:r>
          </w:p>
        </w:tc>
      </w:tr>
      <w:tr>
        <w:tc>
          <w:tcPr>
            <w:tcW w:type="dxa" w:w="2494"/>
          </w:tcPr>
          <w:p>
            <w:pPr>
              <w:spacing w:after="20"/>
            </w:pPr>
            <w:r>
              <w:rPr>
                <w:rFonts w:ascii="Inter" w:hAnsi="Inter" w:eastAsia="Inter"/>
                <w:b/>
                <w:i w:val="0"/>
                <w:color w:val="11202E"/>
                <w:sz w:val="17"/>
              </w:rPr>
              <w:t>« Vous êtes plus petits qu'AGL. »</w:t>
            </w:r>
          </w:p>
        </w:tc>
        <w:tc>
          <w:tcPr>
            <w:tcW w:type="dxa" w:w="4876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11202E"/>
                <w:sz w:val="17"/>
              </w:rPr>
              <w:t>C'est vrai, et c'est un avantage pour vous : vous aurez une équipe dédiée et une réponse sous 24 heures.</w:t>
            </w:r>
          </w:p>
        </w:tc>
        <w:tc>
          <w:tcPr>
            <w:tcW w:type="dxa" w:w="2494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11202E"/>
                <w:sz w:val="17"/>
              </w:rPr>
              <w:t>Une visite pour juger sur place</w:t>
            </w:r>
          </w:p>
        </w:tc>
      </w:tr>
      <w:tr>
        <w:tc>
          <w:tcPr>
            <w:tcW w:type="dxa" w:w="2494"/>
            <w:shd w:val="clear" w:color="auto" w:fill="F6F8FA"/>
          </w:tcPr>
          <w:p>
            <w:pPr>
              <w:spacing w:after="20"/>
            </w:pPr>
            <w:r>
              <w:rPr>
                <w:rFonts w:ascii="Inter" w:hAnsi="Inter" w:eastAsia="Inter"/>
                <w:b/>
                <w:i w:val="0"/>
                <w:color w:val="11202E"/>
                <w:sz w:val="17"/>
              </w:rPr>
              <w:t>« Nous avons déjà un prestataire. »</w:t>
            </w:r>
          </w:p>
        </w:tc>
        <w:tc>
          <w:tcPr>
            <w:tcW w:type="dxa" w:w="4876"/>
            <w:shd w:val="clear" w:color="auto" w:fill="F6F8FA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11202E"/>
                <w:sz w:val="17"/>
              </w:rPr>
              <w:t>Très bien. Beaucoup de nos clients gardent leur prestataire et nous confient le surplus de campagne.</w:t>
            </w:r>
          </w:p>
        </w:tc>
        <w:tc>
          <w:tcPr>
            <w:tcW w:type="dxa" w:w="2494"/>
            <w:shd w:val="clear" w:color="auto" w:fill="F6F8FA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11202E"/>
                <w:sz w:val="17"/>
              </w:rPr>
              <w:t>Un premier contrat de débordement</w:t>
            </w:r>
          </w:p>
        </w:tc>
      </w:tr>
      <w:tr>
        <w:tc>
          <w:tcPr>
            <w:tcW w:type="dxa" w:w="2494"/>
          </w:tcPr>
          <w:p>
            <w:pPr>
              <w:spacing w:after="20"/>
            </w:pPr>
            <w:r>
              <w:rPr>
                <w:rFonts w:ascii="Inter" w:hAnsi="Inter" w:eastAsia="Inter"/>
                <w:b/>
                <w:i w:val="0"/>
                <w:color w:val="11202E"/>
                <w:sz w:val="17"/>
              </w:rPr>
              <w:t>« Vous êtes plus chers. »</w:t>
            </w:r>
          </w:p>
        </w:tc>
        <w:tc>
          <w:tcPr>
            <w:tcW w:type="dxa" w:w="4876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11202E"/>
                <w:sz w:val="17"/>
              </w:rPr>
              <w:t>Comparons le coût complet : transport, manutention, pertes et erreurs de stock compris.</w:t>
            </w:r>
          </w:p>
        </w:tc>
        <w:tc>
          <w:tcPr>
            <w:tcW w:type="dxa" w:w="2494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11202E"/>
                <w:sz w:val="17"/>
              </w:rPr>
              <w:t>Un devis détaillé poste par poste</w:t>
            </w:r>
          </w:p>
        </w:tc>
      </w:tr>
      <w:tr>
        <w:tc>
          <w:tcPr>
            <w:tcW w:type="dxa" w:w="2494"/>
            <w:shd w:val="clear" w:color="auto" w:fill="F6F8FA"/>
          </w:tcPr>
          <w:p>
            <w:pPr>
              <w:spacing w:after="20"/>
            </w:pPr>
            <w:r>
              <w:rPr>
                <w:rFonts w:ascii="Inter" w:hAnsi="Inter" w:eastAsia="Inter"/>
                <w:b/>
                <w:i w:val="0"/>
                <w:color w:val="11202E"/>
                <w:sz w:val="17"/>
              </w:rPr>
              <w:t>« Comment savoir où est mon stock ? »</w:t>
            </w:r>
          </w:p>
        </w:tc>
        <w:tc>
          <w:tcPr>
            <w:tcW w:type="dxa" w:w="4876"/>
            <w:shd w:val="clear" w:color="auto" w:fill="F6F8FA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11202E"/>
                <w:sz w:val="17"/>
              </w:rPr>
              <w:t>Vous recevez un rapport chaque jour et nous rapprochons le stock physique et le stock informatique.</w:t>
            </w:r>
          </w:p>
        </w:tc>
        <w:tc>
          <w:tcPr>
            <w:tcW w:type="dxa" w:w="2494"/>
            <w:shd w:val="clear" w:color="auto" w:fill="F6F8FA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11202E"/>
                <w:sz w:val="17"/>
              </w:rPr>
              <w:t>Le rapport type</w:t>
            </w:r>
          </w:p>
        </w:tc>
      </w:tr>
      <w:tr>
        <w:tc>
          <w:tcPr>
            <w:tcW w:type="dxa" w:w="2494"/>
          </w:tcPr>
          <w:p>
            <w:pPr>
              <w:spacing w:after="20"/>
            </w:pPr>
            <w:r>
              <w:rPr>
                <w:rFonts w:ascii="Inter" w:hAnsi="Inter" w:eastAsia="Inter"/>
                <w:b/>
                <w:i w:val="0"/>
                <w:color w:val="11202E"/>
                <w:sz w:val="17"/>
              </w:rPr>
              <w:t>« Avez-vous le froid ou le sous-douane ? »</w:t>
            </w:r>
          </w:p>
        </w:tc>
        <w:tc>
          <w:tcPr>
            <w:tcW w:type="dxa" w:w="4876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11202E"/>
                <w:sz w:val="17"/>
              </w:rPr>
              <w:t>Pas à ce jour sur notre site. Dites-nous votre besoin, nous vous répondons franchement.</w:t>
            </w:r>
          </w:p>
        </w:tc>
        <w:tc>
          <w:tcPr>
            <w:tcW w:type="dxa" w:w="2494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11202E"/>
                <w:sz w:val="17"/>
              </w:rPr>
              <w:t>Un retour écrit sous 24 heures</w:t>
            </w:r>
          </w:p>
        </w:tc>
      </w:tr>
      <w:tr>
        <w:tc>
          <w:tcPr>
            <w:tcW w:type="dxa" w:w="2494"/>
            <w:shd w:val="clear" w:color="auto" w:fill="F6F8FA"/>
          </w:tcPr>
          <w:p>
            <w:pPr>
              <w:spacing w:after="20"/>
            </w:pPr>
            <w:r>
              <w:rPr>
                <w:rFonts w:ascii="Inter" w:hAnsi="Inter" w:eastAsia="Inter"/>
                <w:b/>
                <w:i w:val="0"/>
                <w:color w:val="11202E"/>
                <w:sz w:val="17"/>
              </w:rPr>
              <w:t>« Êtes-vous certifiés ISO ? »</w:t>
            </w:r>
          </w:p>
        </w:tc>
        <w:tc>
          <w:tcPr>
            <w:tcW w:type="dxa" w:w="4876"/>
            <w:shd w:val="clear" w:color="auto" w:fill="F6F8FA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11202E"/>
                <w:sz w:val="17"/>
              </w:rPr>
              <w:t>La démarche est engagée pour l'ISO 9001, 14001 et 45001. Nous vous montrons nos procédures dès maintenant.</w:t>
            </w:r>
          </w:p>
        </w:tc>
        <w:tc>
          <w:tcPr>
            <w:tcW w:type="dxa" w:w="2494"/>
            <w:shd w:val="clear" w:color="auto" w:fill="F6F8FA"/>
          </w:tcPr>
          <w:p>
            <w:pPr>
              <w:spacing w:after="20"/>
            </w:pPr>
            <w:r>
              <w:rPr>
                <w:rFonts w:ascii="Inter" w:hAnsi="Inter" w:eastAsia="Inter"/>
                <w:b w:val="0"/>
                <w:i w:val="0"/>
                <w:color w:val="11202E"/>
                <w:sz w:val="17"/>
              </w:rPr>
              <w:t>Les procédures qualité et sécurité</w:t>
            </w:r>
          </w:p>
        </w:tc>
      </w:tr>
    </w:tbl>
    <w:p>
      <w:pPr>
        <w:spacing w:after="0"/>
      </w:pPr>
    </w:p>
    <w:p>
      <w:pPr>
        <w:keepNext/>
        <w:spacing w:before="160" w:after="60"/>
      </w:pPr>
      <w:r>
        <w:rPr>
          <w:rFonts w:ascii="Space Grotesk" w:hAnsi="Space Grotesk" w:eastAsia="Space Grotesk"/>
          <w:b/>
          <w:i w:val="0"/>
          <w:color w:val="D9501C"/>
          <w:sz w:val="25"/>
          <w:u w:val="single"/>
        </w:rPr>
        <w:t>🔎 Les questions qui font avancer l'affaire</w:t>
      </w:r>
    </w:p>
    <w:p>
      <w:pPr>
        <w:spacing w:after="40"/>
        <w:ind w:left="283" w:hanging="198"/>
      </w:pPr>
      <w:r>
        <w:rPr>
          <w:rFonts w:ascii="Inter" w:hAnsi="Inter" w:eastAsia="Inter"/>
          <w:b/>
          <w:i w:val="0"/>
          <w:color w:val="D9501C"/>
          <w:sz w:val="20"/>
        </w:rPr>
        <w:t xml:space="preserve">• </w:t>
      </w:r>
      <w:r>
        <w:rPr>
          <w:rFonts w:ascii="Inter" w:hAnsi="Inter" w:eastAsia="Inter"/>
          <w:b w:val="0"/>
          <w:i w:val="0"/>
          <w:color w:val="11202E"/>
          <w:sz w:val="20"/>
        </w:rPr>
        <w:t>Combien de palettes ou de mètres carrés vous faut-il, en temps normal et en pic ?</w:t>
      </w:r>
    </w:p>
    <w:p>
      <w:pPr>
        <w:spacing w:after="40"/>
        <w:ind w:left="283" w:hanging="198"/>
      </w:pPr>
      <w:r>
        <w:rPr>
          <w:rFonts w:ascii="Inter" w:hAnsi="Inter" w:eastAsia="Inter"/>
          <w:b/>
          <w:i w:val="0"/>
          <w:color w:val="D9501C"/>
          <w:sz w:val="20"/>
        </w:rPr>
        <w:t xml:space="preserve">• </w:t>
      </w:r>
      <w:r>
        <w:rPr>
          <w:rFonts w:ascii="Inter" w:hAnsi="Inter" w:eastAsia="Inter"/>
          <w:b w:val="0"/>
          <w:i w:val="0"/>
          <w:color w:val="11202E"/>
          <w:sz w:val="20"/>
        </w:rPr>
        <w:t>Que se passe-t-il chez vous quand le stock déborde ?</w:t>
      </w:r>
    </w:p>
    <w:p>
      <w:pPr>
        <w:spacing w:after="40"/>
        <w:ind w:left="283" w:hanging="198"/>
      </w:pPr>
      <w:r>
        <w:rPr>
          <w:rFonts w:ascii="Inter" w:hAnsi="Inter" w:eastAsia="Inter"/>
          <w:b/>
          <w:i w:val="0"/>
          <w:color w:val="D9501C"/>
          <w:sz w:val="20"/>
        </w:rPr>
        <w:t xml:space="preserve">• </w:t>
      </w:r>
      <w:r>
        <w:rPr>
          <w:rFonts w:ascii="Inter" w:hAnsi="Inter" w:eastAsia="Inter"/>
          <w:b w:val="0"/>
          <w:i w:val="0"/>
          <w:color w:val="11202E"/>
          <w:sz w:val="20"/>
        </w:rPr>
        <w:t>Combien de camions par semaine entre vos sites et le port ?</w:t>
      </w:r>
    </w:p>
    <w:p>
      <w:pPr>
        <w:spacing w:after="40"/>
        <w:ind w:left="283" w:hanging="198"/>
      </w:pPr>
      <w:r>
        <w:rPr>
          <w:rFonts w:ascii="Inter" w:hAnsi="Inter" w:eastAsia="Inter"/>
          <w:b/>
          <w:i w:val="0"/>
          <w:color w:val="D9501C"/>
          <w:sz w:val="20"/>
        </w:rPr>
        <w:t xml:space="preserve">• </w:t>
      </w:r>
      <w:r>
        <w:rPr>
          <w:rFonts w:ascii="Inter" w:hAnsi="Inter" w:eastAsia="Inter"/>
          <w:b w:val="0"/>
          <w:i w:val="0"/>
          <w:color w:val="11202E"/>
          <w:sz w:val="20"/>
        </w:rPr>
        <w:t>Comment savez-vous aujourd'hui où est votre marchandise ?</w:t>
      </w:r>
    </w:p>
    <w:p>
      <w:pPr>
        <w:spacing w:after="40"/>
        <w:ind w:left="283" w:hanging="198"/>
      </w:pPr>
      <w:r>
        <w:rPr>
          <w:rFonts w:ascii="Inter" w:hAnsi="Inter" w:eastAsia="Inter"/>
          <w:b/>
          <w:i w:val="0"/>
          <w:color w:val="D9501C"/>
          <w:sz w:val="20"/>
        </w:rPr>
        <w:t xml:space="preserve">• </w:t>
      </w:r>
      <w:r>
        <w:rPr>
          <w:rFonts w:ascii="Inter" w:hAnsi="Inter" w:eastAsia="Inter"/>
          <w:b w:val="0"/>
          <w:i w:val="0"/>
          <w:color w:val="11202E"/>
          <w:sz w:val="20"/>
        </w:rPr>
        <w:t>Qu'est-ce qui vous a déçu chez votre prestataire actuel ?</w:t>
      </w:r>
    </w:p>
    <w:p>
      <w:pPr>
        <w:spacing w:after="40"/>
        <w:ind w:left="283" w:hanging="198"/>
      </w:pPr>
      <w:r>
        <w:rPr>
          <w:rFonts w:ascii="Inter" w:hAnsi="Inter" w:eastAsia="Inter"/>
          <w:b/>
          <w:i w:val="0"/>
          <w:color w:val="D9501C"/>
          <w:sz w:val="20"/>
        </w:rPr>
        <w:t xml:space="preserve">• </w:t>
      </w:r>
      <w:r>
        <w:rPr>
          <w:rFonts w:ascii="Inter" w:hAnsi="Inter" w:eastAsia="Inter"/>
          <w:b w:val="0"/>
          <w:i w:val="0"/>
          <w:color w:val="11202E"/>
          <w:sz w:val="20"/>
        </w:rPr>
        <w:t>Qui décide chez vous : supply chain, achats, finance ? Qui faut-il inviter à la visite ?</w:t>
      </w:r>
    </w:p>
    <w:p>
      <w:pPr>
        <w:keepNext/>
        <w:spacing w:before="160" w:after="60"/>
      </w:pPr>
      <w:r>
        <w:rPr>
          <w:rFonts w:ascii="Space Grotesk" w:hAnsi="Space Grotesk" w:eastAsia="Space Grotesk"/>
          <w:b/>
          <w:i w:val="0"/>
          <w:color w:val="D9501C"/>
          <w:sz w:val="25"/>
          <w:u w:val="single"/>
        </w:rPr>
        <w:t>🚀 Comment conclure un rendez-vous</w:t>
      </w:r>
    </w:p>
    <w:tbl>
      <w:tblPr>
        <w:tblLook w:firstColumn="1" w:firstRow="1" w:lastColumn="0" w:lastRow="0" w:noHBand="0" w:noVBand="1" w:val="04A0"/>
        <w:tblW w:w="9865" w:type="dxa"/>
        <w:tblLayout w:type="fixed"/>
      </w:tblPr>
      <w:tblGrid>
        <w:gridCol w:w="9865"/>
      </w:tblGrid>
      <w:tr>
        <w:tc>
          <w:tcPr>
            <w:tcW w:type="dxa" w:w="9865"/>
            <w:shd w:val="clear" w:color="auto" w:fill="F6F8FA"/>
          </w:tcPr>
          <w:p>
            <w:r>
              <w:rPr>
                <w:rFonts w:ascii="Inter" w:hAnsi="Inter" w:eastAsia="Inter"/>
                <w:b/>
                <w:i w:val="0"/>
                <w:color w:val="D9501C"/>
                <w:sz w:val="20"/>
              </w:rPr>
              <w:t>Ne jamais partir sans une date</w:t>
            </w:r>
          </w:p>
          <w:p>
            <w:pPr>
              <w:spacing w:after="20"/>
            </w:pPr>
            <w:r>
              <w:rPr>
                <w:rFonts w:ascii="Inter" w:hAnsi="Inter" w:eastAsia="Inter"/>
                <w:b/>
                <w:i w:val="0"/>
                <w:color w:val="11202E"/>
                <w:sz w:val="19"/>
              </w:rPr>
              <w:t xml:space="preserve">1. </w:t>
            </w:r>
            <w:r>
              <w:rPr>
                <w:rFonts w:ascii="Inter" w:hAnsi="Inter" w:eastAsia="Inter"/>
                <w:b w:val="0"/>
                <w:i w:val="0"/>
                <w:color w:val="11202E"/>
                <w:sz w:val="19"/>
              </w:rPr>
              <w:t>Proposer une visite de site, avec une date.</w:t>
            </w:r>
          </w:p>
          <w:p>
            <w:pPr>
              <w:spacing w:after="20"/>
            </w:pPr>
            <w:r>
              <w:rPr>
                <w:rFonts w:ascii="Inter" w:hAnsi="Inter" w:eastAsia="Inter"/>
                <w:b/>
                <w:i w:val="0"/>
                <w:color w:val="11202E"/>
                <w:sz w:val="19"/>
              </w:rPr>
              <w:t xml:space="preserve">2. </w:t>
            </w:r>
            <w:r>
              <w:rPr>
                <w:rFonts w:ascii="Inter" w:hAnsi="Inter" w:eastAsia="Inter"/>
                <w:b w:val="0"/>
                <w:i w:val="0"/>
                <w:color w:val="11202E"/>
                <w:sz w:val="19"/>
              </w:rPr>
              <w:t>Demander les volumes pour chiffrer, et promettre une offre sous 24 heures.</w:t>
            </w:r>
          </w:p>
          <w:p>
            <w:pPr>
              <w:spacing w:after="20"/>
            </w:pPr>
            <w:r>
              <w:rPr>
                <w:rFonts w:ascii="Inter" w:hAnsi="Inter" w:eastAsia="Inter"/>
                <w:b/>
                <w:i w:val="0"/>
                <w:color w:val="11202E"/>
                <w:sz w:val="19"/>
              </w:rPr>
              <w:t xml:space="preserve">3. </w:t>
            </w:r>
            <w:r>
              <w:rPr>
                <w:rFonts w:ascii="Inter" w:hAnsi="Inter" w:eastAsia="Inter"/>
                <w:b w:val="0"/>
                <w:i w:val="0"/>
                <w:color w:val="11202E"/>
                <w:sz w:val="19"/>
              </w:rPr>
              <w:t>Noter le prochain contact dans le suivi des affaires le jour même.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rFonts w:ascii="Inter" w:hAnsi="Inter" w:eastAsia="Inter"/>
          <w:b w:val="0"/>
          <w:i/>
          <w:color w:val="6B8195"/>
          <w:sz w:val="17"/>
        </w:rPr>
        <w:t>Aucun prix, aucune remise ni aucun délai ne s'annonce sans validation de la direction de Proline. Police : Inter et Space Grotesk, celles du site prolinelogistic.com.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1020" w:bottom="850" w:left="102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Inter" w:hAnsi="Inter" w:eastAsia="Inter"/>
        <w:b w:val="0"/>
        <w:i w:val="0"/>
        <w:color w:val="5F5F64"/>
        <w:sz w:val="16"/>
      </w:rPr>
      <w:t xml:space="preserve">PROLINE LOGISTICS · 29 octobre 2026 · document de travail commercial · page </w:t>
    </w:r>
    <w:fldSimple w:instr="PAGE">
      <w:r>
        <w:rPr>
          <w:sz w:val="16"/>
          <w:color w:val="5F5F64"/>
        </w:rPr>
        <w:t>1</w:t>
      </w:r>
    </w:fldSimple>
    <w:r>
      <w:rPr>
        <w:rFonts w:ascii="Inter" w:hAnsi="Inter" w:eastAsia="Inter"/>
        <w:b w:val="0"/>
        <w:i w:val="0"/>
        <w:color w:val="5F5F64"/>
        <w:sz w:val="16"/>
      </w:rPr>
      <w:t xml:space="preserve"> / </w:t>
    </w:r>
    <w:fldSimple w:instr="NUMPAGES">
      <w:r>
        <w:rPr>
          <w:sz w:val="16"/>
          <w:color w:val="5F5F64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904186" cy="324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prol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04186" cy="324000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Inter" w:hAnsi="Inter" w:eastAsia="Inter"/>
        <w:b w:val="0"/>
        <w:i w:val="0"/>
        <w:color w:val="5F5F64"/>
        <w:sz w:val="16"/>
      </w:rPr>
      <w:t xml:space="preserve">      Argumentaire commercial face aux concurrents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Inter" w:hAnsi="Inter" w:eastAsia="Inter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